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77425"/>
      <w:bookmarkStart w:id="2" w:name="_Toc15396597"/>
      <w:bookmarkStart w:id="3" w:name="_Toc17103546"/>
      <w:bookmarkStart w:id="4" w:name="_Toc15378441"/>
      <w:bookmarkStart w:id="5" w:name="_Toc15377193"/>
      <w:bookmarkStart w:id="6" w:name="_Toc15396475"/>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15377194"/>
      <w:bookmarkStart w:id="8" w:name="_Toc15396598"/>
      <w:bookmarkStart w:id="9" w:name="_Toc15377426"/>
      <w:bookmarkStart w:id="10" w:name="_Toc17103547"/>
      <w:bookmarkStart w:id="11" w:name="_Toc15378442"/>
      <w:bookmarkStart w:id="12" w:name="_Toc15396476"/>
      <w:r>
        <w:rPr>
          <w:rFonts w:hint="eastAsia" w:ascii="方正小标宋简体" w:hAnsi="宋体" w:eastAsia="方正小标宋简体"/>
          <w:color w:val="000000"/>
          <w:sz w:val="72"/>
          <w:szCs w:val="72"/>
        </w:rPr>
        <w:t>四川省</w:t>
      </w:r>
      <w:bookmarkEnd w:id="0"/>
      <w:bookmarkStart w:id="13" w:name="_Toc15306268"/>
      <w:r>
        <w:rPr>
          <w:rFonts w:hint="eastAsia" w:ascii="方正小标宋简体" w:hAnsi="宋体" w:eastAsia="方正小标宋简体"/>
          <w:color w:val="000000"/>
          <w:sz w:val="72"/>
          <w:szCs w:val="72"/>
        </w:rPr>
        <w:t>资阳市雁江区</w:t>
      </w:r>
      <w:r>
        <w:rPr>
          <w:rFonts w:hint="eastAsia" w:ascii="方正小标宋简体" w:hAnsi="宋体" w:eastAsia="方正小标宋简体"/>
          <w:color w:val="000000"/>
          <w:sz w:val="72"/>
          <w:szCs w:val="72"/>
          <w:lang w:eastAsia="zh-CN"/>
        </w:rPr>
        <w:t>外事侨务旅游办公室</w:t>
      </w:r>
      <w:r>
        <w:rPr>
          <w:rFonts w:hint="eastAsia" w:ascii="方正小标宋简体" w:hAnsi="宋体" w:eastAsia="方正小标宋简体"/>
          <w:color w:val="000000"/>
          <w:sz w:val="72"/>
          <w:szCs w:val="72"/>
        </w:rPr>
        <w:t>部门决算</w:t>
      </w:r>
      <w:bookmarkEnd w:id="7"/>
      <w:bookmarkEnd w:id="8"/>
      <w:bookmarkEnd w:id="9"/>
      <w:bookmarkEnd w:id="10"/>
      <w:bookmarkEnd w:id="11"/>
      <w:bookmarkEnd w:id="12"/>
      <w:bookmarkEnd w:id="13"/>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bookmarkStart w:id="14" w:name="_Toc15377196"/>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w:t>
      </w:r>
      <w:r>
        <w:rPr>
          <w:rFonts w:hint="eastAsia"/>
          <w:color w:val="FF0000"/>
        </w:rPr>
        <w:t>2019年8月29日</w:t>
      </w:r>
    </w:p>
    <w:p/>
    <w:p>
      <w:pPr>
        <w:pStyle w:val="10"/>
        <w:rPr>
          <w:rFonts w:cstheme="minorBidi"/>
        </w:rPr>
      </w:pPr>
      <w:r>
        <w:fldChar w:fldCharType="begin"/>
      </w:r>
      <w:r>
        <w:instrText xml:space="preserve"> HYPERLINK \l "_Toc15396599" </w:instrText>
      </w:r>
      <w:r>
        <w:fldChar w:fldCharType="separate"/>
      </w:r>
      <w:r>
        <w:rPr>
          <w:rStyle w:val="15"/>
          <w:rFonts w:hint="eastAsia"/>
        </w:rPr>
        <w:t>第一部分</w:t>
      </w:r>
      <w:r>
        <w:rPr>
          <w:rStyle w:val="15"/>
        </w:rPr>
        <w:t xml:space="preserve"> </w:t>
      </w:r>
      <w:r>
        <w:rPr>
          <w:rStyle w:val="15"/>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5"/>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hint="eastAsia" w:ascii="仿宋" w:hAnsi="仿宋" w:eastAsia="仿宋" w:cstheme="minorBidi"/>
          <w:sz w:val="28"/>
          <w:szCs w:val="28"/>
          <w:lang w:val="en-US" w:eastAsia="zh-CN"/>
        </w:rPr>
      </w:pPr>
      <w:r>
        <w:fldChar w:fldCharType="begin"/>
      </w:r>
      <w:r>
        <w:instrText xml:space="preserve"> HYPERLINK \l "_Toc15396601" </w:instrText>
      </w:r>
      <w:r>
        <w:fldChar w:fldCharType="separate"/>
      </w:r>
      <w:r>
        <w:rPr>
          <w:rStyle w:val="15"/>
          <w:rFonts w:hint="eastAsia" w:ascii="仿宋" w:hAnsi="仿宋" w:eastAsia="仿宋"/>
          <w:sz w:val="28"/>
          <w:szCs w:val="28"/>
        </w:rPr>
        <w:t>二、机构设置</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2</w:t>
      </w:r>
    </w:p>
    <w:p>
      <w:pPr>
        <w:pStyle w:val="10"/>
        <w:rPr>
          <w:rFonts w:hint="eastAsia" w:eastAsia="仿宋"/>
          <w:lang w:val="en-US" w:eastAsia="zh-CN"/>
        </w:rPr>
      </w:pPr>
      <w:r>
        <w:fldChar w:fldCharType="begin"/>
      </w:r>
      <w:r>
        <w:instrText xml:space="preserve"> HYPERLINK \l "_Toc15396602" </w:instrText>
      </w:r>
      <w:r>
        <w:fldChar w:fldCharType="separate"/>
      </w:r>
      <w:r>
        <w:rPr>
          <w:rStyle w:val="15"/>
          <w:rFonts w:hint="eastAsia"/>
        </w:rPr>
        <w:t>第二部分</w:t>
      </w:r>
      <w:r>
        <w:rPr>
          <w:rStyle w:val="15"/>
        </w:rPr>
        <w:t xml:space="preserve"> 2018</w:t>
      </w:r>
      <w:r>
        <w:rPr>
          <w:rStyle w:val="15"/>
          <w:rFonts w:hint="eastAsia"/>
        </w:rPr>
        <w:t>年度部门决算情况说明</w:t>
      </w:r>
      <w:r>
        <w:tab/>
      </w:r>
      <w:r>
        <w:rPr>
          <w:rFonts w:hint="eastAsia"/>
          <w:lang w:val="en-US" w:eastAsia="zh-CN"/>
        </w:rPr>
        <w:t>1</w:t>
      </w:r>
      <w:r>
        <w:fldChar w:fldCharType="end"/>
      </w:r>
      <w:r>
        <w:rPr>
          <w:rFonts w:hint="eastAsia"/>
          <w:lang w:val="en-US" w:eastAsia="zh-CN"/>
        </w:rPr>
        <w:t>3</w:t>
      </w:r>
    </w:p>
    <w:p>
      <w:pPr>
        <w:pStyle w:val="11"/>
        <w:rPr>
          <w:rFonts w:hint="eastAsia" w:ascii="仿宋" w:hAnsi="仿宋" w:eastAsia="仿宋" w:cstheme="minorBidi"/>
          <w:sz w:val="28"/>
          <w:szCs w:val="28"/>
          <w:lang w:val="en-US" w:eastAsia="zh-CN"/>
        </w:rPr>
      </w:pPr>
      <w:r>
        <w:fldChar w:fldCharType="begin"/>
      </w:r>
      <w:r>
        <w:instrText xml:space="preserve"> HYPERLINK \l "_Toc15396603" </w:instrText>
      </w:r>
      <w:r>
        <w:fldChar w:fldCharType="separate"/>
      </w:r>
      <w:r>
        <w:rPr>
          <w:rStyle w:val="15"/>
          <w:rFonts w:hint="eastAsia" w:ascii="仿宋" w:hAnsi="仿宋" w:eastAsia="仿宋" w:cstheme="majorBidi"/>
          <w:bCs/>
          <w:sz w:val="28"/>
          <w:szCs w:val="28"/>
        </w:rPr>
        <w:t>一、</w:t>
      </w:r>
      <w:r>
        <w:rPr>
          <w:rStyle w:val="15"/>
          <w:rFonts w:hint="eastAsia" w:ascii="仿宋" w:hAnsi="仿宋" w:eastAsia="仿宋"/>
          <w:sz w:val="28"/>
          <w:szCs w:val="28"/>
        </w:rPr>
        <w:t>收</w:t>
      </w:r>
      <w:r>
        <w:rPr>
          <w:rStyle w:val="15"/>
          <w:rFonts w:hint="eastAsia" w:ascii="仿宋" w:hAnsi="仿宋" w:eastAsia="仿宋" w:cstheme="majorBidi"/>
          <w:bCs/>
          <w:sz w:val="28"/>
          <w:szCs w:val="28"/>
        </w:rPr>
        <w:t>入支出决算总体情况说明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cstheme="minorBidi"/>
          <w:sz w:val="28"/>
          <w:szCs w:val="28"/>
          <w:lang w:val="en-US" w:eastAsia="zh-CN"/>
        </w:rPr>
      </w:pPr>
      <w:r>
        <w:fldChar w:fldCharType="begin"/>
      </w:r>
      <w:r>
        <w:instrText xml:space="preserve"> HYPERLINK \l "_Toc15396604" </w:instrText>
      </w:r>
      <w:r>
        <w:fldChar w:fldCharType="separate"/>
      </w:r>
      <w:r>
        <w:rPr>
          <w:rStyle w:val="15"/>
          <w:rFonts w:hint="eastAsia" w:ascii="仿宋" w:hAnsi="仿宋" w:eastAsia="仿宋" w:cstheme="majorBidi"/>
          <w:bCs/>
          <w:sz w:val="28"/>
          <w:szCs w:val="28"/>
        </w:rPr>
        <w:t>二、</w:t>
      </w:r>
      <w:r>
        <w:rPr>
          <w:rStyle w:val="15"/>
          <w:rFonts w:hint="eastAsia" w:ascii="仿宋" w:hAnsi="仿宋" w:eastAsia="仿宋"/>
          <w:sz w:val="28"/>
          <w:szCs w:val="28"/>
        </w:rPr>
        <w:t>收</w:t>
      </w:r>
      <w:r>
        <w:rPr>
          <w:rStyle w:val="15"/>
          <w:rFonts w:hint="eastAsia" w:ascii="仿宋" w:hAnsi="仿宋" w:eastAsia="仿宋" w:cstheme="majorBidi"/>
          <w:bCs/>
          <w:sz w:val="28"/>
          <w:szCs w:val="28"/>
        </w:rPr>
        <w:t>入决算情况说明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3</w:t>
      </w:r>
    </w:p>
    <w:p>
      <w:pPr>
        <w:pStyle w:val="11"/>
        <w:rPr>
          <w:rFonts w:hint="eastAsia" w:ascii="仿宋" w:hAnsi="仿宋" w:eastAsia="仿宋" w:cstheme="minorBidi"/>
          <w:sz w:val="28"/>
          <w:szCs w:val="28"/>
          <w:lang w:val="en-US" w:eastAsia="zh-CN"/>
        </w:rPr>
      </w:pPr>
      <w:r>
        <w:fldChar w:fldCharType="begin"/>
      </w:r>
      <w:r>
        <w:instrText xml:space="preserve"> HYPERLINK \l "_Toc15396605" </w:instrText>
      </w:r>
      <w:r>
        <w:fldChar w:fldCharType="separate"/>
      </w:r>
      <w:r>
        <w:rPr>
          <w:rStyle w:val="15"/>
          <w:rFonts w:hint="eastAsia" w:ascii="仿宋" w:hAnsi="仿宋" w:eastAsia="仿宋" w:cstheme="majorBidi"/>
          <w:bCs/>
          <w:sz w:val="28"/>
          <w:szCs w:val="28"/>
        </w:rPr>
        <w:t>三、</w:t>
      </w:r>
      <w:r>
        <w:rPr>
          <w:rStyle w:val="15"/>
          <w:rFonts w:hint="eastAsia" w:ascii="仿宋" w:hAnsi="仿宋" w:eastAsia="仿宋"/>
          <w:sz w:val="28"/>
          <w:szCs w:val="28"/>
        </w:rPr>
        <w:t>支</w:t>
      </w:r>
      <w:r>
        <w:rPr>
          <w:rStyle w:val="15"/>
          <w:rFonts w:hint="eastAsia" w:ascii="仿宋" w:hAnsi="仿宋" w:eastAsia="仿宋" w:cstheme="majorBidi"/>
          <w:bCs/>
          <w:sz w:val="28"/>
          <w:szCs w:val="28"/>
        </w:rPr>
        <w:t>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4</w:t>
      </w:r>
    </w:p>
    <w:p>
      <w:pPr>
        <w:pStyle w:val="11"/>
        <w:rPr>
          <w:rFonts w:hint="eastAsia" w:ascii="仿宋" w:hAnsi="仿宋" w:eastAsia="仿宋" w:cstheme="minorBidi"/>
          <w:sz w:val="28"/>
          <w:szCs w:val="28"/>
          <w:lang w:val="en-US" w:eastAsia="zh-CN"/>
        </w:rPr>
      </w:pPr>
      <w:r>
        <w:fldChar w:fldCharType="begin"/>
      </w:r>
      <w:r>
        <w:instrText xml:space="preserve"> HYPERLINK \l "_Toc15396606" </w:instrText>
      </w:r>
      <w:r>
        <w:fldChar w:fldCharType="separate"/>
      </w:r>
      <w:r>
        <w:rPr>
          <w:rStyle w:val="15"/>
          <w:rFonts w:hint="eastAsia" w:ascii="仿宋" w:hAnsi="仿宋" w:eastAsia="仿宋"/>
          <w:sz w:val="28"/>
          <w:szCs w:val="28"/>
        </w:rPr>
        <w:t>四、财</w:t>
      </w:r>
      <w:r>
        <w:rPr>
          <w:rStyle w:val="15"/>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1"/>
        <w:rPr>
          <w:rFonts w:hint="eastAsia" w:ascii="仿宋" w:hAnsi="仿宋" w:eastAsia="仿宋" w:cstheme="minorBidi"/>
          <w:sz w:val="28"/>
          <w:szCs w:val="28"/>
          <w:lang w:val="en-US" w:eastAsia="zh-CN"/>
        </w:rPr>
      </w:pPr>
      <w:r>
        <w:fldChar w:fldCharType="begin"/>
      </w:r>
      <w:r>
        <w:instrText xml:space="preserve"> HYPERLINK \l "_Toc15396607" </w:instrText>
      </w:r>
      <w:r>
        <w:fldChar w:fldCharType="separate"/>
      </w:r>
      <w:r>
        <w:rPr>
          <w:rStyle w:val="15"/>
          <w:rFonts w:hint="eastAsia" w:ascii="仿宋" w:hAnsi="仿宋" w:eastAsia="仿宋"/>
          <w:sz w:val="28"/>
          <w:szCs w:val="28"/>
        </w:rPr>
        <w:t>五、一</w:t>
      </w:r>
      <w:r>
        <w:rPr>
          <w:rStyle w:val="15"/>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1"/>
        <w:rPr>
          <w:rFonts w:hint="eastAsia" w:ascii="仿宋" w:hAnsi="仿宋" w:eastAsia="仿宋" w:cstheme="minorBidi"/>
          <w:sz w:val="28"/>
          <w:szCs w:val="28"/>
          <w:lang w:val="en-US" w:eastAsia="zh-CN"/>
        </w:rPr>
      </w:pPr>
      <w:r>
        <w:fldChar w:fldCharType="begin"/>
      </w:r>
      <w:r>
        <w:instrText xml:space="preserve"> HYPERLINK \l "_Toc15396608" </w:instrText>
      </w:r>
      <w:r>
        <w:fldChar w:fldCharType="separate"/>
      </w:r>
      <w:r>
        <w:rPr>
          <w:rStyle w:val="15"/>
          <w:rFonts w:hint="eastAsia" w:ascii="仿宋" w:hAnsi="仿宋" w:eastAsia="仿宋"/>
          <w:sz w:val="28"/>
          <w:szCs w:val="28"/>
        </w:rPr>
        <w:t>六、一</w:t>
      </w:r>
      <w:r>
        <w:rPr>
          <w:rStyle w:val="15"/>
          <w:rFonts w:hint="eastAsia" w:ascii="仿宋" w:hAnsi="仿宋" w:eastAsia="仿宋" w:cstheme="majorBidi"/>
          <w:bCs/>
          <w:sz w:val="28"/>
          <w:szCs w:val="28"/>
        </w:rPr>
        <w:t>般公共预算财政拨款基本支出决算情况说明</w:t>
      </w:r>
      <w:r>
        <w:rPr>
          <w:rStyle w:val="15"/>
          <w:rFonts w:hint="eastAsia" w:ascii="仿宋" w:hAnsi="仿宋" w:eastAsia="仿宋" w:cstheme="majorBidi"/>
          <w:bCs/>
          <w:sz w:val="28"/>
          <w:szCs w:val="28"/>
          <w:lang w:val="en-US" w:eastAsia="zh-CN"/>
        </w:rPr>
        <w:t xml:space="preserve">          </w:t>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8</w:t>
      </w:r>
    </w:p>
    <w:p>
      <w:pPr>
        <w:pStyle w:val="11"/>
        <w:rPr>
          <w:rFonts w:hint="eastAsia" w:ascii="仿宋" w:hAnsi="仿宋" w:eastAsia="仿宋" w:cstheme="minorBidi"/>
          <w:sz w:val="28"/>
          <w:szCs w:val="28"/>
          <w:lang w:val="en-US" w:eastAsia="zh-CN"/>
        </w:rPr>
      </w:pPr>
      <w:r>
        <w:fldChar w:fldCharType="begin"/>
      </w:r>
      <w:r>
        <w:instrText xml:space="preserve"> HYPERLINK \l "_Toc15396609" </w:instrText>
      </w:r>
      <w:r>
        <w:fldChar w:fldCharType="separate"/>
      </w:r>
      <w:r>
        <w:rPr>
          <w:rStyle w:val="15"/>
          <w:rFonts w:hint="eastAsia" w:ascii="仿宋" w:hAnsi="仿宋" w:eastAsia="仿宋"/>
          <w:sz w:val="28"/>
          <w:szCs w:val="28"/>
        </w:rPr>
        <w:t>七、</w:t>
      </w:r>
      <w:r>
        <w:rPr>
          <w:rStyle w:val="15"/>
          <w:rFonts w:ascii="仿宋" w:hAnsi="仿宋" w:eastAsia="仿宋"/>
          <w:sz w:val="28"/>
          <w:szCs w:val="28"/>
        </w:rPr>
        <w:t>“</w:t>
      </w:r>
      <w:r>
        <w:rPr>
          <w:rStyle w:val="15"/>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hint="eastAsia" w:ascii="仿宋" w:hAnsi="仿宋" w:eastAsia="仿宋"/>
          <w:sz w:val="28"/>
          <w:szCs w:val="28"/>
          <w:lang w:val="en-US" w:eastAsia="zh-CN"/>
        </w:rPr>
        <w:t>1</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cstheme="minorBidi"/>
          <w:sz w:val="28"/>
          <w:szCs w:val="28"/>
          <w:lang w:val="en-US" w:eastAsia="zh-CN"/>
        </w:rPr>
      </w:pPr>
      <w:r>
        <w:fldChar w:fldCharType="begin"/>
      </w:r>
      <w:r>
        <w:instrText xml:space="preserve"> HYPERLINK \l "_Toc15396610" </w:instrText>
      </w:r>
      <w:r>
        <w:fldChar w:fldCharType="separate"/>
      </w:r>
      <w:r>
        <w:rPr>
          <w:rStyle w:val="15"/>
          <w:rFonts w:hint="eastAsia" w:ascii="仿宋" w:hAnsi="仿宋" w:eastAsia="仿宋"/>
          <w:sz w:val="28"/>
          <w:szCs w:val="28"/>
        </w:rPr>
        <w:t>八、</w:t>
      </w:r>
      <w:r>
        <w:rPr>
          <w:rStyle w:val="15"/>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1"/>
        <w:rPr>
          <w:rFonts w:hint="eastAsia" w:eastAsia="仿宋"/>
          <w:lang w:val="en-US" w:eastAsia="zh-CN"/>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九、</w:t>
      </w:r>
      <w:r>
        <w:rPr>
          <w:rStyle w:val="15"/>
          <w:rFonts w:hint="eastAsia" w:ascii="仿宋" w:hAnsi="仿宋" w:eastAsia="仿宋"/>
          <w:sz w:val="28"/>
          <w:szCs w:val="28"/>
        </w:rPr>
        <w:t xml:space="preserve"> 国</w:t>
      </w:r>
      <w:r>
        <w:rPr>
          <w:rStyle w:val="15"/>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1"/>
        <w:rPr>
          <w:rFonts w:hint="eastAsia" w:ascii="仿宋" w:hAnsi="仿宋" w:eastAsia="仿宋"/>
          <w:color w:val="0000FF" w:themeColor="hyperlink"/>
          <w:sz w:val="28"/>
          <w:szCs w:val="28"/>
          <w:u w:val="single"/>
          <w:lang w:val="en-US" w:eastAsia="zh-CN"/>
        </w:rPr>
      </w:pPr>
      <w:r>
        <w:fldChar w:fldCharType="begin"/>
      </w:r>
      <w:r>
        <w:instrText xml:space="preserve"> HYPERLINK \l "_Toc15396611" </w:instrText>
      </w:r>
      <w:r>
        <w:fldChar w:fldCharType="separate"/>
      </w:r>
      <w:r>
        <w:rPr>
          <w:rStyle w:val="15"/>
          <w:rFonts w:hint="eastAsia" w:ascii="仿宋" w:hAnsi="仿宋" w:eastAsia="仿宋" w:cstheme="majorBidi"/>
          <w:bCs/>
          <w:sz w:val="28"/>
          <w:szCs w:val="28"/>
        </w:rPr>
        <w:t>十、</w:t>
      </w:r>
      <w:r>
        <w:rPr>
          <w:rStyle w:val="15"/>
          <w:rFonts w:hint="eastAsia" w:ascii="仿宋" w:hAnsi="仿宋" w:eastAsia="仿宋"/>
          <w:sz w:val="28"/>
          <w:szCs w:val="28"/>
        </w:rPr>
        <w:t>预算绩效情况说明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1</w:t>
      </w:r>
    </w:p>
    <w:p>
      <w:pPr>
        <w:pStyle w:val="11"/>
        <w:rPr>
          <w:rFonts w:hint="eastAsia" w:ascii="仿宋" w:hAnsi="仿宋" w:eastAsia="仿宋" w:cstheme="minorBidi"/>
          <w:sz w:val="28"/>
          <w:szCs w:val="28"/>
          <w:lang w:val="en-US" w:eastAsia="zh-CN"/>
        </w:rPr>
      </w:pPr>
      <w:r>
        <w:fldChar w:fldCharType="begin"/>
      </w:r>
      <w:r>
        <w:instrText xml:space="preserve"> HYPERLINK \l "_Toc15396612" </w:instrText>
      </w:r>
      <w:r>
        <w:fldChar w:fldCharType="separate"/>
      </w:r>
      <w:r>
        <w:rPr>
          <w:rStyle w:val="15"/>
          <w:rFonts w:hint="eastAsia" w:ascii="仿宋" w:hAnsi="仿宋" w:eastAsia="仿宋"/>
          <w:sz w:val="28"/>
          <w:szCs w:val="28"/>
        </w:rPr>
        <w:t>十</w:t>
      </w:r>
      <w:r>
        <w:rPr>
          <w:rStyle w:val="15"/>
          <w:rFonts w:hint="eastAsia" w:ascii="仿宋" w:hAnsi="仿宋" w:eastAsia="仿宋" w:cstheme="majorBidi"/>
          <w:bCs/>
          <w:sz w:val="28"/>
          <w:szCs w:val="28"/>
        </w:rPr>
        <w:t>一、其他重要事项的情况说明</w:t>
      </w:r>
      <w:r>
        <w:rPr>
          <w:rFonts w:ascii="仿宋" w:hAnsi="仿宋" w:eastAsia="仿宋"/>
          <w:sz w:val="28"/>
          <w:szCs w:val="28"/>
        </w:rPr>
        <w:tab/>
      </w:r>
      <w:r>
        <w:rPr>
          <w:rFonts w:hint="eastAsia" w:ascii="仿宋" w:hAnsi="仿宋" w:eastAsia="仿宋"/>
          <w:sz w:val="28"/>
          <w:szCs w:val="28"/>
          <w:lang w:val="en-US" w:eastAsia="zh-CN"/>
        </w:rPr>
        <w:t>2</w:t>
      </w:r>
      <w:r>
        <w:rPr>
          <w:rFonts w:ascii="仿宋" w:hAnsi="仿宋" w:eastAsia="仿宋"/>
          <w:sz w:val="28"/>
          <w:szCs w:val="28"/>
        </w:rPr>
        <w:fldChar w:fldCharType="end"/>
      </w:r>
      <w:r>
        <w:rPr>
          <w:rFonts w:hint="eastAsia" w:ascii="仿宋" w:hAnsi="仿宋" w:eastAsia="仿宋"/>
          <w:sz w:val="28"/>
          <w:szCs w:val="28"/>
          <w:lang w:val="en-US" w:eastAsia="zh-CN"/>
        </w:rPr>
        <w:t>5</w:t>
      </w:r>
    </w:p>
    <w:p>
      <w:pPr>
        <w:pStyle w:val="10"/>
        <w:rPr>
          <w:rFonts w:hint="eastAsia" w:eastAsia="仿宋" w:cstheme="minorBidi"/>
          <w:lang w:val="en-US" w:eastAsia="zh-CN"/>
        </w:rPr>
      </w:pPr>
      <w:r>
        <w:fldChar w:fldCharType="begin"/>
      </w:r>
      <w:r>
        <w:instrText xml:space="preserve"> HYPERLINK \l "_Toc15396613" </w:instrText>
      </w:r>
      <w:r>
        <w:fldChar w:fldCharType="separate"/>
      </w:r>
      <w:r>
        <w:rPr>
          <w:rStyle w:val="15"/>
          <w:rFonts w:hint="eastAsia"/>
          <w:bCs/>
          <w:kern w:val="44"/>
        </w:rPr>
        <w:t>第三部分</w:t>
      </w:r>
      <w:r>
        <w:rPr>
          <w:rStyle w:val="15"/>
          <w:rFonts w:hint="eastAsia"/>
        </w:rPr>
        <w:t xml:space="preserve"> 名</w:t>
      </w:r>
      <w:r>
        <w:rPr>
          <w:rStyle w:val="15"/>
          <w:rFonts w:hint="eastAsia"/>
          <w:bCs/>
          <w:kern w:val="44"/>
        </w:rPr>
        <w:t>词解释</w:t>
      </w:r>
      <w:r>
        <w:tab/>
      </w:r>
      <w:r>
        <w:rPr>
          <w:rFonts w:hint="eastAsia"/>
          <w:lang w:val="en-US" w:eastAsia="zh-CN"/>
        </w:rPr>
        <w:t>2</w:t>
      </w:r>
      <w:r>
        <w:fldChar w:fldCharType="end"/>
      </w:r>
      <w:r>
        <w:rPr>
          <w:rFonts w:hint="eastAsia"/>
          <w:lang w:val="en-US" w:eastAsia="zh-CN"/>
        </w:rPr>
        <w:t>7</w:t>
      </w:r>
    </w:p>
    <w:p>
      <w:pPr>
        <w:pStyle w:val="10"/>
        <w:rPr>
          <w:rFonts w:hint="eastAsia" w:eastAsia="仿宋" w:cstheme="minorBidi"/>
          <w:lang w:val="en-US" w:eastAsia="zh-CN"/>
        </w:rPr>
      </w:pPr>
      <w:r>
        <w:fldChar w:fldCharType="begin"/>
      </w:r>
      <w:r>
        <w:instrText xml:space="preserve"> HYPERLINK \l "_Toc15396614" </w:instrText>
      </w:r>
      <w:r>
        <w:fldChar w:fldCharType="separate"/>
      </w:r>
      <w:r>
        <w:rPr>
          <w:rStyle w:val="15"/>
          <w:rFonts w:hint="eastAsia"/>
        </w:rPr>
        <w:t>第</w:t>
      </w:r>
      <w:r>
        <w:rPr>
          <w:rStyle w:val="15"/>
          <w:rFonts w:hint="eastAsia"/>
          <w:bCs/>
          <w:kern w:val="44"/>
        </w:rPr>
        <w:t>四部分</w:t>
      </w:r>
      <w:r>
        <w:rPr>
          <w:rStyle w:val="15"/>
          <w:bCs/>
          <w:kern w:val="44"/>
        </w:rPr>
        <w:t xml:space="preserve"> </w:t>
      </w:r>
      <w:r>
        <w:rPr>
          <w:rStyle w:val="15"/>
          <w:rFonts w:hint="eastAsia"/>
          <w:bCs/>
          <w:kern w:val="44"/>
        </w:rPr>
        <w:t>附件</w:t>
      </w:r>
      <w:r>
        <w:tab/>
      </w:r>
      <w:r>
        <w:rPr>
          <w:rFonts w:hint="eastAsia"/>
          <w:lang w:val="en-US" w:eastAsia="zh-CN"/>
        </w:rPr>
        <w:t>3</w:t>
      </w:r>
      <w:r>
        <w:fldChar w:fldCharType="end"/>
      </w:r>
      <w:r>
        <w:rPr>
          <w:rFonts w:hint="eastAsia"/>
          <w:lang w:val="en-US" w:eastAsia="zh-CN"/>
        </w:rPr>
        <w:t>0</w:t>
      </w:r>
    </w:p>
    <w:p>
      <w:pPr>
        <w:pStyle w:val="11"/>
        <w:rPr>
          <w:rFonts w:hint="eastAsia" w:ascii="仿宋" w:hAnsi="仿宋" w:eastAsia="仿宋" w:cstheme="minorBidi"/>
          <w:sz w:val="28"/>
          <w:szCs w:val="28"/>
          <w:lang w:val="en-US" w:eastAsia="zh-CN"/>
        </w:rPr>
      </w:pPr>
      <w:r>
        <w:fldChar w:fldCharType="begin"/>
      </w:r>
      <w:r>
        <w:instrText xml:space="preserve"> HYPERLINK \l "_Toc15396615"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1</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0</w:t>
      </w:r>
    </w:p>
    <w:p>
      <w:pPr>
        <w:pStyle w:val="11"/>
        <w:rPr>
          <w:rFonts w:hint="eastAsia" w:ascii="仿宋" w:hAnsi="仿宋" w:eastAsia="仿宋" w:cstheme="minorBidi"/>
          <w:sz w:val="28"/>
          <w:szCs w:val="28"/>
          <w:lang w:val="en-US" w:eastAsia="zh-CN"/>
        </w:rPr>
      </w:pPr>
      <w:r>
        <w:fldChar w:fldCharType="begin"/>
      </w:r>
      <w:r>
        <w:instrText xml:space="preserve"> HYPERLINK \l "_Toc15396617" </w:instrText>
      </w:r>
      <w:r>
        <w:fldChar w:fldCharType="separate"/>
      </w:r>
      <w:r>
        <w:rPr>
          <w:rStyle w:val="15"/>
          <w:rFonts w:hint="eastAsia" w:ascii="仿宋" w:hAnsi="仿宋" w:eastAsia="仿宋"/>
          <w:kern w:val="44"/>
          <w:sz w:val="28"/>
          <w:szCs w:val="28"/>
        </w:rPr>
        <w:t>附件</w:t>
      </w:r>
      <w:r>
        <w:rPr>
          <w:rStyle w:val="15"/>
          <w:rFonts w:ascii="仿宋" w:hAnsi="仿宋" w:eastAsia="仿宋"/>
          <w:kern w:val="44"/>
          <w:sz w:val="28"/>
          <w:szCs w:val="28"/>
        </w:rPr>
        <w:t>2</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6</w:t>
      </w:r>
    </w:p>
    <w:p>
      <w:pPr>
        <w:pStyle w:val="10"/>
        <w:rPr>
          <w:rFonts w:hint="eastAsia" w:eastAsia="仿宋" w:cstheme="minorBidi"/>
          <w:lang w:val="en-US" w:eastAsia="zh-CN"/>
        </w:rPr>
      </w:pPr>
      <w:r>
        <w:fldChar w:fldCharType="begin"/>
      </w:r>
      <w:r>
        <w:instrText xml:space="preserve"> HYPERLINK \l "_Toc15396618" </w:instrText>
      </w:r>
      <w:r>
        <w:fldChar w:fldCharType="separate"/>
      </w:r>
      <w:r>
        <w:rPr>
          <w:rStyle w:val="15"/>
          <w:rFonts w:hint="eastAsia"/>
        </w:rPr>
        <w:t>第</w:t>
      </w:r>
      <w:r>
        <w:rPr>
          <w:rStyle w:val="15"/>
          <w:rFonts w:hint="eastAsia"/>
          <w:bCs/>
          <w:kern w:val="44"/>
        </w:rPr>
        <w:t>五部分</w:t>
      </w:r>
      <w:r>
        <w:rPr>
          <w:rStyle w:val="15"/>
          <w:bCs/>
          <w:kern w:val="44"/>
        </w:rPr>
        <w:t xml:space="preserve"> </w:t>
      </w:r>
      <w:r>
        <w:rPr>
          <w:rStyle w:val="15"/>
          <w:rFonts w:hint="eastAsia"/>
          <w:bCs/>
          <w:kern w:val="44"/>
        </w:rPr>
        <w:t>附表</w:t>
      </w:r>
      <w:r>
        <w:tab/>
      </w:r>
      <w:r>
        <w:rPr>
          <w:rFonts w:hint="eastAsia"/>
          <w:lang w:val="en-US" w:eastAsia="zh-CN"/>
        </w:rPr>
        <w:t>3</w:t>
      </w:r>
      <w:r>
        <w:fldChar w:fldCharType="end"/>
      </w:r>
      <w:r>
        <w:rPr>
          <w:rFonts w:hint="eastAsia"/>
          <w:lang w:val="en-US" w:eastAsia="zh-CN"/>
        </w:rPr>
        <w:t>9</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5"/>
          <w:rFonts w:hint="eastAsia" w:ascii="仿宋" w:hAnsi="仿宋" w:eastAsia="仿宋"/>
          <w:sz w:val="28"/>
          <w:szCs w:val="28"/>
        </w:rPr>
        <w:t>收入支出决算总表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bookmarkStart w:id="82" w:name="_GoBack"/>
      <w:bookmarkEnd w:id="82"/>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5"/>
          <w:rFonts w:hint="eastAsia" w:ascii="仿宋" w:hAnsi="仿宋" w:eastAsia="仿宋"/>
          <w:sz w:val="28"/>
          <w:szCs w:val="28"/>
        </w:rPr>
        <w:t>收入总表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5"/>
          <w:rFonts w:hint="eastAsia" w:ascii="仿宋" w:hAnsi="仿宋" w:eastAsia="仿宋"/>
          <w:sz w:val="28"/>
          <w:szCs w:val="28"/>
        </w:rPr>
        <w:t>支出总表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5"/>
          <w:rFonts w:hint="eastAsia" w:ascii="仿宋" w:hAnsi="仿宋" w:eastAsia="仿宋"/>
          <w:sz w:val="28"/>
          <w:szCs w:val="28"/>
        </w:rPr>
        <w:t>财政拨款收入支出决算总表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sz w:val="28"/>
          <w:szCs w:val="28"/>
          <w:lang w:val="en-US" w:eastAsia="zh-CN"/>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5"/>
          <w:rFonts w:hint="eastAsia" w:ascii="仿宋" w:hAnsi="仿宋" w:eastAsia="仿宋"/>
          <w:sz w:val="28"/>
          <w:szCs w:val="28"/>
        </w:rPr>
        <w:t>一般公共预算财政拨款支出决算表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5"/>
          <w:rFonts w:hint="eastAsia" w:ascii="仿宋" w:hAnsi="仿宋" w:eastAsia="仿宋"/>
          <w:sz w:val="28"/>
          <w:szCs w:val="28"/>
        </w:rPr>
        <w:t>一般公共预算财政拨款支出决算明细表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5"/>
          <w:rFonts w:hint="eastAsia" w:ascii="仿宋" w:hAnsi="仿宋" w:eastAsia="仿宋"/>
          <w:sz w:val="28"/>
          <w:szCs w:val="28"/>
        </w:rPr>
        <w:t>一般公共预算财政拨款基本支出决算表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5"/>
          <w:rFonts w:hint="eastAsia" w:ascii="仿宋" w:hAnsi="仿宋" w:eastAsia="仿宋"/>
          <w:sz w:val="28"/>
          <w:szCs w:val="28"/>
        </w:rPr>
        <w:t>一般公共预算财政拨款项目支出决算表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5"/>
          <w:rFonts w:hint="eastAsia" w:ascii="仿宋" w:hAnsi="仿宋" w:eastAsia="仿宋"/>
          <w:sz w:val="28"/>
          <w:szCs w:val="28"/>
        </w:rPr>
        <w:t>一般公共预算财政拨款“三公”经费支出决算表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5"/>
          <w:rFonts w:hint="eastAsia" w:ascii="仿宋" w:hAnsi="仿宋" w:eastAsia="仿宋"/>
          <w:sz w:val="28"/>
          <w:szCs w:val="28"/>
        </w:rPr>
        <w:t>政府性基金预算财政拨款收入支出决算表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cstheme="minorBidi"/>
          <w:sz w:val="28"/>
          <w:szCs w:val="28"/>
          <w:lang w:val="en-US" w:eastAsia="zh-CN"/>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5"/>
          <w:rFonts w:hint="eastAsia" w:ascii="仿宋" w:hAnsi="仿宋" w:eastAsia="仿宋"/>
          <w:sz w:val="28"/>
          <w:szCs w:val="28"/>
        </w:rPr>
        <w:t>政府性基金预算财政拨款“三公”经费支出决算表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pStyle w:val="11"/>
        <w:rPr>
          <w:rFonts w:hint="eastAsia" w:ascii="仿宋" w:hAnsi="仿宋" w:eastAsia="仿宋" w:cstheme="minorBidi"/>
          <w:sz w:val="24"/>
          <w:lang w:val="en-US" w:eastAsia="zh-CN"/>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5"/>
          <w:rFonts w:hint="eastAsia" w:ascii="仿宋" w:hAnsi="仿宋" w:eastAsia="仿宋"/>
          <w:sz w:val="28"/>
          <w:szCs w:val="28"/>
        </w:rPr>
        <w:t>国有资本经营预算支出决算表</w:t>
      </w:r>
      <w:r>
        <w:rPr>
          <w:rFonts w:ascii="仿宋" w:hAnsi="仿宋" w:eastAsia="仿宋"/>
          <w:sz w:val="28"/>
          <w:szCs w:val="28"/>
        </w:rPr>
        <w:tab/>
      </w:r>
      <w:r>
        <w:rPr>
          <w:rFonts w:hint="eastAsia" w:ascii="仿宋" w:hAnsi="仿宋" w:eastAsia="仿宋"/>
          <w:sz w:val="28"/>
          <w:szCs w:val="28"/>
          <w:lang w:val="en-US" w:eastAsia="zh-CN"/>
        </w:rPr>
        <w:t>3</w:t>
      </w:r>
      <w:r>
        <w:rPr>
          <w:rFonts w:ascii="仿宋" w:hAnsi="仿宋" w:eastAsia="仿宋"/>
          <w:sz w:val="28"/>
          <w:szCs w:val="28"/>
        </w:rPr>
        <w:fldChar w:fldCharType="end"/>
      </w:r>
      <w:r>
        <w:rPr>
          <w:rFonts w:hint="eastAsia" w:ascii="仿宋" w:hAnsi="仿宋" w:eastAsia="仿宋"/>
          <w:sz w:val="28"/>
          <w:szCs w:val="28"/>
          <w:lang w:val="en-US" w:eastAsia="zh-CN"/>
        </w:rPr>
        <w:t>9</w:t>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r>
        <w:rPr>
          <w:rFonts w:ascii="黑体" w:hAnsi="黑体" w:eastAsia="黑体"/>
          <w:b/>
        </w:rPr>
        <w:br w:type="page"/>
      </w:r>
    </w:p>
    <w:p>
      <w:pPr>
        <w:widowControl/>
        <w:jc w:val="left"/>
        <w:rPr>
          <w:rFonts w:ascii="黑体" w:hAnsi="黑体" w:eastAsia="黑体"/>
          <w:bCs/>
          <w:kern w:val="44"/>
          <w:sz w:val="44"/>
          <w:szCs w:val="44"/>
        </w:rPr>
      </w:pPr>
    </w:p>
    <w:p>
      <w:pPr>
        <w:pStyle w:val="2"/>
        <w:jc w:val="center"/>
        <w:rPr>
          <w:rStyle w:val="24"/>
          <w:rFonts w:ascii="黑体" w:hAnsi="黑体" w:eastAsia="黑体"/>
          <w:b/>
          <w:bCs w:val="0"/>
        </w:rPr>
      </w:pPr>
      <w:bookmarkStart w:id="15" w:name="_Toc17103549"/>
      <w:r>
        <w:rPr>
          <w:rFonts w:hint="eastAsia" w:ascii="黑体" w:hAnsi="黑体" w:eastAsia="黑体"/>
          <w:b w:val="0"/>
        </w:rPr>
        <w:t xml:space="preserve">第一部分 </w:t>
      </w:r>
      <w:r>
        <w:rPr>
          <w:rStyle w:val="24"/>
          <w:rFonts w:hint="eastAsia" w:ascii="黑体" w:hAnsi="黑体" w:eastAsia="黑体"/>
          <w:b w:val="0"/>
          <w:bCs w:val="0"/>
        </w:rPr>
        <w:t>部门概况</w:t>
      </w:r>
      <w:bookmarkEnd w:id="14"/>
      <w:bookmarkEnd w:id="15"/>
    </w:p>
    <w:p>
      <w:pPr>
        <w:widowControl/>
        <w:jc w:val="left"/>
        <w:rPr>
          <w:rFonts w:ascii="黑体" w:eastAsia="黑体"/>
          <w:color w:val="000000"/>
          <w:sz w:val="32"/>
          <w:szCs w:val="32"/>
        </w:rPr>
      </w:pPr>
    </w:p>
    <w:p>
      <w:pPr>
        <w:pStyle w:val="3"/>
        <w:rPr>
          <w:rStyle w:val="25"/>
          <w:rFonts w:ascii="仿宋" w:hAnsi="仿宋" w:eastAsia="仿宋"/>
          <w:b w:val="0"/>
          <w:bCs w:val="0"/>
        </w:rPr>
      </w:pPr>
      <w:bookmarkStart w:id="16" w:name="_Toc15377197"/>
      <w:bookmarkStart w:id="17" w:name="_Toc1710355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6"/>
      <w:bookmarkEnd w:id="17"/>
    </w:p>
    <w:p>
      <w:pPr>
        <w:pStyle w:val="5"/>
        <w:adjustRightInd w:val="0"/>
        <w:snapToGrid w:val="0"/>
        <w:spacing w:before="93" w:line="600" w:lineRule="exact"/>
        <w:ind w:firstLine="675" w:firstLineChars="210"/>
        <w:outlineLvl w:val="2"/>
        <w:rPr>
          <w:rFonts w:ascii="仿宋" w:hAnsi="仿宋" w:eastAsia="仿宋"/>
          <w:b/>
          <w:color w:val="000000"/>
          <w:sz w:val="32"/>
          <w:szCs w:val="32"/>
        </w:rPr>
      </w:pPr>
      <w:bookmarkStart w:id="18" w:name="_Toc15377198"/>
      <w:bookmarkStart w:id="19" w:name="_Toc15378445"/>
      <w:r>
        <w:rPr>
          <w:rFonts w:hint="eastAsia" w:ascii="仿宋" w:hAnsi="仿宋" w:eastAsia="仿宋"/>
          <w:b/>
          <w:color w:val="000000"/>
          <w:sz w:val="32"/>
          <w:szCs w:val="32"/>
        </w:rPr>
        <w:t>（一）主要职能</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lang w:eastAsia="zh-CN"/>
        </w:rPr>
        <w:t>雁江区外事侨务旅游办公室</w:t>
      </w:r>
      <w:r>
        <w:rPr>
          <w:rFonts w:hint="eastAsia" w:ascii="仿宋" w:hAnsi="仿宋" w:eastAsia="仿宋"/>
          <w:bCs/>
          <w:color w:val="000000"/>
          <w:sz w:val="32"/>
          <w:szCs w:val="32"/>
        </w:rPr>
        <w:t>是区政府负责全区外事、侨务、旅游三个部门于一体的直属行政单位，其主要职责是：</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1、根据国家和省政府旅游发展战略和市委、市政府、区委、区政府培育旅游支柱产业决定，加快开发雁江区旅游资源，打造旅游精品，形成旅游产业。</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2、研究和推进雁江区旅游体制创新；协同有关部门培育和完善旅游市场；依法兴旅治旅，规范旅游企业经营行为。</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3、制定雁江区旅游业发展规划并组织实施；负责组织全区旅游整体形象的宣传和组织参加省内外的重大促销活动；组织指导重要旅游产品的开发。</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4、对雁江区经营旅游业务的企事业单位进行行业管理，归口审核经营旅游业务的旅行社（公司）；组织审核旅游饭店的星级评定；协调和指导旅游商品的生产和销售、旅游安全、旅游娱乐等工作；对旅游企业的经营和服务质量依法实施监督检查。</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5、促进和引导旅游行业利用外资和社会投资工作，负责国家、省、市区下达的旅游基建项目的立项审核；对区内旅游景区（景点）、旅游度假区（村）和其它重点旅游建设项目实施宏观指导和检查。</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6、贯彻执行党和国家的外事侨务工作方针政策、涉外涉侨法规及市委、市政府、区委、区政府关于外事侨务工作指导和决定；提出外侨旅工作规划及建议；检查全区有关部门、单位贯彻执行对外方针政策和涉侨法规的情况；处理或协助处理重大的涉外、涉侨事务。</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7、归口管理全区因公出国事务，承办全区因公出国团组、人员报批事宜；对出国人员进行外事纪律教育，检查因公出国团组和人员在国外的活动情况。</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8、管理并承办邀请外国人来雁江访问的具体报批事宜；负责接待雁江区访问国宾、党宾和其他重要外宾及外国记者；统筹安排区委、区人大、区政府和区政协领导同志的外事活动。</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9、开展涉外、涉侨宣传工作；开展对外经济、科技、文化交流与合作；开展对华侨、华人、港澳同胞及社团的团结友好工作，开展对贫困归侨侨眷救济、扶贫工作；扶持归侨侨眷发展企事业。</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10、依法保护归侨、侨眷和华侨、华人、港澳同胞在雁江的合法权益；协助有关部门做好归侨侨眷代表人士的人事安排。</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11、利用外事、侨务工作渠道牵线搭桥，引进资金、技术、人才，接受境外捐赠。</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12、对全区外事、侨务、旅游干部和导游人员、宾馆旅游管理和服务人员进行业务培训，指导乡镇外事侨务旅游工作。</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13、 承办区委与市委主管部门或区政府与市政府主管部门交办的其它事项。</w:t>
      </w:r>
    </w:p>
    <w:bookmarkEnd w:id="18"/>
    <w:bookmarkEnd w:id="19"/>
    <w:p>
      <w:pPr>
        <w:pStyle w:val="5"/>
        <w:adjustRightInd w:val="0"/>
        <w:snapToGrid w:val="0"/>
        <w:spacing w:before="93" w:line="600" w:lineRule="exact"/>
        <w:ind w:firstLine="675" w:firstLineChars="210"/>
        <w:outlineLvl w:val="2"/>
        <w:rPr>
          <w:rFonts w:ascii="仿宋" w:hAnsi="仿宋" w:eastAsia="仿宋"/>
          <w:b/>
          <w:color w:val="000000"/>
          <w:sz w:val="32"/>
          <w:szCs w:val="32"/>
        </w:rPr>
      </w:pPr>
      <w:bookmarkStart w:id="20" w:name="_Toc15377199"/>
      <w:bookmarkStart w:id="21" w:name="_Toc15378446"/>
      <w:r>
        <w:rPr>
          <w:rFonts w:hint="eastAsia" w:ascii="仿宋" w:hAnsi="仿宋" w:eastAsia="仿宋"/>
          <w:b/>
          <w:color w:val="000000"/>
          <w:sz w:val="32"/>
          <w:szCs w:val="32"/>
        </w:rPr>
        <w:t>（二）</w:t>
      </w:r>
      <w:r>
        <w:rPr>
          <w:rFonts w:ascii="仿宋" w:hAnsi="仿宋" w:eastAsia="仿宋"/>
          <w:b/>
          <w:color w:val="000000"/>
          <w:sz w:val="32"/>
          <w:szCs w:val="32"/>
        </w:rPr>
        <w:t>201</w:t>
      </w:r>
      <w:r>
        <w:rPr>
          <w:rFonts w:hint="eastAsia" w:ascii="仿宋" w:hAnsi="仿宋" w:eastAsia="仿宋"/>
          <w:b/>
          <w:color w:val="000000"/>
          <w:sz w:val="32"/>
          <w:szCs w:val="32"/>
        </w:rPr>
        <w:t>8年重点工作完成情况</w:t>
      </w:r>
      <w:bookmarkEnd w:id="20"/>
      <w:bookmarkEnd w:id="21"/>
    </w:p>
    <w:p>
      <w:pPr>
        <w:pStyle w:val="5"/>
        <w:adjustRightInd w:val="0"/>
        <w:snapToGrid w:val="0"/>
        <w:spacing w:before="93" w:line="600" w:lineRule="exact"/>
        <w:ind w:firstLine="675" w:firstLineChars="210"/>
        <w:outlineLvl w:val="2"/>
        <w:rPr>
          <w:rFonts w:ascii="仿宋" w:hAnsi="仿宋" w:eastAsia="仿宋"/>
          <w:b/>
          <w:color w:val="000000"/>
          <w:sz w:val="32"/>
          <w:szCs w:val="32"/>
        </w:rPr>
      </w:pPr>
      <w:r>
        <w:rPr>
          <w:rFonts w:hint="eastAsia" w:ascii="仿宋" w:hAnsi="仿宋" w:eastAsia="仿宋"/>
          <w:b/>
          <w:color w:val="000000"/>
          <w:sz w:val="32"/>
          <w:szCs w:val="32"/>
        </w:rPr>
        <w:t>1、创新思维，务实工作，全面推进具有丘陵特色的中国乡村旅游目的地建设</w:t>
      </w:r>
    </w:p>
    <w:p>
      <w:pPr>
        <w:pStyle w:val="5"/>
        <w:adjustRightInd w:val="0"/>
        <w:snapToGrid w:val="0"/>
        <w:spacing w:before="93" w:line="600" w:lineRule="exact"/>
        <w:ind w:firstLine="675" w:firstLineChars="210"/>
        <w:outlineLvl w:val="2"/>
        <w:rPr>
          <w:rFonts w:ascii="仿宋" w:hAnsi="仿宋" w:eastAsia="仿宋"/>
          <w:b/>
          <w:color w:val="000000"/>
          <w:sz w:val="32"/>
          <w:szCs w:val="32"/>
        </w:rPr>
      </w:pPr>
      <w:r>
        <w:rPr>
          <w:rFonts w:hint="eastAsia" w:ascii="仿宋" w:hAnsi="仿宋" w:eastAsia="仿宋"/>
          <w:b/>
          <w:color w:val="000000"/>
          <w:sz w:val="32"/>
          <w:szCs w:val="32"/>
        </w:rPr>
        <w:t>（1）稳步推进先行区工作，着力增强雁江旅游发展新引擎</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一是突出项目建设，集聚发展动力。牵头启动实施的花溪河项目(阳化河示范段生态绿廊及水系治理项目)，目前正在开展核心区点位打造、水环境治理等；建设推出南津迎桥半坡，着力为城乡居民打造春季赏花景点；加快推进水龙灵度假村项目，目前正在创建省级五星级乡村酒店。</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是突出民生保障，推进厕所革命。我办将厕所革命工作基础工程、文明工程、民生工程来抓，扎实推进旅游厕所建设。目前已完成新建旅游厕所9座，完成目标任务的100%，其余厕所正在有序建设。今年上半年，我办代表区政府接受了省民生办督查，受到了高度肯定，旅游厕所的建设有效补齐影响群众生活品质短板，不断提升了市民和游客的幸福感、获得感和满意度。</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三是突出示范创建，提升发展品质。深入推进保和生态旅游区创4A工作，目前景区于9月13日顺利通过景观质量评审，完成景区创4A提升规划和实施方案并通过初审，下一步将全面启动创建工作。</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四是突出机制创新，拓宽发展思路。突破镇域建立花溪河管委会</w:t>
      </w:r>
      <w:r>
        <w:rPr>
          <w:rFonts w:hint="eastAsia" w:ascii="仿宋" w:hAnsi="仿宋" w:eastAsia="仿宋"/>
          <w:bCs/>
          <w:color w:val="000000"/>
          <w:sz w:val="32"/>
          <w:szCs w:val="32"/>
          <w:lang w:val="zh-CN"/>
        </w:rPr>
        <w:t>，有效破除了景区管理体制障碍</w:t>
      </w:r>
      <w:r>
        <w:rPr>
          <w:rFonts w:hint="eastAsia" w:ascii="仿宋" w:hAnsi="仿宋" w:eastAsia="仿宋"/>
          <w:bCs/>
          <w:color w:val="000000"/>
          <w:sz w:val="32"/>
          <w:szCs w:val="32"/>
        </w:rPr>
        <w:t>；指导龙洞湾景区建立“公司+农户”的模式，农民以土地经营权入股，有效地解决了公司管理运营成本的问题，通过公司统筹，农户全员参与到景区建设中来，真正实现了公司与农户共同受益。</w:t>
      </w:r>
    </w:p>
    <w:p>
      <w:pPr>
        <w:pStyle w:val="5"/>
        <w:adjustRightInd w:val="0"/>
        <w:snapToGrid w:val="0"/>
        <w:spacing w:before="93" w:line="600" w:lineRule="exact"/>
        <w:ind w:firstLine="675" w:firstLineChars="210"/>
        <w:outlineLvl w:val="2"/>
        <w:rPr>
          <w:rFonts w:ascii="仿宋" w:hAnsi="仿宋" w:eastAsia="仿宋"/>
          <w:b/>
          <w:color w:val="000000"/>
          <w:sz w:val="32"/>
          <w:szCs w:val="32"/>
        </w:rPr>
      </w:pPr>
      <w:r>
        <w:rPr>
          <w:rFonts w:hint="eastAsia" w:ascii="仿宋" w:hAnsi="仿宋" w:eastAsia="仿宋"/>
          <w:b/>
          <w:color w:val="000000"/>
          <w:sz w:val="32"/>
          <w:szCs w:val="32"/>
        </w:rPr>
        <w:t>（2）积极创新宣传营销，着力拓展雁江旅游发展新空间</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一是加大办节力度，重点开展品牌活动。按照政府搭台、企业办节的原则，我办以长寿文化旅游节为主线，先后成功举办了花灯节、首届赏花节、小龙虾美食节等五大节会活动，受到了社会各界的肯定。其中赏花节、小龙虾美食节、荷花节等采用了1+N的办节模式，带动多个镇乡、贫困村开发乡村旅游，促进农业产业规模化发展，助力精准扶贫，深入实施乡村振兴战略，截至目前，节庆活动累计吸引游客190余万人次，拉动餐饮、住宿、交通等产业发展，实现旅游收入4.35亿元。</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是加大宣传力度，有效拓展旅游市场。加强与凤凰网、中新网、四川日报、华西都市报、封面新闻、资阳日报等40余家媒体的合作。利用微信、微博、微视“三微一端”新媒体对节庆活动进行持续跟踪报道，其中赏花节期间封面新闻关于赏花节碑记镇分会场半月山大佛现“佛光”的新闻点击率突破千万，为赏花节聚集了火爆人气。拍摄制作了雁江旅游宣传片、赏花节宣传片、保和生态旅游区宣传片等，对雁江旅游景区点和旅游资源、历史人文进行了宣传，受到一致好评。</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三是加大招商力度，增强雁江旅游竞争力。包装推出驿都水乡·古驿南津、花溪河生态旅游度假区等9个项目，计划总投资达122亿元。通过到走出去实地招商和参加四川旅博会、四川旅游特色商品大赛等，先后吸引蓝城集团、复地集团、上海复古文旅、驴妈妈等多家公司考察旅游项目，成功签订佑里滨江、十里沱江等项目。</w:t>
      </w:r>
    </w:p>
    <w:p>
      <w:pPr>
        <w:pStyle w:val="5"/>
        <w:adjustRightInd w:val="0"/>
        <w:snapToGrid w:val="0"/>
        <w:spacing w:before="93" w:line="600" w:lineRule="exact"/>
        <w:ind w:firstLine="643" w:firstLineChars="200"/>
        <w:outlineLvl w:val="2"/>
        <w:rPr>
          <w:rFonts w:ascii="仿宋" w:hAnsi="仿宋" w:eastAsia="仿宋"/>
          <w:b/>
          <w:color w:val="000000"/>
          <w:sz w:val="32"/>
          <w:szCs w:val="32"/>
        </w:rPr>
      </w:pPr>
      <w:r>
        <w:rPr>
          <w:rFonts w:hint="eastAsia" w:ascii="仿宋" w:hAnsi="仿宋" w:eastAsia="仿宋"/>
          <w:b/>
          <w:color w:val="000000"/>
          <w:sz w:val="32"/>
          <w:szCs w:val="32"/>
        </w:rPr>
        <w:t>（3） 助力精准脱贫，推动乡村旅游扶贫</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按照《资阳市旅游局2018年扶贫工作计划》和雁江区2018年脱贫攻坚相关要求，结合我区实际，制定了《雁江区旅游扶贫2018年工作计划》，通过支持扶贫村产业发展、带动旅游企业参与扶贫、开展扶贫专项培训等工作，今年以来，节庆活动带动中和镇三清村、干沟村、龙嘴村，祥符镇团碑村，老君镇新桥村、伍隍镇五里村、东峰镇东峰村等贫困村发展规模种养殖，实现乡村旅游产业跨步发展，实现了输血式扶贫向造血式扶贫的转变。</w:t>
      </w:r>
    </w:p>
    <w:p>
      <w:pPr>
        <w:pStyle w:val="5"/>
        <w:adjustRightInd w:val="0"/>
        <w:snapToGrid w:val="0"/>
        <w:spacing w:before="93" w:line="600" w:lineRule="exact"/>
        <w:ind w:firstLine="675" w:firstLineChars="210"/>
        <w:outlineLvl w:val="2"/>
        <w:rPr>
          <w:rFonts w:ascii="仿宋" w:hAnsi="仿宋" w:eastAsia="仿宋"/>
          <w:b/>
          <w:color w:val="000000"/>
          <w:sz w:val="32"/>
          <w:szCs w:val="32"/>
        </w:rPr>
      </w:pPr>
      <w:r>
        <w:rPr>
          <w:rFonts w:hint="eastAsia" w:ascii="仿宋" w:hAnsi="仿宋" w:eastAsia="仿宋"/>
          <w:b/>
          <w:color w:val="000000"/>
          <w:sz w:val="32"/>
          <w:szCs w:val="32"/>
        </w:rPr>
        <w:t>（4）对标学习先进经验，促进旅游产业发展</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一是制定行动方案。立足“成渝门户枢纽  临空新兴城市”发展定位，把握成都东进战略机遇，借鉴成都龙泉驿区经验，制定了对标行动方案，打造成渝生态休闲旅游基地，为建设成资同城化创新发展先行区提供重要支撑。二是推动产业发展。加强与龙泉驿区学习交流，收集龙泉驿区旅游产业规划、古镇规划和建设、重大项目推动情况，着力学习先进经验，掌握其发展动向，指导推进十里沱江、花溪河等项目建设。三是联办旅游节庆。成都国际桃花节是龙泉驿区一张响亮的名片，目前已持续举办32届。我办加强对接沟通，认真学习龙泉驿区办节经验，与龙泉驿区共同开展重走古驿道活动，并依托其节庆平台，建立宣传共推、市场共享合作，不断提升我区旅游节庆知名度和影响力。</w:t>
      </w:r>
    </w:p>
    <w:p>
      <w:pPr>
        <w:pStyle w:val="5"/>
        <w:adjustRightInd w:val="0"/>
        <w:snapToGrid w:val="0"/>
        <w:spacing w:before="93" w:line="600" w:lineRule="exact"/>
        <w:ind w:firstLine="675" w:firstLineChars="210"/>
        <w:outlineLvl w:val="2"/>
        <w:rPr>
          <w:rFonts w:ascii="仿宋" w:hAnsi="仿宋" w:eastAsia="仿宋"/>
          <w:b/>
          <w:color w:val="000000"/>
          <w:sz w:val="32"/>
          <w:szCs w:val="32"/>
        </w:rPr>
      </w:pPr>
      <w:r>
        <w:rPr>
          <w:rFonts w:hint="eastAsia" w:ascii="仿宋" w:hAnsi="仿宋" w:eastAsia="仿宋"/>
          <w:b/>
          <w:color w:val="000000"/>
          <w:sz w:val="32"/>
          <w:szCs w:val="32"/>
        </w:rPr>
        <w:t>（5）切实加强规范管理，提升雁江旅游品质</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一是切实加强旅游市场监管工作。与各涉旅企业签订了《年度目标管理责任书》13份，层层落实责任，通过“红盾春雷”行动、安全生产每月全覆盖检查等，严厉整治“不合理低价游”、在线旅游企业违法经营，督导旅游企业消防安全、食品卫生、服务保障等，不断规范旅游市场，提升旅游服务质量。二是强化从业人员培训。组织相两期乡村旅游扶贫培训班，培训80余人次，通过理论学习和实地考察，着力转变镇村干部及业主观念，提升乡村旅游管理水平；组织星级旅游饭店从业人员参加星级标准服务培训，提高从业人员服务水平；组织雁江乡村旅游参加省旅发委组织的学习交流活动，学习台湾休闲农业与康养旅游、文化创意与乡村民宿发展；邀请台湾专家到雁江授课，为雁江旅游企业业主传经送宝，创新经营理念，打开运营思路；邀请中国城镇化促进会城乡统筹委副会长、北京绿十字创始人、总顾问、中国人民大学特聘教授，清华大学“清农学堂”教授，农道联众设计研究院院长孙君开展“乡村振兴中的常识”讲座，全区各部门、街道、镇乡班子成员和旅游业主单位参加，为雁江乡村旅游发展、城镇建设指明了方向。三是</w:t>
      </w:r>
      <w:bookmarkStart w:id="22" w:name="OLE_LINK2"/>
      <w:r>
        <w:rPr>
          <w:rFonts w:hint="eastAsia" w:ascii="仿宋" w:hAnsi="仿宋" w:eastAsia="仿宋"/>
          <w:bCs/>
          <w:color w:val="000000"/>
          <w:sz w:val="32"/>
          <w:szCs w:val="32"/>
        </w:rPr>
        <w:t>组织“乡村振兴  文旅先行”论坛。邀请四川大学教授程励、成都大学旅游与经济管理学院教授林光旭、大梁文旅集团董事长梁川等就乡村旅游发展和乡村振兴作专题发言，建言我区文旅产业发展。</w:t>
      </w:r>
      <w:bookmarkEnd w:id="22"/>
      <w:r>
        <w:rPr>
          <w:rFonts w:hint="eastAsia" w:ascii="仿宋" w:hAnsi="仿宋" w:eastAsia="仿宋"/>
          <w:bCs/>
          <w:color w:val="000000"/>
          <w:sz w:val="32"/>
          <w:szCs w:val="32"/>
        </w:rPr>
        <w:t>四是开展系列主题活动。深入开展创文创卫、扫黑除恶等，通过制作主题宣传品、开展景区志愿服务活动等，大力开展宣传摸排，不断提升行业服务质量和服务水平，进一步营造文明、和谐、绿色的旅游环境。</w:t>
      </w:r>
    </w:p>
    <w:p>
      <w:pPr>
        <w:pStyle w:val="5"/>
        <w:adjustRightInd w:val="0"/>
        <w:snapToGrid w:val="0"/>
        <w:spacing w:before="93" w:line="600" w:lineRule="exact"/>
        <w:ind w:firstLine="675" w:firstLineChars="210"/>
        <w:outlineLvl w:val="2"/>
        <w:rPr>
          <w:rFonts w:ascii="仿宋" w:hAnsi="仿宋" w:eastAsia="仿宋"/>
          <w:b/>
          <w:color w:val="000000"/>
          <w:sz w:val="32"/>
          <w:szCs w:val="32"/>
        </w:rPr>
      </w:pPr>
      <w:r>
        <w:rPr>
          <w:rFonts w:hint="eastAsia" w:ascii="仿宋" w:hAnsi="仿宋" w:eastAsia="仿宋"/>
          <w:b/>
          <w:color w:val="000000"/>
          <w:sz w:val="32"/>
          <w:szCs w:val="32"/>
        </w:rPr>
        <w:t>2、完善制度，强化管理，主动提升外事服务水平</w:t>
      </w:r>
    </w:p>
    <w:p>
      <w:pPr>
        <w:pStyle w:val="5"/>
        <w:adjustRightInd w:val="0"/>
        <w:snapToGrid w:val="0"/>
        <w:spacing w:before="93" w:line="600" w:lineRule="exact"/>
        <w:ind w:firstLine="675" w:firstLineChars="210"/>
        <w:outlineLvl w:val="2"/>
        <w:rPr>
          <w:rFonts w:ascii="仿宋" w:hAnsi="仿宋" w:eastAsia="仿宋"/>
          <w:b/>
          <w:color w:val="000000"/>
          <w:sz w:val="32"/>
          <w:szCs w:val="32"/>
        </w:rPr>
      </w:pPr>
      <w:r>
        <w:rPr>
          <w:rFonts w:hint="eastAsia" w:ascii="仿宋" w:hAnsi="仿宋" w:eastAsia="仿宋"/>
          <w:b/>
          <w:color w:val="000000"/>
          <w:sz w:val="32"/>
          <w:szCs w:val="32"/>
        </w:rPr>
        <w:t>（1）完善涉外管理</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进一步完善境外非政府组织管理协调机制和境外非政府组织在我区活动的报批制度和信息通报制度，强化了对境外非政府组织人员在我区活动的监管。</w:t>
      </w:r>
    </w:p>
    <w:p>
      <w:pPr>
        <w:pStyle w:val="5"/>
        <w:adjustRightInd w:val="0"/>
        <w:snapToGrid w:val="0"/>
        <w:spacing w:before="93" w:line="600" w:lineRule="exact"/>
        <w:ind w:firstLine="675" w:firstLineChars="210"/>
        <w:outlineLvl w:val="2"/>
        <w:rPr>
          <w:rFonts w:ascii="仿宋" w:hAnsi="仿宋" w:eastAsia="仿宋"/>
          <w:b/>
          <w:color w:val="000000"/>
          <w:sz w:val="32"/>
          <w:szCs w:val="32"/>
        </w:rPr>
      </w:pPr>
      <w:r>
        <w:rPr>
          <w:rFonts w:hint="eastAsia" w:ascii="仿宋" w:hAnsi="仿宋" w:eastAsia="仿宋"/>
          <w:b/>
          <w:color w:val="000000"/>
          <w:sz w:val="32"/>
          <w:szCs w:val="32"/>
        </w:rPr>
        <w:t>（2）严格因公出国（境）人员管理</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进一步加强因公出国（境）管理，严格把关、认真审查，有效杜绝了借以开会、培训、考察等名义公款出国（境）旅游等违规行为的发生。</w:t>
      </w:r>
    </w:p>
    <w:p>
      <w:pPr>
        <w:pStyle w:val="5"/>
        <w:adjustRightInd w:val="0"/>
        <w:snapToGrid w:val="0"/>
        <w:spacing w:before="93" w:line="600" w:lineRule="exact"/>
        <w:ind w:firstLine="675" w:firstLineChars="210"/>
        <w:outlineLvl w:val="2"/>
        <w:rPr>
          <w:rFonts w:ascii="仿宋" w:hAnsi="仿宋" w:eastAsia="仿宋"/>
          <w:b/>
          <w:color w:val="000000"/>
          <w:sz w:val="32"/>
          <w:szCs w:val="32"/>
        </w:rPr>
      </w:pPr>
      <w:r>
        <w:rPr>
          <w:rFonts w:hint="eastAsia" w:ascii="仿宋" w:hAnsi="仿宋" w:eastAsia="仿宋"/>
          <w:b/>
          <w:color w:val="000000"/>
          <w:sz w:val="32"/>
          <w:szCs w:val="32"/>
        </w:rPr>
        <w:t>3、以侨为本，为侨服务，助力地方经济社会发展</w:t>
      </w:r>
    </w:p>
    <w:p>
      <w:pPr>
        <w:pStyle w:val="5"/>
        <w:adjustRightInd w:val="0"/>
        <w:snapToGrid w:val="0"/>
        <w:spacing w:before="93" w:line="600" w:lineRule="exact"/>
        <w:ind w:firstLine="675" w:firstLineChars="210"/>
        <w:outlineLvl w:val="2"/>
        <w:rPr>
          <w:rFonts w:ascii="仿宋" w:hAnsi="仿宋" w:eastAsia="仿宋"/>
          <w:b/>
          <w:color w:val="000000"/>
          <w:sz w:val="32"/>
          <w:szCs w:val="32"/>
        </w:rPr>
      </w:pPr>
      <w:r>
        <w:rPr>
          <w:rFonts w:hint="eastAsia" w:ascii="仿宋" w:hAnsi="仿宋" w:eastAsia="仿宋"/>
          <w:b/>
          <w:color w:val="000000"/>
          <w:sz w:val="32"/>
          <w:szCs w:val="32"/>
        </w:rPr>
        <w:t>（1） 涵养资源，充分发挥桥梁纽带作用</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利用传统佳节走访慰问，加强沟通联系，为侨属送去节日祝福，并通过他们向海外亲属传达祝福，宣传雁江社会经济发展情况和投资政策，鼓励他们积极参与、助力雁江建设。召开“三胞三属”迎春、中秋座谈会，邀请归侨、侨属、侨胞为雁江发展建言献策。积极主动参与“引进来”、“走出去”各类活动，建设联接政府部门和侨界人士的通达桥梁，构建为地方经济建设和社会发展服务的有效载体。</w:t>
      </w:r>
    </w:p>
    <w:p>
      <w:pPr>
        <w:pStyle w:val="5"/>
        <w:adjustRightInd w:val="0"/>
        <w:snapToGrid w:val="0"/>
        <w:spacing w:before="93" w:line="600" w:lineRule="exact"/>
        <w:ind w:firstLine="675" w:firstLineChars="210"/>
        <w:outlineLvl w:val="2"/>
        <w:rPr>
          <w:rFonts w:ascii="仿宋" w:hAnsi="仿宋" w:eastAsia="仿宋"/>
          <w:b/>
          <w:color w:val="000000"/>
          <w:sz w:val="32"/>
          <w:szCs w:val="32"/>
        </w:rPr>
      </w:pPr>
      <w:r>
        <w:rPr>
          <w:rFonts w:hint="eastAsia" w:ascii="仿宋" w:hAnsi="仿宋" w:eastAsia="仿宋"/>
          <w:b/>
          <w:color w:val="000000"/>
          <w:sz w:val="32"/>
          <w:szCs w:val="32"/>
        </w:rPr>
        <w:t>（2）凝聚侨心，维护归侨侨眷合法权益</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以为侨法律服务站为载体，深入开展《侨法》宣传，帮助归侨侨眷、侨胞侨属维护合法权益。截至目前，为侨法律服务站累计为归侨侨眷提供免费咨询30余次。</w:t>
      </w:r>
    </w:p>
    <w:p>
      <w:pPr>
        <w:pStyle w:val="5"/>
        <w:adjustRightInd w:val="0"/>
        <w:snapToGrid w:val="0"/>
        <w:spacing w:before="93" w:line="600" w:lineRule="exact"/>
        <w:ind w:firstLine="675" w:firstLineChars="210"/>
        <w:outlineLvl w:val="2"/>
        <w:rPr>
          <w:rFonts w:ascii="仿宋" w:hAnsi="仿宋" w:eastAsia="仿宋"/>
          <w:b/>
          <w:color w:val="000000"/>
          <w:sz w:val="32"/>
          <w:szCs w:val="32"/>
        </w:rPr>
      </w:pPr>
      <w:r>
        <w:rPr>
          <w:rFonts w:hint="eastAsia" w:ascii="仿宋" w:hAnsi="仿宋" w:eastAsia="仿宋"/>
          <w:b/>
          <w:color w:val="000000"/>
          <w:sz w:val="32"/>
          <w:szCs w:val="32"/>
        </w:rPr>
        <w:t>（3）解难帮困，持续改善侨届民生</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一是深入侨企调研。以“大走访”活动为契机，结合“大学习、大讨论、大调研”深入侨企调研生产经营情况、需要解决的困难和问题，能够解决的，积极协调解决，需要上级协调的，及时反映、呼吁，全力有效地做好服务工作。</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二是助力精准扶贫。以“万侨助万村”侨务励志帮扶活动为切入点，积极开展帮扶活动，采取项目支持、技术指导、物资帮扶等方式开展帮扶，实现帮扶工作由“输血”向“造血”的转变，帮助贫困群众和侨属真正实现脱贫致富。截至目前累计为贫困户发放价值5000余元的物资，引导400人次在龙嘴村产业基地务工，人均增收500余元。</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r>
        <w:rPr>
          <w:rFonts w:hint="eastAsia" w:ascii="仿宋" w:hAnsi="仿宋" w:eastAsia="仿宋"/>
          <w:bCs/>
          <w:color w:val="000000"/>
          <w:sz w:val="32"/>
          <w:szCs w:val="32"/>
        </w:rPr>
        <w:t>三是关心侨界群众困难。对全区农村散居困难侨属摸底，对全区3户散居农村困难侨属实施重点帮扶，通过送猪、羊、鸡、鸭苗和饲料、肥料，并邀请农业专业技术人员开展专题授课，讲解种植、养殖技能，着力通过产业扶持，帮助困难归侨侨属发展种植、养殖业，让扶贫变输血为造血，使困难侨属真正实现脱贫致富。</w:t>
      </w:r>
    </w:p>
    <w:p>
      <w:pPr>
        <w:pStyle w:val="3"/>
        <w:rPr>
          <w:rStyle w:val="25"/>
          <w:b w:val="0"/>
          <w:bCs w:val="0"/>
        </w:rPr>
      </w:pPr>
      <w:bookmarkStart w:id="23" w:name="_Toc15377200"/>
      <w:bookmarkStart w:id="24" w:name="_Toc17103551"/>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3"/>
      <w:bookmarkEnd w:id="24"/>
    </w:p>
    <w:p>
      <w:pPr>
        <w:ind w:firstLine="800" w:firstLineChars="250"/>
        <w:rPr>
          <w:rFonts w:ascii="仿宋" w:hAnsi="仿宋" w:eastAsia="仿宋"/>
          <w:sz w:val="32"/>
          <w:szCs w:val="32"/>
        </w:rPr>
      </w:pPr>
      <w:r>
        <w:rPr>
          <w:rFonts w:hint="eastAsia" w:ascii="仿宋" w:hAnsi="仿宋" w:eastAsia="仿宋"/>
          <w:sz w:val="32"/>
          <w:szCs w:val="32"/>
        </w:rPr>
        <w:t>雁江区外事侨务旅游办公室是独立编制、独立核算的机构，核定行政编制5人；实有人员5人； 2018年我单位有退休人员5人。</w:t>
      </w:r>
    </w:p>
    <w:p>
      <w:pPr>
        <w:pStyle w:val="2"/>
        <w:ind w:right="440"/>
        <w:jc w:val="right"/>
        <w:rPr>
          <w:rStyle w:val="24"/>
          <w:rFonts w:ascii="黑体" w:hAnsi="黑体" w:eastAsia="黑体"/>
          <w:b w:val="0"/>
          <w:bCs w:val="0"/>
        </w:rPr>
      </w:pPr>
      <w:bookmarkStart w:id="25" w:name="_Toc15377204"/>
      <w:bookmarkStart w:id="26" w:name="_Toc17103552"/>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25"/>
      <w:bookmarkEnd w:id="26"/>
    </w:p>
    <w:p/>
    <w:p>
      <w:pPr>
        <w:pStyle w:val="23"/>
        <w:numPr>
          <w:ilvl w:val="0"/>
          <w:numId w:val="1"/>
        </w:numPr>
        <w:spacing w:line="600" w:lineRule="exact"/>
        <w:ind w:firstLineChars="0"/>
        <w:outlineLvl w:val="1"/>
        <w:rPr>
          <w:rStyle w:val="25"/>
          <w:rFonts w:ascii="黑体" w:hAnsi="黑体" w:eastAsia="黑体"/>
          <w:b w:val="0"/>
        </w:rPr>
      </w:pPr>
      <w:bookmarkStart w:id="27" w:name="_Toc15377205"/>
      <w:bookmarkStart w:id="28" w:name="_Toc1710355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7"/>
      <w:bookmarkEnd w:id="28"/>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2018年度</w:t>
      </w:r>
      <w:r>
        <w:rPr>
          <w:rFonts w:hint="eastAsia" w:ascii="仿宋" w:hAnsi="仿宋" w:eastAsia="仿宋"/>
          <w:color w:val="000000"/>
          <w:sz w:val="32"/>
          <w:szCs w:val="32"/>
          <w:lang w:val="zh-CN"/>
        </w:rPr>
        <w:t>收入</w:t>
      </w:r>
      <w:r>
        <w:rPr>
          <w:rFonts w:hint="eastAsia" w:ascii="仿宋" w:hAnsi="仿宋" w:eastAsia="仿宋"/>
          <w:color w:val="000000"/>
          <w:sz w:val="32"/>
          <w:szCs w:val="32"/>
        </w:rPr>
        <w:t>692.41万元，支出692.41万元。收、支总计1384.82万元。与2017年相比，收入增加85.61万元，增长14.11%；主要变动原因</w:t>
      </w:r>
      <w:r>
        <w:rPr>
          <w:rFonts w:hint="eastAsia" w:ascii="仿宋" w:hAnsi="仿宋" w:eastAsia="仿宋"/>
          <w:color w:val="000000"/>
          <w:sz w:val="32"/>
          <w:szCs w:val="32"/>
          <w:lang w:val="zh-CN"/>
        </w:rPr>
        <w:t>是职工工资增长和201</w:t>
      </w:r>
      <w:r>
        <w:rPr>
          <w:rFonts w:hint="eastAsia" w:ascii="仿宋" w:hAnsi="仿宋" w:eastAsia="仿宋"/>
          <w:color w:val="000000"/>
          <w:sz w:val="32"/>
          <w:szCs w:val="32"/>
        </w:rPr>
        <w:t>8</w:t>
      </w:r>
      <w:r>
        <w:rPr>
          <w:rFonts w:hint="eastAsia" w:ascii="仿宋" w:hAnsi="仿宋" w:eastAsia="仿宋"/>
          <w:color w:val="000000"/>
          <w:sz w:val="32"/>
          <w:szCs w:val="32"/>
          <w:lang w:val="zh-CN"/>
        </w:rPr>
        <w:t>年完成上年项目支出。</w:t>
      </w: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4000" w:lineRule="exact"/>
        <w:ind w:firstLine="640" w:firstLineChars="200"/>
        <w:jc w:val="left"/>
        <w:rPr>
          <w:rFonts w:ascii="仿宋_GB2312" w:eastAsia="仿宋_GB2312"/>
          <w:color w:val="000000"/>
          <w:sz w:val="32"/>
          <w:szCs w:val="32"/>
        </w:rPr>
      </w:pPr>
      <w:r>
        <w:rPr>
          <w:rFonts w:ascii="仿宋_GB2312" w:eastAsia="仿宋_GB2312"/>
          <w:color w:val="000000"/>
          <w:sz w:val="32"/>
          <w:szCs w:val="32"/>
        </w:rPr>
        <w:drawing>
          <wp:inline distT="0" distB="0" distL="0" distR="0">
            <wp:extent cx="3457575" cy="1905000"/>
            <wp:effectExtent l="19050" t="0" r="9525"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29" w:name="_Toc17103554"/>
      <w:bookmarkStart w:id="30"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9"/>
      <w:bookmarkEnd w:id="30"/>
    </w:p>
    <w:p>
      <w:pPr>
        <w:spacing w:line="600" w:lineRule="exact"/>
        <w:ind w:firstLine="640" w:firstLineChars="200"/>
        <w:outlineLvl w:val="1"/>
        <w:rPr>
          <w:rFonts w:ascii="仿宋" w:hAnsi="仿宋" w:eastAsia="仿宋"/>
          <w:color w:val="000000"/>
          <w:sz w:val="32"/>
          <w:szCs w:val="32"/>
        </w:rPr>
      </w:pPr>
      <w:bookmarkStart w:id="31" w:name="_Toc17103555"/>
      <w:r>
        <w:rPr>
          <w:rFonts w:ascii="仿宋" w:hAnsi="仿宋" w:eastAsia="仿宋"/>
          <w:color w:val="000000"/>
          <w:sz w:val="32"/>
          <w:szCs w:val="32"/>
        </w:rPr>
        <w:t>201</w:t>
      </w:r>
      <w:r>
        <w:rPr>
          <w:rFonts w:hint="eastAsia" w:ascii="仿宋" w:hAnsi="仿宋" w:eastAsia="仿宋"/>
          <w:color w:val="000000"/>
          <w:sz w:val="32"/>
          <w:szCs w:val="32"/>
        </w:rPr>
        <w:t>8年本年收入合计349.93万元，其中：一般公共预算财政拨款收入349.93万元，占100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bookmarkEnd w:id="31"/>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4000" w:lineRule="exact"/>
        <w:ind w:firstLine="640" w:firstLineChars="200"/>
        <w:rPr>
          <w:rFonts w:ascii="仿宋_GB2312" w:eastAsia="仿宋_GB2312"/>
          <w:color w:val="FF0000"/>
          <w:sz w:val="32"/>
          <w:szCs w:val="32"/>
        </w:rPr>
      </w:pPr>
      <w:r>
        <w:rPr>
          <w:rFonts w:ascii="仿宋_GB2312" w:eastAsia="仿宋_GB2312"/>
          <w:color w:val="FF0000"/>
          <w:sz w:val="32"/>
          <w:szCs w:val="32"/>
        </w:rPr>
        <w:drawing>
          <wp:inline distT="0" distB="0" distL="0" distR="0">
            <wp:extent cx="2505075" cy="1819910"/>
            <wp:effectExtent l="4445" t="4445" r="5080" b="1968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3"/>
        <w:numPr>
          <w:ilvl w:val="0"/>
          <w:numId w:val="1"/>
        </w:numPr>
        <w:spacing w:line="600" w:lineRule="exact"/>
        <w:ind w:firstLineChars="0"/>
        <w:outlineLvl w:val="1"/>
        <w:rPr>
          <w:rStyle w:val="25"/>
          <w:rFonts w:ascii="黑体" w:hAnsi="黑体" w:eastAsia="黑体"/>
          <w:b w:val="0"/>
        </w:rPr>
      </w:pPr>
      <w:bookmarkStart w:id="32" w:name="_Toc15377207"/>
      <w:bookmarkStart w:id="33" w:name="_Toc17103556"/>
      <w:r>
        <w:rPr>
          <w:rFonts w:hint="eastAsia" w:ascii="黑体" w:hAnsi="黑体" w:eastAsia="黑体"/>
          <w:color w:val="000000"/>
          <w:sz w:val="32"/>
          <w:szCs w:val="32"/>
        </w:rPr>
        <w:t>支</w:t>
      </w:r>
      <w:r>
        <w:rPr>
          <w:rStyle w:val="25"/>
          <w:rFonts w:hint="eastAsia" w:ascii="黑体" w:hAnsi="黑体" w:eastAsia="黑体"/>
          <w:b w:val="0"/>
        </w:rPr>
        <w:t>出决算情况说明</w:t>
      </w:r>
      <w:bookmarkEnd w:id="32"/>
      <w:bookmarkEnd w:id="33"/>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8年本年支出合计514.03万元，其中：基本支出97.23万元，占18.91</w:t>
      </w:r>
      <w:r>
        <w:rPr>
          <w:rFonts w:ascii="仿宋" w:hAnsi="仿宋" w:eastAsia="仿宋"/>
          <w:color w:val="000000"/>
          <w:sz w:val="32"/>
          <w:szCs w:val="32"/>
        </w:rPr>
        <w:t>%</w:t>
      </w:r>
      <w:r>
        <w:rPr>
          <w:rFonts w:hint="eastAsia" w:ascii="仿宋" w:hAnsi="仿宋" w:eastAsia="仿宋"/>
          <w:color w:val="000000"/>
          <w:sz w:val="32"/>
          <w:szCs w:val="32"/>
        </w:rPr>
        <w:t>；项目支出416.81万元，占81.09</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4000" w:lineRule="exact"/>
        <w:ind w:firstLine="640" w:firstLineChars="200"/>
        <w:rPr>
          <w:rFonts w:hint="eastAsia" w:ascii="黑体" w:hAnsi="黑体" w:eastAsia="黑体"/>
          <w:color w:val="000000"/>
          <w:sz w:val="32"/>
          <w:szCs w:val="32"/>
        </w:rPr>
      </w:pPr>
      <w:r>
        <w:rPr>
          <w:rFonts w:ascii="仿宋_GB2312" w:eastAsia="仿宋_GB2312"/>
          <w:color w:val="FF0000"/>
          <w:sz w:val="32"/>
          <w:szCs w:val="32"/>
        </w:rPr>
        <w:drawing>
          <wp:inline distT="0" distB="0" distL="0" distR="0">
            <wp:extent cx="2505075" cy="1838325"/>
            <wp:effectExtent l="19050" t="0" r="9525" b="0"/>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bookmarkStart w:id="34" w:name="_Toc17103557"/>
      <w:bookmarkStart w:id="35" w:name="_Toc15377208"/>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4"/>
      <w:bookmarkEnd w:id="3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8年财政拨款收、支总计1384.82万元。与</w:t>
      </w:r>
      <w:r>
        <w:rPr>
          <w:rFonts w:ascii="仿宋" w:hAnsi="仿宋" w:eastAsia="仿宋"/>
          <w:color w:val="000000"/>
          <w:sz w:val="32"/>
          <w:szCs w:val="32"/>
        </w:rPr>
        <w:t>201</w:t>
      </w:r>
      <w:r>
        <w:rPr>
          <w:rFonts w:hint="eastAsia" w:ascii="仿宋" w:hAnsi="仿宋" w:eastAsia="仿宋"/>
          <w:color w:val="000000"/>
          <w:sz w:val="32"/>
          <w:szCs w:val="32"/>
        </w:rPr>
        <w:t>7年相比，财政拨款收入增加85.61万元，增长14.11%；主要变动原因</w:t>
      </w:r>
      <w:r>
        <w:rPr>
          <w:rFonts w:hint="eastAsia" w:ascii="仿宋" w:hAnsi="仿宋" w:eastAsia="仿宋"/>
          <w:color w:val="000000"/>
          <w:sz w:val="32"/>
          <w:szCs w:val="32"/>
          <w:lang w:val="zh-CN"/>
        </w:rPr>
        <w:t>是职工工资增长和201</w:t>
      </w:r>
      <w:r>
        <w:rPr>
          <w:rFonts w:hint="eastAsia" w:ascii="仿宋" w:hAnsi="仿宋" w:eastAsia="仿宋"/>
          <w:color w:val="000000"/>
          <w:sz w:val="32"/>
          <w:szCs w:val="32"/>
        </w:rPr>
        <w:t>8</w:t>
      </w:r>
      <w:r>
        <w:rPr>
          <w:rFonts w:hint="eastAsia" w:ascii="仿宋" w:hAnsi="仿宋" w:eastAsia="仿宋"/>
          <w:color w:val="000000"/>
          <w:sz w:val="32"/>
          <w:szCs w:val="32"/>
          <w:lang w:val="zh-CN"/>
        </w:rPr>
        <w:t>年完成上年项目支出。</w:t>
      </w:r>
    </w:p>
    <w:p>
      <w:pPr>
        <w:spacing w:line="600" w:lineRule="exact"/>
        <w:ind w:firstLine="640" w:firstLineChars="200"/>
        <w:rPr>
          <w:rFonts w:hint="eastAsia"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4000" w:lineRule="exact"/>
        <w:ind w:firstLine="643" w:firstLineChars="200"/>
        <w:rPr>
          <w:rFonts w:ascii="仿宋" w:hAnsi="仿宋" w:eastAsia="仿宋"/>
          <w:b/>
          <w:color w:val="00B050"/>
          <w:sz w:val="32"/>
          <w:szCs w:val="32"/>
        </w:rPr>
      </w:pPr>
      <w:r>
        <w:rPr>
          <w:rFonts w:ascii="仿宋" w:hAnsi="仿宋" w:eastAsia="仿宋"/>
          <w:b/>
          <w:color w:val="00B050"/>
          <w:sz w:val="32"/>
          <w:szCs w:val="32"/>
        </w:rPr>
        <w:drawing>
          <wp:inline distT="0" distB="0" distL="0" distR="0">
            <wp:extent cx="3019425" cy="1990725"/>
            <wp:effectExtent l="19050" t="0" r="9525"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outlineLvl w:val="1"/>
        <w:rPr>
          <w:rFonts w:hint="eastAsia" w:ascii="黑体" w:hAnsi="黑体" w:eastAsia="黑体"/>
          <w:color w:val="000000"/>
          <w:sz w:val="32"/>
          <w:szCs w:val="32"/>
        </w:rPr>
      </w:pPr>
      <w:bookmarkStart w:id="36" w:name="_Toc17103558"/>
      <w:bookmarkStart w:id="37" w:name="_Toc15377209"/>
    </w:p>
    <w:p>
      <w:pPr>
        <w:spacing w:line="600" w:lineRule="exact"/>
        <w:ind w:firstLine="640" w:firstLineChars="200"/>
        <w:outlineLvl w:val="1"/>
        <w:rPr>
          <w:rStyle w:val="25"/>
          <w:rFonts w:ascii="黑体" w:hAnsi="黑体" w:eastAsia="黑体"/>
          <w:b w:val="0"/>
        </w:rPr>
      </w:pPr>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6"/>
      <w:bookmarkEnd w:id="37"/>
    </w:p>
    <w:p>
      <w:pPr>
        <w:spacing w:line="600" w:lineRule="exact"/>
        <w:ind w:firstLine="643" w:firstLineChars="200"/>
        <w:outlineLvl w:val="2"/>
        <w:rPr>
          <w:rFonts w:ascii="仿宋" w:hAnsi="仿宋" w:eastAsia="仿宋"/>
          <w:b/>
          <w:color w:val="000000"/>
          <w:sz w:val="32"/>
          <w:szCs w:val="32"/>
        </w:rPr>
      </w:pPr>
      <w:bookmarkStart w:id="38" w:name="_Toc15377210"/>
      <w:r>
        <w:rPr>
          <w:rFonts w:hint="eastAsia" w:ascii="仿宋" w:hAnsi="仿宋" w:eastAsia="仿宋"/>
          <w:b/>
          <w:color w:val="000000"/>
          <w:sz w:val="32"/>
          <w:szCs w:val="32"/>
        </w:rPr>
        <w:t>（一）一般公共预算财政拨款支出决算总体情况</w:t>
      </w:r>
      <w:bookmarkEnd w:id="38"/>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8年一般公共预算财政拨款支出498.03万元，占本年支出合计的96.89</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7年相比，一般公共预算财政拨款增加322.07万元，增长183.04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val="zh-CN"/>
        </w:rPr>
        <w:t>职工工资增长和201</w:t>
      </w:r>
      <w:r>
        <w:rPr>
          <w:rFonts w:hint="eastAsia" w:ascii="仿宋" w:hAnsi="仿宋" w:eastAsia="仿宋"/>
          <w:color w:val="000000"/>
          <w:sz w:val="32"/>
          <w:szCs w:val="32"/>
        </w:rPr>
        <w:t>8</w:t>
      </w:r>
      <w:r>
        <w:rPr>
          <w:rFonts w:hint="eastAsia" w:ascii="仿宋" w:hAnsi="仿宋" w:eastAsia="仿宋"/>
          <w:color w:val="000000"/>
          <w:sz w:val="32"/>
          <w:szCs w:val="32"/>
          <w:lang w:val="zh-CN"/>
        </w:rPr>
        <w:t>年完成上年项目支出。</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（图5：一般公共预算财政拨款支出决算变动情况）（柱状图）</w:t>
      </w:r>
    </w:p>
    <w:p>
      <w:pPr>
        <w:spacing w:line="4000" w:lineRule="exact"/>
        <w:rPr>
          <w:rFonts w:hint="eastAsia" w:ascii="仿宋" w:hAnsi="仿宋" w:eastAsia="仿宋"/>
          <w:b/>
          <w:color w:val="000000"/>
          <w:sz w:val="32"/>
          <w:szCs w:val="32"/>
        </w:rPr>
      </w:pPr>
      <w:bookmarkStart w:id="39" w:name="_Toc15377211"/>
      <w:r>
        <w:rPr>
          <w:rFonts w:ascii="仿宋" w:hAnsi="仿宋" w:eastAsia="仿宋"/>
          <w:color w:val="000000" w:themeColor="text1"/>
          <w:sz w:val="32"/>
          <w:szCs w:val="32"/>
        </w:rPr>
        <w:drawing>
          <wp:inline distT="0" distB="0" distL="0" distR="0">
            <wp:extent cx="2819400" cy="1674495"/>
            <wp:effectExtent l="4445" t="4445" r="10795" b="12700"/>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outlineLvl w:val="2"/>
        <w:rPr>
          <w:rFonts w:ascii="仿宋" w:hAnsi="仿宋" w:eastAsia="仿宋"/>
          <w:b/>
          <w:color w:val="000000"/>
          <w:sz w:val="32"/>
          <w:szCs w:val="32"/>
        </w:rPr>
      </w:pPr>
      <w:r>
        <w:rPr>
          <w:rFonts w:hint="eastAsia" w:ascii="仿宋" w:hAnsi="仿宋" w:eastAsia="仿宋"/>
          <w:b/>
          <w:color w:val="000000"/>
          <w:sz w:val="32"/>
          <w:szCs w:val="32"/>
        </w:rPr>
        <w:t>（二）一般公共预算财政拨款支出决算结构情况</w:t>
      </w:r>
      <w:bookmarkEnd w:id="39"/>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rPr>
        <w:t>政拨款支出498.03万元，主要用于以下方面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一般公共服务（类）</w:t>
      </w:r>
      <w:r>
        <w:rPr>
          <w:rFonts w:hint="eastAsia" w:ascii="仿宋" w:hAnsi="仿宋" w:eastAsia="仿宋"/>
          <w:color w:val="000000" w:themeColor="text1"/>
          <w:sz w:val="32"/>
          <w:szCs w:val="32"/>
        </w:rPr>
        <w:t>支出260.67万元，占52.34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社会保障和就业（类）</w:t>
      </w:r>
      <w:r>
        <w:rPr>
          <w:rFonts w:hint="eastAsia" w:ascii="仿宋" w:hAnsi="仿宋" w:eastAsia="仿宋"/>
          <w:color w:val="000000" w:themeColor="text1"/>
          <w:sz w:val="32"/>
          <w:szCs w:val="32"/>
        </w:rPr>
        <w:t>支出15.31万元，占3.07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医疗卫生支出</w:t>
      </w:r>
      <w:r>
        <w:rPr>
          <w:rFonts w:hint="eastAsia" w:ascii="仿宋" w:hAnsi="仿宋" w:eastAsia="仿宋"/>
          <w:color w:val="000000" w:themeColor="text1"/>
          <w:sz w:val="32"/>
          <w:szCs w:val="32"/>
        </w:rPr>
        <w:t>2.68万元，占0.54</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住房保障支出</w:t>
      </w:r>
      <w:r>
        <w:rPr>
          <w:rFonts w:hint="eastAsia" w:ascii="仿宋" w:hAnsi="仿宋" w:eastAsia="仿宋"/>
          <w:color w:val="000000" w:themeColor="text1"/>
          <w:sz w:val="32"/>
          <w:szCs w:val="32"/>
        </w:rPr>
        <w:t>4.73万元，占0.95</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商业服务支出</w:t>
      </w:r>
      <w:r>
        <w:rPr>
          <w:rFonts w:hint="eastAsia" w:ascii="仿宋" w:hAnsi="仿宋" w:eastAsia="仿宋"/>
          <w:color w:val="000000" w:themeColor="text1"/>
          <w:sz w:val="32"/>
          <w:szCs w:val="32"/>
        </w:rPr>
        <w:t>214.65万元，占43.1%。</w:t>
      </w:r>
      <w:r>
        <w:rPr>
          <w:rFonts w:hint="eastAsia" w:ascii="仿宋" w:hAnsi="仿宋" w:eastAsia="仿宋"/>
          <w:b/>
          <w:color w:val="000000" w:themeColor="text1"/>
          <w:sz w:val="32"/>
          <w:szCs w:val="32"/>
        </w:rPr>
        <w:t>（罗列全部功能分类科目，至类级。）</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4000" w:lineRule="exact"/>
        <w:ind w:firstLine="640" w:firstLineChars="200"/>
        <w:rPr>
          <w:rFonts w:ascii="仿宋" w:hAnsi="仿宋" w:eastAsia="仿宋"/>
          <w:color w:val="000000"/>
          <w:sz w:val="32"/>
          <w:szCs w:val="32"/>
        </w:rPr>
      </w:pPr>
      <w:r>
        <w:rPr>
          <w:rFonts w:ascii="仿宋" w:hAnsi="仿宋" w:eastAsia="仿宋"/>
          <w:color w:val="000000"/>
          <w:sz w:val="32"/>
          <w:szCs w:val="32"/>
        </w:rPr>
        <w:drawing>
          <wp:inline distT="0" distB="0" distL="0" distR="0">
            <wp:extent cx="2819400" cy="2189480"/>
            <wp:effectExtent l="4445" t="4445" r="10795" b="1587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color w:val="000000"/>
          <w:sz w:val="32"/>
          <w:szCs w:val="32"/>
        </w:rPr>
      </w:pPr>
      <w:bookmarkStart w:id="40" w:name="_Toc15377212"/>
      <w:r>
        <w:rPr>
          <w:rFonts w:hint="eastAsia" w:ascii="仿宋" w:hAnsi="仿宋" w:eastAsia="仿宋"/>
          <w:b/>
          <w:color w:val="000000"/>
          <w:sz w:val="32"/>
          <w:szCs w:val="32"/>
        </w:rPr>
        <w:t>（三）一般公共预算财政拨款支出决算具体情况</w:t>
      </w:r>
      <w:bookmarkEnd w:id="40"/>
    </w:p>
    <w:p>
      <w:pPr>
        <w:spacing w:line="600" w:lineRule="exact"/>
        <w:ind w:firstLine="643" w:firstLineChars="200"/>
        <w:outlineLvl w:val="2"/>
        <w:rPr>
          <w:rFonts w:ascii="仿宋" w:hAnsi="仿宋" w:eastAsia="仿宋"/>
          <w:color w:val="FF0000"/>
          <w:sz w:val="32"/>
          <w:szCs w:val="32"/>
        </w:rPr>
      </w:pPr>
      <w:bookmarkStart w:id="41" w:name="_Toc15378460"/>
      <w:bookmarkStart w:id="42" w:name="_Toc15377444"/>
      <w:bookmarkStart w:id="43" w:name="_Toc15377213"/>
      <w:r>
        <w:rPr>
          <w:rFonts w:hint="eastAsia" w:ascii="仿宋" w:hAnsi="仿宋" w:eastAsia="仿宋"/>
          <w:b/>
          <w:color w:val="000000" w:themeColor="text1"/>
          <w:sz w:val="32"/>
          <w:szCs w:val="32"/>
        </w:rPr>
        <w:t>2018年般公共预算支出决算数为498.03</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41"/>
      <w:bookmarkEnd w:id="42"/>
      <w:bookmarkEnd w:id="43"/>
    </w:p>
    <w:p>
      <w:pPr>
        <w:numPr>
          <w:ilvl w:val="0"/>
          <w:numId w:val="2"/>
        </w:numPr>
        <w:spacing w:line="600" w:lineRule="exact"/>
        <w:ind w:firstLine="643" w:firstLineChars="200"/>
        <w:rPr>
          <w:rStyle w:val="14"/>
          <w:rFonts w:ascii="仿宋" w:hAnsi="仿宋" w:eastAsia="仿宋"/>
          <w:bCs/>
          <w:color w:val="000000"/>
          <w:sz w:val="32"/>
          <w:szCs w:val="32"/>
        </w:rPr>
      </w:pPr>
      <w:r>
        <w:rPr>
          <w:rStyle w:val="14"/>
          <w:rFonts w:hint="eastAsia" w:ascii="仿宋" w:hAnsi="仿宋" w:eastAsia="仿宋"/>
          <w:bCs/>
          <w:color w:val="000000"/>
          <w:sz w:val="32"/>
          <w:szCs w:val="32"/>
        </w:rPr>
        <w:t>一般公共服务（政府办公厅室及相关机构事务支出）</w:t>
      </w:r>
    </w:p>
    <w:p>
      <w:pPr>
        <w:spacing w:line="600" w:lineRule="exact"/>
        <w:ind w:firstLine="643" w:firstLineChars="200"/>
        <w:rPr>
          <w:rStyle w:val="14"/>
          <w:rFonts w:hint="eastAsia" w:ascii="仿宋" w:hAnsi="仿宋" w:eastAsia="仿宋"/>
          <w:b w:val="0"/>
          <w:bCs/>
          <w:color w:val="000000"/>
          <w:sz w:val="32"/>
          <w:szCs w:val="32"/>
          <w:lang w:val="en-US" w:eastAsia="zh-CN"/>
        </w:rPr>
      </w:pPr>
      <w:r>
        <w:rPr>
          <w:rStyle w:val="14"/>
          <w:rFonts w:hint="eastAsia" w:ascii="仿宋" w:hAnsi="仿宋" w:eastAsia="仿宋"/>
          <w:bCs/>
          <w:color w:val="000000"/>
          <w:sz w:val="32"/>
          <w:szCs w:val="32"/>
        </w:rPr>
        <w:t>行政运行2010301</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支出决算为74.51万元，完成预算100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。决算数大于预算数的主要原因是基本支出中人员经费涨幅较大</w:t>
      </w:r>
      <w:r>
        <w:rPr>
          <w:rStyle w:val="14"/>
          <w:rFonts w:hint="eastAsia" w:ascii="仿宋" w:hAnsi="仿宋" w:eastAsia="仿宋"/>
          <w:b w:val="0"/>
          <w:bCs/>
          <w:color w:val="000000"/>
          <w:sz w:val="32"/>
          <w:szCs w:val="32"/>
          <w:lang w:eastAsia="zh-CN"/>
        </w:rPr>
        <w:t>。</w:t>
      </w:r>
    </w:p>
    <w:p>
      <w:pPr>
        <w:spacing w:line="600" w:lineRule="exact"/>
        <w:ind w:firstLine="643" w:firstLineChars="200"/>
        <w:rPr>
          <w:rStyle w:val="14"/>
          <w:rFonts w:ascii="仿宋" w:hAnsi="仿宋" w:eastAsia="仿宋"/>
          <w:b w:val="0"/>
          <w:bCs/>
          <w:color w:val="000000"/>
          <w:sz w:val="32"/>
          <w:szCs w:val="32"/>
        </w:rPr>
      </w:pPr>
      <w:r>
        <w:rPr>
          <w:rStyle w:val="14"/>
          <w:rFonts w:hint="eastAsia" w:ascii="仿宋" w:hAnsi="仿宋" w:eastAsia="仿宋"/>
          <w:color w:val="000000"/>
          <w:sz w:val="32"/>
          <w:szCs w:val="32"/>
        </w:rPr>
        <w:t>一般行政事务管理2010302：</w:t>
      </w:r>
      <w:r>
        <w:rPr>
          <w:rStyle w:val="14"/>
          <w:rFonts w:hint="eastAsia" w:ascii="仿宋" w:hAnsi="仿宋" w:eastAsia="仿宋"/>
          <w:b w:val="0"/>
          <w:bCs/>
          <w:color w:val="000000"/>
          <w:sz w:val="32"/>
          <w:szCs w:val="32"/>
        </w:rPr>
        <w:t>支出决算为9.30万元，完成预算100%。决算数小于预算数的主要原因是</w:t>
      </w:r>
      <w:r>
        <w:rPr>
          <w:rStyle w:val="14"/>
          <w:rFonts w:hint="eastAsia" w:ascii="仿宋" w:hAnsi="仿宋" w:eastAsia="仿宋"/>
          <w:b w:val="0"/>
          <w:bCs/>
          <w:color w:val="000000"/>
          <w:sz w:val="32"/>
          <w:szCs w:val="32"/>
          <w:lang w:eastAsia="zh-CN"/>
        </w:rPr>
        <w:t>财政压缩经费追减预算。</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color w:val="000000"/>
          <w:sz w:val="32"/>
          <w:szCs w:val="32"/>
        </w:rPr>
        <w:t>其他政府办公厅（室）及相关机构事务支出2010399：</w:t>
      </w:r>
      <w:r>
        <w:rPr>
          <w:rStyle w:val="14"/>
          <w:rFonts w:hint="eastAsia" w:ascii="仿宋" w:hAnsi="仿宋" w:eastAsia="仿宋"/>
          <w:b w:val="0"/>
          <w:bCs/>
          <w:color w:val="000000"/>
          <w:sz w:val="32"/>
          <w:szCs w:val="32"/>
        </w:rPr>
        <w:t>支出决算为176.86万元，完成预算100%。决算数</w:t>
      </w:r>
      <w:r>
        <w:rPr>
          <w:rStyle w:val="14"/>
          <w:rFonts w:hint="eastAsia" w:ascii="仿宋" w:hAnsi="仿宋" w:eastAsia="仿宋"/>
          <w:b w:val="0"/>
          <w:bCs/>
          <w:color w:val="000000"/>
          <w:sz w:val="32"/>
          <w:szCs w:val="32"/>
          <w:lang w:eastAsia="zh-CN"/>
        </w:rPr>
        <w:t>大</w:t>
      </w:r>
      <w:r>
        <w:rPr>
          <w:rStyle w:val="14"/>
          <w:rFonts w:hint="eastAsia" w:ascii="仿宋" w:hAnsi="仿宋" w:eastAsia="仿宋"/>
          <w:b w:val="0"/>
          <w:bCs/>
          <w:color w:val="000000"/>
          <w:sz w:val="32"/>
          <w:szCs w:val="32"/>
        </w:rPr>
        <w:t>于预算数的主要原因是</w:t>
      </w:r>
      <w:r>
        <w:rPr>
          <w:rStyle w:val="14"/>
          <w:rFonts w:hint="eastAsia" w:ascii="仿宋" w:hAnsi="仿宋" w:eastAsia="仿宋"/>
          <w:b w:val="0"/>
          <w:bCs/>
          <w:color w:val="000000"/>
          <w:sz w:val="32"/>
          <w:szCs w:val="32"/>
          <w:lang w:eastAsia="zh-CN"/>
        </w:rPr>
        <w:t>日常工作经费增加。</w:t>
      </w:r>
    </w:p>
    <w:p>
      <w:pPr>
        <w:numPr>
          <w:ilvl w:val="0"/>
          <w:numId w:val="2"/>
        </w:numPr>
        <w:spacing w:line="600" w:lineRule="exact"/>
        <w:ind w:left="0" w:leftChars="0" w:firstLine="643" w:firstLineChars="200"/>
        <w:rPr>
          <w:rStyle w:val="14"/>
          <w:rFonts w:ascii="仿宋" w:hAnsi="仿宋" w:eastAsia="仿宋"/>
          <w:b w:val="0"/>
          <w:bCs/>
          <w:color w:val="000000"/>
          <w:sz w:val="32"/>
          <w:szCs w:val="32"/>
        </w:rPr>
      </w:pPr>
      <w:r>
        <w:rPr>
          <w:rStyle w:val="14"/>
          <w:rFonts w:hint="eastAsia" w:ascii="仿宋" w:hAnsi="仿宋" w:eastAsia="仿宋"/>
          <w:bCs/>
          <w:color w:val="000000"/>
          <w:sz w:val="32"/>
          <w:szCs w:val="32"/>
        </w:rPr>
        <w:t>教育（类）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p>
    <w:p>
      <w:pPr>
        <w:numPr>
          <w:ilvl w:val="0"/>
          <w:numId w:val="0"/>
        </w:numPr>
        <w:spacing w:line="600" w:lineRule="exact"/>
        <w:ind w:leftChars="200" w:firstLine="960" w:firstLineChars="300"/>
        <w:rPr>
          <w:rStyle w:val="14"/>
          <w:rFonts w:hint="eastAsia" w:ascii="仿宋" w:hAnsi="仿宋" w:eastAsia="仿宋"/>
          <w:b w:val="0"/>
          <w:bCs/>
          <w:color w:val="000000"/>
          <w:sz w:val="32"/>
          <w:szCs w:val="32"/>
          <w:lang w:eastAsia="zh-CN"/>
        </w:rPr>
      </w:pPr>
      <w:r>
        <w:rPr>
          <w:rStyle w:val="14"/>
          <w:rFonts w:hint="eastAsia" w:ascii="仿宋" w:hAnsi="仿宋" w:eastAsia="仿宋"/>
          <w:b w:val="0"/>
          <w:bCs/>
          <w:color w:val="000000"/>
          <w:sz w:val="32"/>
          <w:szCs w:val="32"/>
          <w:lang w:eastAsia="zh-CN"/>
        </w:rPr>
        <w:t>没有</w:t>
      </w:r>
    </w:p>
    <w:p>
      <w:pPr>
        <w:spacing w:line="600" w:lineRule="exact"/>
        <w:ind w:firstLine="643" w:firstLineChars="200"/>
        <w:rPr>
          <w:rStyle w:val="14"/>
          <w:rFonts w:ascii="仿宋" w:hAnsi="仿宋" w:eastAsia="仿宋"/>
          <w:b w:val="0"/>
          <w:bCs/>
          <w:color w:val="000000"/>
          <w:sz w:val="32"/>
          <w:szCs w:val="32"/>
        </w:rPr>
      </w:pPr>
      <w:r>
        <w:rPr>
          <w:rStyle w:val="14"/>
          <w:rFonts w:ascii="仿宋" w:hAnsi="仿宋" w:eastAsia="仿宋"/>
          <w:bCs/>
          <w:color w:val="000000"/>
          <w:sz w:val="32"/>
          <w:szCs w:val="32"/>
        </w:rPr>
        <w:t>3.</w:t>
      </w:r>
      <w:r>
        <w:rPr>
          <w:rStyle w:val="14"/>
          <w:rFonts w:hint="eastAsia" w:ascii="仿宋" w:hAnsi="仿宋" w:eastAsia="仿宋"/>
          <w:bCs/>
          <w:color w:val="000000"/>
          <w:sz w:val="32"/>
          <w:szCs w:val="32"/>
        </w:rPr>
        <w:t>科学技术（类）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p>
    <w:p>
      <w:pPr>
        <w:spacing w:line="600" w:lineRule="exact"/>
        <w:ind w:firstLine="1280" w:firstLineChars="400"/>
        <w:rPr>
          <w:rStyle w:val="14"/>
          <w:rFonts w:hint="eastAsia" w:ascii="仿宋" w:hAnsi="仿宋" w:eastAsia="仿宋"/>
          <w:b w:val="0"/>
          <w:bCs/>
          <w:color w:val="000000"/>
          <w:sz w:val="32"/>
          <w:szCs w:val="32"/>
          <w:lang w:eastAsia="zh-CN"/>
        </w:rPr>
      </w:pPr>
      <w:r>
        <w:rPr>
          <w:rStyle w:val="14"/>
          <w:rFonts w:hint="eastAsia" w:ascii="仿宋" w:hAnsi="仿宋" w:eastAsia="仿宋"/>
          <w:b w:val="0"/>
          <w:bCs/>
          <w:color w:val="000000"/>
          <w:sz w:val="32"/>
          <w:szCs w:val="32"/>
          <w:lang w:eastAsia="zh-CN"/>
        </w:rPr>
        <w:t>没有</w:t>
      </w:r>
    </w:p>
    <w:p>
      <w:pPr>
        <w:spacing w:line="600" w:lineRule="exact"/>
        <w:ind w:firstLine="643" w:firstLineChars="200"/>
        <w:rPr>
          <w:rStyle w:val="14"/>
          <w:rFonts w:ascii="仿宋" w:hAnsi="仿宋" w:eastAsia="仿宋"/>
          <w:b w:val="0"/>
          <w:bCs/>
          <w:color w:val="000000"/>
          <w:sz w:val="32"/>
          <w:szCs w:val="32"/>
        </w:rPr>
      </w:pPr>
      <w:r>
        <w:rPr>
          <w:rStyle w:val="14"/>
          <w:rFonts w:ascii="仿宋" w:hAnsi="仿宋" w:eastAsia="仿宋"/>
          <w:bCs/>
          <w:color w:val="000000"/>
          <w:sz w:val="32"/>
          <w:szCs w:val="32"/>
        </w:rPr>
        <w:t>4.</w:t>
      </w:r>
      <w:r>
        <w:rPr>
          <w:rStyle w:val="14"/>
          <w:rFonts w:hint="eastAsia" w:ascii="仿宋" w:hAnsi="仿宋" w:eastAsia="仿宋"/>
          <w:bCs/>
          <w:color w:val="000000"/>
          <w:sz w:val="32"/>
          <w:szCs w:val="32"/>
        </w:rPr>
        <w:t>文化体育与传媒（类）</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（款）</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p>
    <w:p>
      <w:pPr>
        <w:spacing w:line="600" w:lineRule="exact"/>
        <w:ind w:firstLine="1280" w:firstLineChars="400"/>
        <w:rPr>
          <w:rStyle w:val="14"/>
          <w:rFonts w:hint="eastAsia" w:ascii="仿宋" w:hAnsi="仿宋" w:eastAsia="仿宋"/>
          <w:b w:val="0"/>
          <w:bCs/>
          <w:color w:val="000000"/>
          <w:sz w:val="32"/>
          <w:szCs w:val="32"/>
          <w:lang w:eastAsia="zh-CN"/>
        </w:rPr>
      </w:pPr>
      <w:r>
        <w:rPr>
          <w:rStyle w:val="14"/>
          <w:rFonts w:hint="eastAsia" w:ascii="仿宋" w:hAnsi="仿宋" w:eastAsia="仿宋"/>
          <w:b w:val="0"/>
          <w:bCs/>
          <w:color w:val="000000"/>
          <w:sz w:val="32"/>
          <w:szCs w:val="32"/>
          <w:lang w:eastAsia="zh-CN"/>
        </w:rPr>
        <w:t>没有</w:t>
      </w:r>
    </w:p>
    <w:p>
      <w:pPr>
        <w:spacing w:line="600" w:lineRule="exact"/>
        <w:ind w:firstLine="643" w:firstLineChars="200"/>
        <w:rPr>
          <w:rStyle w:val="14"/>
          <w:rFonts w:ascii="仿宋" w:hAnsi="仿宋" w:eastAsia="仿宋"/>
          <w:bCs/>
          <w:color w:val="000000"/>
          <w:sz w:val="32"/>
          <w:szCs w:val="32"/>
        </w:rPr>
      </w:pPr>
      <w:r>
        <w:rPr>
          <w:rStyle w:val="14"/>
          <w:rFonts w:ascii="仿宋" w:hAnsi="仿宋" w:eastAsia="仿宋"/>
          <w:bCs/>
          <w:color w:val="000000"/>
          <w:sz w:val="32"/>
          <w:szCs w:val="32"/>
        </w:rPr>
        <w:t>5.</w:t>
      </w:r>
      <w:r>
        <w:rPr>
          <w:rStyle w:val="14"/>
          <w:rFonts w:hint="eastAsia" w:ascii="仿宋" w:hAnsi="仿宋" w:eastAsia="仿宋"/>
          <w:bCs/>
          <w:color w:val="000000"/>
          <w:sz w:val="32"/>
          <w:szCs w:val="32"/>
        </w:rPr>
        <w:t>社会保障和就业（行政事业单位离退休支出）</w:t>
      </w:r>
    </w:p>
    <w:p>
      <w:pPr>
        <w:spacing w:line="600" w:lineRule="exact"/>
        <w:ind w:firstLine="643" w:firstLineChars="200"/>
        <w:rPr>
          <w:rStyle w:val="14"/>
          <w:rFonts w:hint="eastAsia" w:ascii="仿宋" w:hAnsi="仿宋" w:eastAsia="仿宋"/>
          <w:b w:val="0"/>
          <w:bCs/>
          <w:color w:val="000000"/>
          <w:sz w:val="32"/>
          <w:szCs w:val="32"/>
          <w:lang w:eastAsia="zh-CN"/>
        </w:rPr>
      </w:pPr>
      <w:r>
        <w:rPr>
          <w:rStyle w:val="14"/>
          <w:rFonts w:hint="eastAsia" w:ascii="仿宋" w:hAnsi="仿宋" w:eastAsia="仿宋"/>
          <w:bCs/>
          <w:color w:val="000000"/>
          <w:sz w:val="32"/>
          <w:szCs w:val="32"/>
        </w:rPr>
        <w:t>归口管理的行政单位离退休2080501</w:t>
      </w:r>
      <w:r>
        <w:rPr>
          <w:rStyle w:val="14"/>
          <w:rFonts w:ascii="仿宋" w:hAnsi="仿宋" w:eastAsia="仿宋"/>
          <w:bCs/>
          <w:color w:val="000000"/>
          <w:sz w:val="32"/>
          <w:szCs w:val="32"/>
        </w:rPr>
        <w:t>:</w:t>
      </w:r>
      <w:r>
        <w:rPr>
          <w:rStyle w:val="14"/>
          <w:rFonts w:ascii="仿宋" w:hAnsi="仿宋" w:eastAsia="仿宋"/>
          <w:b w:val="0"/>
          <w:bCs/>
          <w:color w:val="000000"/>
          <w:sz w:val="32"/>
          <w:szCs w:val="32"/>
        </w:rPr>
        <w:t xml:space="preserve"> </w:t>
      </w:r>
      <w:r>
        <w:rPr>
          <w:rStyle w:val="14"/>
          <w:rFonts w:hint="eastAsia" w:ascii="仿宋" w:hAnsi="仿宋" w:eastAsia="仿宋"/>
          <w:b w:val="0"/>
          <w:bCs/>
          <w:color w:val="000000"/>
          <w:sz w:val="32"/>
          <w:szCs w:val="32"/>
        </w:rPr>
        <w:t>支出决算为3.60万元，完成预算100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。决算数等于预算数</w:t>
      </w:r>
      <w:r>
        <w:rPr>
          <w:rStyle w:val="14"/>
          <w:rFonts w:hint="eastAsia" w:ascii="仿宋" w:hAnsi="仿宋" w:eastAsia="仿宋"/>
          <w:b w:val="0"/>
          <w:bCs/>
          <w:color w:val="000000"/>
          <w:sz w:val="32"/>
          <w:szCs w:val="32"/>
          <w:lang w:eastAsia="zh-CN"/>
        </w:rPr>
        <w:t>。</w:t>
      </w:r>
    </w:p>
    <w:p>
      <w:pPr>
        <w:spacing w:line="600" w:lineRule="exact"/>
        <w:ind w:firstLine="643" w:firstLineChars="200"/>
        <w:rPr>
          <w:rStyle w:val="14"/>
          <w:rFonts w:hint="eastAsia" w:ascii="仿宋" w:hAnsi="仿宋" w:eastAsia="仿宋"/>
          <w:b w:val="0"/>
          <w:bCs/>
          <w:color w:val="000000"/>
          <w:sz w:val="32"/>
          <w:szCs w:val="32"/>
          <w:lang w:eastAsia="zh-CN"/>
        </w:rPr>
      </w:pPr>
      <w:r>
        <w:rPr>
          <w:rStyle w:val="14"/>
          <w:rFonts w:hint="eastAsia" w:ascii="仿宋" w:hAnsi="仿宋" w:eastAsia="仿宋"/>
          <w:color w:val="000000"/>
          <w:sz w:val="32"/>
          <w:szCs w:val="32"/>
        </w:rPr>
        <w:t>机机关事业单位基本养老保险缴费支出2080505：</w:t>
      </w:r>
      <w:r>
        <w:rPr>
          <w:rStyle w:val="14"/>
          <w:rFonts w:hint="eastAsia" w:ascii="仿宋" w:hAnsi="仿宋" w:eastAsia="仿宋"/>
          <w:b w:val="0"/>
          <w:bCs/>
          <w:color w:val="000000"/>
          <w:sz w:val="32"/>
          <w:szCs w:val="32"/>
        </w:rPr>
        <w:t>支出决算为7.64万元，完成预算100%。决算数等于预算数</w:t>
      </w:r>
      <w:r>
        <w:rPr>
          <w:rStyle w:val="14"/>
          <w:rFonts w:hint="eastAsia" w:ascii="仿宋" w:hAnsi="仿宋" w:eastAsia="仿宋"/>
          <w:b w:val="0"/>
          <w:bCs/>
          <w:color w:val="000000"/>
          <w:sz w:val="32"/>
          <w:szCs w:val="32"/>
          <w:lang w:eastAsia="zh-CN"/>
        </w:rPr>
        <w:t>。</w:t>
      </w:r>
    </w:p>
    <w:p>
      <w:pPr>
        <w:spacing w:line="600" w:lineRule="exact"/>
        <w:ind w:firstLine="643" w:firstLineChars="200"/>
        <w:rPr>
          <w:rStyle w:val="14"/>
          <w:rFonts w:hint="eastAsia" w:ascii="仿宋" w:hAnsi="仿宋" w:eastAsia="仿宋"/>
          <w:b w:val="0"/>
          <w:bCs/>
          <w:color w:val="000000"/>
          <w:sz w:val="32"/>
          <w:szCs w:val="32"/>
          <w:lang w:eastAsia="zh-CN"/>
        </w:rPr>
      </w:pPr>
      <w:r>
        <w:rPr>
          <w:rStyle w:val="14"/>
          <w:rFonts w:hint="eastAsia" w:ascii="仿宋" w:hAnsi="仿宋" w:eastAsia="仿宋"/>
          <w:color w:val="000000"/>
          <w:sz w:val="32"/>
          <w:szCs w:val="32"/>
        </w:rPr>
        <w:t>机关事业单位职业年金缴费支出2080506：</w:t>
      </w:r>
      <w:r>
        <w:rPr>
          <w:rStyle w:val="14"/>
          <w:rFonts w:hint="eastAsia" w:ascii="仿宋" w:hAnsi="仿宋" w:eastAsia="仿宋"/>
          <w:b w:val="0"/>
          <w:bCs/>
          <w:color w:val="000000"/>
          <w:sz w:val="32"/>
          <w:szCs w:val="32"/>
        </w:rPr>
        <w:t>支出决算为:4.07万元，完成预算100%。决算数等于预算数</w:t>
      </w:r>
      <w:r>
        <w:rPr>
          <w:rStyle w:val="14"/>
          <w:rFonts w:hint="eastAsia" w:ascii="仿宋" w:hAnsi="仿宋" w:eastAsia="仿宋"/>
          <w:b w:val="0"/>
          <w:bCs/>
          <w:color w:val="000000"/>
          <w:sz w:val="32"/>
          <w:szCs w:val="32"/>
          <w:lang w:eastAsia="zh-CN"/>
        </w:rPr>
        <w:t>。</w:t>
      </w:r>
    </w:p>
    <w:p>
      <w:pPr>
        <w:numPr>
          <w:ilvl w:val="0"/>
          <w:numId w:val="3"/>
        </w:numPr>
        <w:spacing w:line="600" w:lineRule="exact"/>
        <w:ind w:firstLine="643" w:firstLineChars="200"/>
        <w:rPr>
          <w:rStyle w:val="14"/>
          <w:rFonts w:ascii="仿宋" w:hAnsi="仿宋" w:eastAsia="仿宋"/>
          <w:bCs/>
          <w:color w:val="000000"/>
          <w:sz w:val="32"/>
          <w:szCs w:val="32"/>
        </w:rPr>
      </w:pPr>
      <w:r>
        <w:rPr>
          <w:rStyle w:val="14"/>
          <w:rFonts w:hint="eastAsia" w:ascii="仿宋" w:hAnsi="仿宋" w:eastAsia="仿宋"/>
          <w:bCs/>
          <w:color w:val="000000"/>
          <w:sz w:val="32"/>
          <w:szCs w:val="32"/>
        </w:rPr>
        <w:t>医疗卫生与计划生育（行政事业单位医疗）</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行政事业单位医疗2101101</w:t>
      </w:r>
      <w:r>
        <w:rPr>
          <w:rStyle w:val="14"/>
          <w:rFonts w:ascii="仿宋" w:hAnsi="仿宋" w:eastAsia="仿宋"/>
          <w:bCs/>
          <w:color w:val="000000"/>
          <w:sz w:val="32"/>
          <w:szCs w:val="32"/>
        </w:rPr>
        <w:t>:</w:t>
      </w:r>
      <w:r>
        <w:rPr>
          <w:rStyle w:val="14"/>
          <w:rFonts w:hint="eastAsia" w:ascii="仿宋" w:hAnsi="仿宋" w:eastAsia="仿宋"/>
          <w:b w:val="0"/>
          <w:bCs/>
          <w:color w:val="000000"/>
          <w:sz w:val="32"/>
          <w:szCs w:val="32"/>
        </w:rPr>
        <w:t>支出决算为2.68万元，完成预算100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。公务员医疗补助2101103：支出决算为0万元，完成预算0%。主要变动原因是财政未拨付造成的。</w:t>
      </w:r>
    </w:p>
    <w:p>
      <w:pPr>
        <w:numPr>
          <w:ilvl w:val="0"/>
          <w:numId w:val="3"/>
        </w:numPr>
        <w:spacing w:line="600" w:lineRule="exact"/>
        <w:ind w:firstLine="643" w:firstLineChars="200"/>
        <w:rPr>
          <w:rFonts w:ascii="仿宋" w:hAnsi="仿宋" w:eastAsia="仿宋"/>
          <w:b/>
          <w:bCs/>
          <w:color w:val="000000"/>
          <w:sz w:val="32"/>
          <w:szCs w:val="32"/>
        </w:rPr>
      </w:pPr>
      <w:r>
        <w:rPr>
          <w:rFonts w:hint="eastAsia" w:ascii="仿宋" w:hAnsi="仿宋" w:eastAsia="仿宋"/>
          <w:b/>
          <w:bCs/>
          <w:color w:val="000000"/>
          <w:sz w:val="32"/>
          <w:szCs w:val="32"/>
        </w:rPr>
        <w:t>商业服务业等管理（旅游业管理与服务支出）</w:t>
      </w:r>
    </w:p>
    <w:p>
      <w:pPr>
        <w:spacing w:line="600" w:lineRule="exact"/>
        <w:ind w:left="420" w:leftChars="200"/>
        <w:rPr>
          <w:rFonts w:ascii="仿宋" w:hAnsi="仿宋" w:eastAsia="仿宋"/>
          <w:color w:val="000000"/>
          <w:sz w:val="32"/>
          <w:szCs w:val="32"/>
        </w:rPr>
      </w:pPr>
      <w:r>
        <w:rPr>
          <w:rFonts w:hint="eastAsia" w:ascii="仿宋" w:hAnsi="仿宋" w:eastAsia="仿宋"/>
          <w:b/>
          <w:bCs/>
          <w:color w:val="000000"/>
          <w:sz w:val="32"/>
          <w:szCs w:val="32"/>
        </w:rPr>
        <w:t xml:space="preserve">  其他旅游业管理与服务支出2160599：</w:t>
      </w:r>
      <w:r>
        <w:rPr>
          <w:rFonts w:hint="eastAsia" w:ascii="仿宋" w:hAnsi="仿宋" w:eastAsia="仿宋"/>
          <w:color w:val="000000"/>
          <w:sz w:val="32"/>
          <w:szCs w:val="32"/>
        </w:rPr>
        <w:t>支出决算为214.65万元，完成预算100%。决算数小于预算数的主要原因是</w:t>
      </w:r>
      <w:r>
        <w:rPr>
          <w:rFonts w:hint="eastAsia" w:ascii="仿宋" w:hAnsi="仿宋" w:eastAsia="仿宋"/>
          <w:color w:val="000000"/>
          <w:sz w:val="32"/>
          <w:szCs w:val="32"/>
          <w:lang w:eastAsia="zh-CN"/>
        </w:rPr>
        <w:t>财政压缩资金追减预算。</w:t>
      </w:r>
    </w:p>
    <w:p>
      <w:pPr>
        <w:numPr>
          <w:ilvl w:val="0"/>
          <w:numId w:val="4"/>
        </w:numPr>
        <w:spacing w:line="600" w:lineRule="exact"/>
        <w:rPr>
          <w:rFonts w:ascii="仿宋" w:hAnsi="仿宋" w:eastAsia="仿宋"/>
          <w:b/>
          <w:bCs/>
          <w:color w:val="000000"/>
          <w:sz w:val="32"/>
          <w:szCs w:val="32"/>
        </w:rPr>
      </w:pPr>
      <w:r>
        <w:rPr>
          <w:rFonts w:hint="eastAsia" w:ascii="仿宋" w:hAnsi="仿宋" w:eastAsia="仿宋"/>
          <w:b/>
          <w:bCs/>
          <w:color w:val="000000"/>
          <w:sz w:val="32"/>
          <w:szCs w:val="32"/>
        </w:rPr>
        <w:t>住房保障支出（住房改革支出）</w:t>
      </w:r>
    </w:p>
    <w:p>
      <w:pPr>
        <w:spacing w:line="600" w:lineRule="exact"/>
        <w:ind w:left="580"/>
        <w:rPr>
          <w:rFonts w:ascii="仿宋" w:hAnsi="仿宋" w:eastAsia="仿宋"/>
          <w:b/>
          <w:bCs/>
          <w:color w:val="000000"/>
          <w:sz w:val="32"/>
          <w:szCs w:val="32"/>
        </w:rPr>
      </w:pPr>
      <w:r>
        <w:rPr>
          <w:rFonts w:hint="eastAsia" w:ascii="仿宋" w:hAnsi="仿宋" w:eastAsia="仿宋"/>
          <w:b/>
          <w:bCs/>
          <w:color w:val="000000"/>
          <w:sz w:val="32"/>
          <w:szCs w:val="32"/>
        </w:rPr>
        <w:t xml:space="preserve"> 住房公积金2210201：</w:t>
      </w:r>
      <w:r>
        <w:rPr>
          <w:rFonts w:hint="eastAsia" w:ascii="仿宋" w:hAnsi="仿宋" w:eastAsia="仿宋"/>
          <w:color w:val="000000"/>
          <w:sz w:val="32"/>
          <w:szCs w:val="32"/>
        </w:rPr>
        <w:t>支出决算为:4.73万元，完成预算100%。决算数等于预算数</w:t>
      </w:r>
      <w:r>
        <w:rPr>
          <w:rFonts w:hint="eastAsia" w:ascii="仿宋" w:hAnsi="仿宋" w:eastAsia="仿宋"/>
          <w:color w:val="000000"/>
          <w:sz w:val="32"/>
          <w:szCs w:val="32"/>
          <w:lang w:eastAsia="zh-CN"/>
        </w:rPr>
        <w:t>。</w:t>
      </w:r>
    </w:p>
    <w:p>
      <w:pPr>
        <w:tabs>
          <w:tab w:val="right" w:pos="8306"/>
        </w:tabs>
        <w:spacing w:line="600" w:lineRule="exact"/>
        <w:ind w:firstLine="640"/>
        <w:outlineLvl w:val="1"/>
        <w:rPr>
          <w:rStyle w:val="25"/>
        </w:rPr>
      </w:pPr>
      <w:bookmarkStart w:id="44" w:name="_Toc17103559"/>
      <w:bookmarkStart w:id="45"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4"/>
      <w:bookmarkEnd w:id="45"/>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8年一般公共预算财政拨款基本支出97.22万元，其中：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84.97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12.25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rPr>
          <w:rFonts w:ascii="仿宋" w:hAnsi="仿宋" w:eastAsia="仿宋"/>
          <w:b/>
          <w:color w:val="FF0000"/>
          <w:sz w:val="32"/>
          <w:szCs w:val="32"/>
        </w:rPr>
      </w:pPr>
    </w:p>
    <w:p>
      <w:pPr>
        <w:spacing w:line="600" w:lineRule="exact"/>
        <w:ind w:firstLine="640"/>
        <w:outlineLvl w:val="1"/>
        <w:rPr>
          <w:rStyle w:val="25"/>
          <w:rFonts w:ascii="黑体" w:hAnsi="黑体" w:eastAsia="黑体"/>
          <w:b w:val="0"/>
        </w:rPr>
      </w:pPr>
      <w:bookmarkStart w:id="46" w:name="_Toc17103560"/>
      <w:bookmarkStart w:id="47" w:name="_Toc15377215"/>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6"/>
      <w:bookmarkEnd w:id="47"/>
    </w:p>
    <w:p>
      <w:pPr>
        <w:spacing w:line="600" w:lineRule="exact"/>
        <w:ind w:firstLine="640"/>
        <w:outlineLvl w:val="2"/>
        <w:rPr>
          <w:rFonts w:ascii="仿宋" w:hAnsi="仿宋" w:eastAsia="仿宋"/>
          <w:b/>
          <w:color w:val="000000"/>
          <w:sz w:val="32"/>
          <w:szCs w:val="32"/>
        </w:rPr>
      </w:pPr>
      <w:bookmarkStart w:id="48" w:name="_Toc15377216"/>
      <w:r>
        <w:rPr>
          <w:rFonts w:hint="eastAsia" w:ascii="仿宋" w:hAnsi="仿宋" w:eastAsia="仿宋"/>
          <w:b/>
          <w:color w:val="000000"/>
          <w:sz w:val="32"/>
          <w:szCs w:val="32"/>
        </w:rPr>
        <w:t>（一）“三公”经费财政拨款支出决算总体情况说明</w:t>
      </w:r>
      <w:bookmarkEnd w:id="48"/>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color w:val="000000"/>
          <w:sz w:val="32"/>
          <w:szCs w:val="32"/>
          <w:lang w:val="en-US" w:eastAsia="zh-CN"/>
        </w:rPr>
        <w:t>2.93</w:t>
      </w:r>
      <w:r>
        <w:rPr>
          <w:rFonts w:hint="eastAsia" w:ascii="仿宋" w:hAnsi="仿宋" w:eastAsia="仿宋"/>
          <w:color w:val="000000"/>
          <w:sz w:val="32"/>
          <w:szCs w:val="32"/>
        </w:rPr>
        <w:t>万元，完成预算</w:t>
      </w:r>
      <w:r>
        <w:rPr>
          <w:rFonts w:hint="eastAsia" w:ascii="仿宋" w:hAnsi="仿宋" w:eastAsia="仿宋"/>
          <w:color w:val="000000"/>
          <w:sz w:val="32"/>
          <w:szCs w:val="32"/>
          <w:lang w:val="en-US" w:eastAsia="zh-CN"/>
        </w:rPr>
        <w:t>88.79</w:t>
      </w:r>
      <w:r>
        <w:rPr>
          <w:rFonts w:ascii="仿宋" w:hAnsi="仿宋" w:eastAsia="仿宋"/>
          <w:color w:val="000000"/>
          <w:sz w:val="32"/>
          <w:szCs w:val="32"/>
        </w:rPr>
        <w:t>%</w:t>
      </w:r>
      <w:r>
        <w:rPr>
          <w:rFonts w:hint="eastAsia" w:ascii="仿宋" w:hAnsi="仿宋" w:eastAsia="仿宋"/>
          <w:color w:val="000000"/>
          <w:sz w:val="32"/>
          <w:szCs w:val="32"/>
        </w:rPr>
        <w:t>，决算数小于预算数（或与预算数持平）的主要原因是</w:t>
      </w:r>
      <w:r>
        <w:rPr>
          <w:rFonts w:hint="eastAsia" w:ascii="仿宋" w:hAnsi="仿宋" w:eastAsia="仿宋"/>
          <w:color w:val="000000"/>
          <w:sz w:val="32"/>
          <w:szCs w:val="32"/>
          <w:lang w:eastAsia="zh-CN"/>
        </w:rPr>
        <w:t>节约开支，精打细算</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49" w:name="_Toc15377217"/>
      <w:r>
        <w:rPr>
          <w:rFonts w:hint="eastAsia" w:ascii="仿宋" w:hAnsi="仿宋" w:eastAsia="仿宋"/>
          <w:b/>
          <w:color w:val="000000"/>
          <w:sz w:val="32"/>
          <w:szCs w:val="32"/>
        </w:rPr>
        <w:t>（二）“三公”经费财政拨款支出决算具体情况说明</w:t>
      </w:r>
      <w:bookmarkEnd w:id="49"/>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；公务接待费支出决算2.93万元，占100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ascii="仿宋" w:hAnsi="仿宋" w:eastAsia="仿宋"/>
          <w:color w:val="000000"/>
          <w:sz w:val="32"/>
          <w:szCs w:val="32"/>
        </w:rPr>
      </w:pPr>
      <w:r>
        <w:rPr>
          <w:rFonts w:hint="eastAsia" w:ascii="仿宋" w:hAnsi="仿宋" w:eastAsia="仿宋"/>
          <w:color w:val="000000"/>
          <w:sz w:val="32"/>
          <w:szCs w:val="32"/>
        </w:rPr>
        <w:t>（图8：“三公”经费财政拨款支出结构）（饼状图）</w:t>
      </w:r>
    </w:p>
    <w:p>
      <w:pPr>
        <w:spacing w:line="4000" w:lineRule="exact"/>
        <w:ind w:firstLine="641"/>
        <w:rPr>
          <w:rFonts w:ascii="仿宋" w:hAnsi="仿宋" w:eastAsia="仿宋"/>
          <w:color w:val="000000"/>
          <w:sz w:val="32"/>
          <w:szCs w:val="32"/>
        </w:rPr>
      </w:pPr>
      <w:r>
        <w:rPr>
          <w:rFonts w:ascii="仿宋" w:hAnsi="仿宋" w:eastAsia="仿宋"/>
          <w:color w:val="000000"/>
          <w:sz w:val="32"/>
          <w:szCs w:val="32"/>
        </w:rPr>
        <w:drawing>
          <wp:inline distT="0" distB="0" distL="0" distR="0">
            <wp:extent cx="2819400" cy="1943100"/>
            <wp:effectExtent l="19050" t="0" r="19050" b="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numPr>
          <w:ilvl w:val="0"/>
          <w:numId w:val="5"/>
        </w:numPr>
        <w:spacing w:line="600" w:lineRule="exact"/>
        <w:ind w:firstLine="640"/>
        <w:rPr>
          <w:rFonts w:hint="eastAsia" w:ascii="仿宋_GB2312" w:eastAsia="仿宋_GB2312"/>
          <w:b/>
          <w:color w:val="000000"/>
          <w:sz w:val="32"/>
          <w:szCs w:val="32"/>
        </w:rPr>
      </w:pPr>
      <w:r>
        <w:rPr>
          <w:rFonts w:hint="eastAsia" w:ascii="仿宋_GB2312" w:eastAsia="仿宋_GB2312"/>
          <w:b/>
          <w:color w:val="000000"/>
          <w:sz w:val="32"/>
          <w:szCs w:val="32"/>
        </w:rPr>
        <w:t>因公出国（境）经费支出</w:t>
      </w:r>
    </w:p>
    <w:p>
      <w:pPr>
        <w:numPr>
          <w:ilvl w:val="0"/>
          <w:numId w:val="0"/>
        </w:numPr>
        <w:spacing w:line="600" w:lineRule="exact"/>
        <w:ind w:firstLine="1280" w:firstLineChars="400"/>
        <w:rPr>
          <w:rFonts w:hint="eastAsia" w:ascii="仿宋_GB2312" w:eastAsia="仿宋_GB2312"/>
          <w:b w:val="0"/>
          <w:bCs/>
          <w:color w:val="000000"/>
          <w:sz w:val="32"/>
          <w:szCs w:val="32"/>
          <w:lang w:eastAsia="zh-CN"/>
        </w:rPr>
      </w:pPr>
      <w:r>
        <w:rPr>
          <w:rFonts w:hint="eastAsia" w:ascii="仿宋_GB2312" w:eastAsia="仿宋_GB2312"/>
          <w:b w:val="0"/>
          <w:bCs/>
          <w:color w:val="000000"/>
          <w:sz w:val="32"/>
          <w:szCs w:val="32"/>
          <w:lang w:eastAsia="zh-CN"/>
        </w:rPr>
        <w:t>没有</w:t>
      </w:r>
    </w:p>
    <w:p>
      <w:pPr>
        <w:numPr>
          <w:ilvl w:val="0"/>
          <w:numId w:val="5"/>
        </w:numPr>
        <w:spacing w:line="600" w:lineRule="exact"/>
        <w:ind w:left="0" w:leftChars="0" w:firstLine="640" w:firstLineChars="0"/>
        <w:rPr>
          <w:rFonts w:hint="eastAsia" w:ascii="仿宋_GB2312" w:eastAsia="仿宋_GB2312"/>
          <w:b/>
          <w:color w:val="000000"/>
          <w:sz w:val="32"/>
          <w:szCs w:val="32"/>
        </w:rPr>
      </w:pPr>
      <w:r>
        <w:rPr>
          <w:rFonts w:hint="eastAsia" w:ascii="仿宋_GB2312" w:eastAsia="仿宋_GB2312"/>
          <w:b/>
          <w:color w:val="000000"/>
          <w:sz w:val="32"/>
          <w:szCs w:val="32"/>
        </w:rPr>
        <w:t>公务用车购置及运行维护费支出</w:t>
      </w:r>
    </w:p>
    <w:p>
      <w:pPr>
        <w:numPr>
          <w:ilvl w:val="0"/>
          <w:numId w:val="0"/>
        </w:numPr>
        <w:spacing w:line="600" w:lineRule="exact"/>
        <w:ind w:left="640" w:leftChars="0"/>
        <w:rPr>
          <w:rFonts w:hint="default" w:ascii="仿宋_GB2312" w:eastAsia="仿宋_GB2312"/>
          <w:b w:val="0"/>
          <w:bCs/>
          <w:color w:val="000000"/>
          <w:sz w:val="32"/>
          <w:szCs w:val="32"/>
          <w:lang w:val="en-US" w:eastAsia="zh-CN"/>
        </w:rPr>
      </w:pPr>
      <w:r>
        <w:rPr>
          <w:rFonts w:hint="eastAsia" w:ascii="仿宋_GB2312" w:eastAsia="仿宋_GB2312"/>
          <w:b/>
          <w:color w:val="000000"/>
          <w:sz w:val="32"/>
          <w:szCs w:val="32"/>
          <w:lang w:val="en-US" w:eastAsia="zh-CN"/>
        </w:rPr>
        <w:t xml:space="preserve">    </w:t>
      </w:r>
      <w:r>
        <w:rPr>
          <w:rFonts w:hint="eastAsia" w:ascii="仿宋_GB2312" w:eastAsia="仿宋_GB2312"/>
          <w:b w:val="0"/>
          <w:bCs/>
          <w:color w:val="000000"/>
          <w:sz w:val="32"/>
          <w:szCs w:val="32"/>
          <w:lang w:val="en-US" w:eastAsia="zh-CN"/>
        </w:rPr>
        <w:t>没有</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rPr>
        <w:t>2.93万元，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7年增加0.56万元，增长23.63</w:t>
      </w:r>
      <w:r>
        <w:rPr>
          <w:rFonts w:ascii="仿宋_GB2312" w:eastAsia="仿宋_GB2312"/>
          <w:color w:val="000000"/>
          <w:sz w:val="32"/>
          <w:szCs w:val="32"/>
        </w:rPr>
        <w:t>%</w:t>
      </w:r>
      <w:r>
        <w:rPr>
          <w:rFonts w:hint="eastAsia" w:ascii="仿宋_GB2312" w:eastAsia="仿宋_GB2312"/>
          <w:color w:val="000000"/>
          <w:sz w:val="32"/>
          <w:szCs w:val="32"/>
        </w:rPr>
        <w:t>。主要原因是招商引资活动增加。</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主要用于执行公务、开展业务活动开支的交通费、住宿费、用餐费等。国内公务接待39批次，315人次（不包括陪同人员），共计支出2.93万元，具体内容包括：上级部门检查项目、佛山橘海旅游项目招商接待、花溪河旅游项目招商接待等共计2.93万元。其中：</w:t>
      </w:r>
    </w:p>
    <w:p>
      <w:pPr>
        <w:spacing w:line="600" w:lineRule="exact"/>
        <w:ind w:firstLine="643" w:firstLineChars="200"/>
        <w:rPr>
          <w:rFonts w:hint="eastAsia" w:ascii="仿宋_GB2312" w:eastAsia="仿宋"/>
          <w:b w:val="0"/>
          <w:bCs/>
          <w:color w:val="000000" w:themeColor="text1"/>
          <w:sz w:val="32"/>
          <w:szCs w:val="32"/>
          <w:lang w:eastAsia="zh-CN"/>
        </w:rPr>
      </w:pPr>
      <w:r>
        <w:rPr>
          <w:rFonts w:hint="eastAsia" w:ascii="仿宋" w:hAnsi="仿宋" w:eastAsia="仿宋"/>
          <w:b/>
          <w:color w:val="000000"/>
          <w:sz w:val="32"/>
          <w:szCs w:val="32"/>
        </w:rPr>
        <w:t>外事接待支出</w:t>
      </w:r>
      <w:r>
        <w:rPr>
          <w:rFonts w:hint="eastAsia" w:ascii="仿宋" w:hAnsi="仿宋" w:eastAsia="仿宋"/>
          <w:b/>
          <w:color w:val="000000"/>
          <w:sz w:val="32"/>
          <w:szCs w:val="32"/>
          <w:lang w:val="en-US" w:eastAsia="zh-CN"/>
        </w:rPr>
        <w:t xml:space="preserve">   </w:t>
      </w:r>
      <w:r>
        <w:rPr>
          <w:rFonts w:hint="eastAsia" w:ascii="仿宋" w:hAnsi="仿宋" w:eastAsia="仿宋"/>
          <w:b w:val="0"/>
          <w:bCs/>
          <w:color w:val="000000"/>
          <w:sz w:val="32"/>
          <w:szCs w:val="32"/>
          <w:lang w:eastAsia="zh-CN"/>
        </w:rPr>
        <w:t>没有</w:t>
      </w:r>
    </w:p>
    <w:p>
      <w:pPr>
        <w:spacing w:line="600" w:lineRule="exact"/>
        <w:ind w:firstLine="640"/>
        <w:rPr>
          <w:rFonts w:ascii="黑体" w:eastAsia="黑体"/>
          <w:color w:val="000000"/>
          <w:sz w:val="32"/>
          <w:szCs w:val="32"/>
        </w:rPr>
      </w:pPr>
      <w:r>
        <w:rPr>
          <w:rFonts w:hint="eastAsia" w:ascii="仿宋" w:hAnsi="仿宋" w:eastAsia="仿宋"/>
          <w:b/>
          <w:color w:val="000000"/>
          <w:sz w:val="32"/>
          <w:szCs w:val="32"/>
        </w:rPr>
        <w:t>其他国内公务接待支出</w:t>
      </w:r>
      <w:r>
        <w:rPr>
          <w:rFonts w:hint="eastAsia" w:ascii="仿宋" w:hAnsi="仿宋" w:eastAsia="仿宋"/>
          <w:color w:val="000000"/>
          <w:sz w:val="32"/>
          <w:szCs w:val="32"/>
        </w:rPr>
        <w:t>2.93</w:t>
      </w:r>
      <w:r>
        <w:rPr>
          <w:rFonts w:hint="eastAsia" w:ascii="仿宋_GB2312" w:eastAsia="仿宋_GB2312"/>
          <w:color w:val="000000"/>
          <w:sz w:val="32"/>
          <w:szCs w:val="32"/>
        </w:rPr>
        <w:t>万元，主要用于上级部门检查项目、佛山橘海旅游项目招商接待、花溪河旅游项目招商接待等活动。</w:t>
      </w:r>
      <w:bookmarkStart w:id="50" w:name="_Toc15377218"/>
    </w:p>
    <w:p>
      <w:pPr>
        <w:spacing w:line="600" w:lineRule="exact"/>
        <w:ind w:firstLine="640"/>
        <w:outlineLvl w:val="1"/>
        <w:rPr>
          <w:rStyle w:val="25"/>
          <w:rFonts w:ascii="黑体" w:hAnsi="黑体" w:eastAsia="黑体"/>
        </w:rPr>
      </w:pPr>
      <w:bookmarkStart w:id="51" w:name="_Toc17103561"/>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50"/>
      <w:bookmarkEnd w:id="5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8年政府性基金预算拨款支出16万元。</w:t>
      </w:r>
    </w:p>
    <w:p>
      <w:pPr>
        <w:numPr>
          <w:ilvl w:val="0"/>
          <w:numId w:val="6"/>
        </w:numPr>
        <w:spacing w:line="600" w:lineRule="exact"/>
        <w:ind w:firstLine="640"/>
        <w:outlineLvl w:val="1"/>
        <w:rPr>
          <w:rStyle w:val="25"/>
          <w:rFonts w:ascii="黑体" w:hAnsi="黑体" w:eastAsia="黑体"/>
          <w:b w:val="0"/>
        </w:rPr>
      </w:pPr>
      <w:bookmarkStart w:id="52" w:name="_Toc15377219"/>
      <w:bookmarkStart w:id="53" w:name="_Toc17103562"/>
      <w:r>
        <w:rPr>
          <w:rStyle w:val="25"/>
          <w:rFonts w:hint="eastAsia" w:ascii="黑体" w:hAnsi="黑体" w:eastAsia="黑体"/>
          <w:b w:val="0"/>
        </w:rPr>
        <w:t>国有资本经营预算支出决算情况说明</w:t>
      </w:r>
      <w:bookmarkEnd w:id="52"/>
      <w:bookmarkEnd w:id="53"/>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8年国有资本经营预算拨款支出0万元。</w:t>
      </w:r>
    </w:p>
    <w:p>
      <w:pPr>
        <w:pStyle w:val="23"/>
        <w:numPr>
          <w:ilvl w:val="0"/>
          <w:numId w:val="7"/>
        </w:numPr>
        <w:spacing w:line="580" w:lineRule="exact"/>
        <w:ind w:firstLineChars="0"/>
        <w:rPr>
          <w:rStyle w:val="25"/>
          <w:rFonts w:ascii="黑体" w:hAnsi="黑体" w:eastAsia="黑体"/>
          <w:b w:val="0"/>
        </w:rPr>
      </w:pPr>
      <w:bookmarkStart w:id="54" w:name="_Toc17103563"/>
      <w:r>
        <w:rPr>
          <w:rStyle w:val="25"/>
          <w:rFonts w:hint="eastAsia" w:ascii="黑体" w:hAnsi="黑体" w:eastAsia="黑体"/>
          <w:b w:val="0"/>
        </w:rPr>
        <w:t>预算绩效情况说明</w:t>
      </w:r>
      <w:bookmarkEnd w:id="54"/>
    </w:p>
    <w:p>
      <w:pPr>
        <w:numPr>
          <w:ilvl w:val="0"/>
          <w:numId w:val="8"/>
        </w:numPr>
        <w:spacing w:line="580" w:lineRule="exact"/>
        <w:ind w:firstLine="643" w:firstLineChars="200"/>
        <w:rPr>
          <w:rFonts w:ascii="仿宋" w:hAnsi="仿宋" w:eastAsia="仿宋" w:cs="楷体_GB2312"/>
          <w:b/>
          <w:bCs/>
          <w:sz w:val="32"/>
          <w:szCs w:val="32"/>
        </w:rPr>
      </w:pPr>
      <w:r>
        <w:rPr>
          <w:rFonts w:hint="eastAsia" w:ascii="仿宋" w:hAnsi="仿宋" w:eastAsia="仿宋" w:cs="楷体_GB2312"/>
          <w:b/>
          <w:bCs/>
          <w:sz w:val="32"/>
          <w:szCs w:val="32"/>
        </w:rPr>
        <w:t>预算绩效管理工作开展情况。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2项目开展了预算事前绩效评估，对2个项目编制了绩效目标，预算执行过程中，选取2个项目开展绩效监控，年终执行完毕后，对2个项目开展了绩效目标完成情况梳理填报。</w:t>
      </w:r>
    </w:p>
    <w:p>
      <w:pPr>
        <w:numPr>
          <w:ilvl w:val="0"/>
          <w:numId w:val="8"/>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开展绩效自评，从评价情况来看2018年我办按照时间节点倒排工期，保质保量的完成了外事、侨务、旅游全年计划的各项任务，取得了较好的社会效益，群众满意度高，整体绩效目标完成度较好。本部门还自行组织了1个项目绩效评价，从评价情况来看我办项目决策符合相关规定，项目管理流程可控，项目绩效完全达到预期目标。</w:t>
      </w:r>
    </w:p>
    <w:p>
      <w:pPr>
        <w:numPr>
          <w:ilvl w:val="0"/>
          <w:numId w:val="8"/>
        </w:numPr>
        <w:spacing w:line="580" w:lineRule="exact"/>
        <w:ind w:firstLine="643" w:firstLineChars="200"/>
        <w:rPr>
          <w:rFonts w:ascii="仿宋_GB2312" w:hAnsi="仿宋_GB2312" w:eastAsia="仿宋_GB2312" w:cs="仿宋_GB2312"/>
          <w:sz w:val="32"/>
          <w:szCs w:val="32"/>
        </w:rPr>
      </w:pPr>
      <w:r>
        <w:rPr>
          <w:rFonts w:hint="eastAsia" w:ascii="仿宋" w:hAnsi="仿宋" w:eastAsia="仿宋" w:cs="楷体_GB2312"/>
          <w:b/>
          <w:bCs/>
          <w:sz w:val="32"/>
          <w:szCs w:val="32"/>
        </w:rPr>
        <w:t>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本部门在2018年度部门决算中反映“旅游发展专项资金”1个项目绩效目标实际完成情况。</w:t>
      </w:r>
    </w:p>
    <w:p>
      <w:pPr>
        <w:numPr>
          <w:ilvl w:val="0"/>
          <w:numId w:val="9"/>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雁江旅游发展专项资金”项目绩效目标完成情况综述。项目全年预算数173万元，执行数为173万元，完成预算的100%。通过项目实施，举办了荷花节、小龙虾美食节、赏花节等乡村旅游节庆活动；完成了4个“旅游厕所”建设；拍摄了“旅游形象宣传片及节庆活动专题片”；编制了“中和镇和迎接镇旅游规划”；开展了“乡村旅游培训”等工作，为雁江旅游发展打下了良好基础，对雁江旅游景区点和旅游资源、历史人文进行了宣传，提高了雁江旅游知名度，对雁江旅游发展具有积极地促进。发现的主要问题：暂无。下一步改进措施：暂无。</w:t>
      </w:r>
    </w:p>
    <w:p>
      <w:pPr>
        <w:numPr>
          <w:ilvl w:val="0"/>
          <w:numId w:val="9"/>
        </w:num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省级旅游发展专项资金”项目绩效目标完成情况综述。项目全年预算数50万元，执行数为50万元，完成预算的100%。通过项目实施，完成了1个“生态旅游示范厕所”建设，改善了景区基础设施，受到了省、市旅游局高度肯定。发现的主要问题：暂无。下一步改进措施：暂无。</w:t>
      </w:r>
    </w:p>
    <w:p>
      <w:pPr>
        <w:spacing w:line="580" w:lineRule="exact"/>
        <w:rPr>
          <w:rFonts w:ascii="仿宋_GB2312" w:hAnsi="仿宋_GB2312" w:eastAsia="仿宋_GB2312" w:cs="仿宋_GB2312"/>
          <w:sz w:val="32"/>
          <w:szCs w:val="32"/>
        </w:rPr>
      </w:pPr>
    </w:p>
    <w:p>
      <w:pPr>
        <w:tabs>
          <w:tab w:val="left" w:pos="312"/>
        </w:tabs>
        <w:spacing w:line="580" w:lineRule="exact"/>
        <w:rPr>
          <w:rFonts w:ascii="仿宋_GB2312" w:hAnsi="仿宋_GB2312" w:eastAsia="仿宋_GB2312" w:cs="仿宋_GB2312"/>
          <w:sz w:val="32"/>
          <w:szCs w:val="32"/>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pStyle w:val="23"/>
              <w:widowControl/>
              <w:ind w:left="4173" w:leftChars="1310" w:hanging="1422" w:hangingChars="395"/>
              <w:textAlignment w:val="center"/>
              <w:rPr>
                <w:rFonts w:ascii="宋体" w:hAnsi="宋体" w:cs="宋体"/>
                <w:color w:val="000000"/>
                <w:sz w:val="36"/>
                <w:szCs w:val="36"/>
              </w:rPr>
            </w:pPr>
            <w:r>
              <w:rPr>
                <w:rFonts w:hint="eastAsia" w:ascii="黑体" w:hAnsi="黑体" w:eastAsia="黑体" w:cs="宋体"/>
                <w:bCs/>
                <w:color w:val="000000"/>
                <w:kern w:val="0"/>
                <w:sz w:val="36"/>
                <w:szCs w:val="36"/>
              </w:rPr>
              <w:t>项目支出绩效目标完成情况表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雁江旅游发展专项资金</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资阳市雁江区外事侨务旅游办公室</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173万元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173万元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173万元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173万元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  举办乡村旅游节庆活动、修建旅游厕所、编制旅游规划、开展旅游宣传、举办乡村旅游培训等。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 xml:space="preserve">  举办了荷花节、小龙虾美食节、赏花节等乡村旅游节庆活动；完成了4个“旅游厕所”建设；拍摄了“旅游形象宣传片及节庆活动专题片”；编制了“中和镇和迎接镇旅游规划”；开展了“乡村旅游培训”等工作。</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举办乡村旅游节庆活动3个；修建旅游厕所4个；拍摄旅游宣传片1个；编制旅游规划2个；举办乡村旅游培训2次等工作。</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举办乡村旅游节庆活动3个；修建旅游厕所4个；拍摄旅游宣传片1个；编制旅游规划2个；举办乡村旅游培训2次等工作。</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举办了乡村旅游节庆活动3个；修建了旅游厕所4个；拍摄了旅游宣传片1个；编制了旅游规划2个；举办了乡村旅游培训2次等工作。</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高质量完成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成功举办旅游节庆活动，带动乡村旅游发展，宣传雁江旅游，改善旅游基础设施。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成功举办了旅游节庆活动，带动了乡村旅游发展，宣传雁江旅游，改善了旅游基础设施。</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2018年底全面完成</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带动乡村旅游发展，通过节庆活动丰富人民群众旅游需求，让群众更好的感受旅游发展的效益，促进农业产业发展，拉动餐饮、住宿、交通等产业发展</w:t>
            </w:r>
            <w:r>
              <w:rPr>
                <w:rFonts w:ascii="宋体" w:hAnsi="宋体" w:cs="宋体"/>
                <w:color w:val="000000"/>
                <w:sz w:val="24"/>
              </w:rPr>
              <w:t xml:space="preserve"> </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带动乡村旅游发展，通过节庆活动丰富人民群众旅游需求，让群众更好的感受旅游发展的效益，促进农业产业发展，拉动餐饮、住宿、交通等产业发展</w:t>
            </w:r>
            <w:r>
              <w:rPr>
                <w:rFonts w:ascii="宋体" w:hAnsi="宋体" w:cs="宋体"/>
                <w:color w:val="000000"/>
                <w:sz w:val="24"/>
              </w:rPr>
              <w:t xml:space="preserve"> </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带动乡村旅游发展，通过节庆活动丰富人民群众旅游需求，让群众更好的感受旅游发展的效益，促进农业产业发展，拉动餐饮、住宿、交通等产业发展</w:t>
            </w:r>
            <w:r>
              <w:rPr>
                <w:rFonts w:ascii="宋体" w:hAnsi="宋体" w:cs="宋体"/>
                <w:color w:val="000000"/>
                <w:sz w:val="24"/>
              </w:rPr>
              <w:t xml:space="preserve"> </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无噪声、环境污染</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无噪声、环境污染</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无噪声、环境污染</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利于生态环境保护，可持续开展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利于生态环境保护，可持续开展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利于生态环境保护，可持续开展</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rPr>
              <w:t>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非常满意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满意度98%</w:t>
            </w:r>
          </w:p>
        </w:tc>
      </w:tr>
    </w:tbl>
    <w:p>
      <w:pPr>
        <w:rPr>
          <w:rFonts w:ascii="Calibri" w:hAnsi="Calibri"/>
        </w:rPr>
      </w:pPr>
    </w:p>
    <w:p>
      <w:pPr>
        <w:rPr>
          <w:rFonts w:ascii="Calibri" w:hAnsi="Calibri"/>
        </w:rPr>
      </w:pPr>
    </w:p>
    <w:p>
      <w:pPr>
        <w:rPr>
          <w:rFonts w:ascii="Calibri" w:hAnsi="Calibri"/>
        </w:rPr>
      </w:pPr>
    </w:p>
    <w:p>
      <w:pPr>
        <w:rPr>
          <w:rFonts w:ascii="Calibri" w:hAnsi="Calibri"/>
        </w:rPr>
      </w:pPr>
    </w:p>
    <w:tbl>
      <w:tblPr>
        <w:tblStyle w:val="12"/>
        <w:tblpPr w:leftFromText="180" w:rightFromText="180" w:vertAnchor="text" w:horzAnchor="page" w:tblpXSpec="center" w:tblpY="423"/>
        <w:tblOverlap w:val="never"/>
        <w:tblW w:w="9960" w:type="dxa"/>
        <w:tblInd w:w="0" w:type="dxa"/>
        <w:tblLayout w:type="fixed"/>
        <w:tblCellMar>
          <w:top w:w="0" w:type="dxa"/>
          <w:left w:w="0" w:type="dxa"/>
          <w:bottom w:w="0" w:type="dxa"/>
          <w:right w:w="0" w:type="dxa"/>
        </w:tblCellMar>
      </w:tblPr>
      <w:tblGrid>
        <w:gridCol w:w="390"/>
        <w:gridCol w:w="1367"/>
        <w:gridCol w:w="1025"/>
        <w:gridCol w:w="2392"/>
        <w:gridCol w:w="2394"/>
        <w:gridCol w:w="2392"/>
      </w:tblGrid>
      <w:tr>
        <w:tblPrEx>
          <w:tblLayout w:type="fixed"/>
          <w:tblCellMar>
            <w:top w:w="0" w:type="dxa"/>
            <w:left w:w="0" w:type="dxa"/>
            <w:bottom w:w="0" w:type="dxa"/>
            <w:right w:w="0" w:type="dxa"/>
          </w:tblCellMar>
        </w:tblPrEx>
        <w:trPr>
          <w:trHeight w:val="1034" w:hRule="atLeast"/>
        </w:trPr>
        <w:tc>
          <w:tcPr>
            <w:tcW w:w="9960" w:type="dxa"/>
            <w:gridSpan w:val="6"/>
            <w:tcMar>
              <w:top w:w="15" w:type="dxa"/>
              <w:left w:w="15" w:type="dxa"/>
              <w:bottom w:w="0" w:type="dxa"/>
              <w:right w:w="15" w:type="dxa"/>
            </w:tcMar>
            <w:vAlign w:val="center"/>
          </w:tcPr>
          <w:p>
            <w:pPr>
              <w:spacing w:line="580" w:lineRule="exact"/>
              <w:jc w:val="center"/>
              <w:rPr>
                <w:rFonts w:ascii="仿宋_GB2312" w:hAnsi="仿宋_GB2312" w:eastAsia="仿宋_GB2312" w:cs="仿宋_GB2312"/>
                <w:sz w:val="32"/>
                <w:szCs w:val="32"/>
              </w:rPr>
            </w:pPr>
            <w:r>
              <w:rPr>
                <w:rFonts w:hint="eastAsia" w:ascii="黑体" w:hAnsi="黑体" w:eastAsia="黑体" w:cs="宋体"/>
                <w:bCs/>
                <w:color w:val="000000"/>
                <w:kern w:val="0"/>
                <w:sz w:val="36"/>
                <w:szCs w:val="36"/>
              </w:rPr>
              <w:t>项目支出绩效目标完成情况表</w:t>
            </w:r>
            <w:r>
              <w:rPr>
                <w:rFonts w:hint="eastAsia" w:ascii="黑体" w:hAnsi="黑体" w:eastAsia="黑体" w:cs="宋体"/>
                <w:bCs/>
                <w:color w:val="000000"/>
                <w:kern w:val="0"/>
                <w:sz w:val="36"/>
                <w:szCs w:val="36"/>
              </w:rPr>
              <w:br w:type="textWrapping"/>
            </w:r>
            <w:r>
              <w:rPr>
                <w:rFonts w:hint="eastAsia" w:ascii="黑体" w:hAnsi="黑体" w:eastAsia="黑体" w:cs="宋体"/>
                <w:bCs/>
                <w:color w:val="000000"/>
                <w:kern w:val="0"/>
                <w:sz w:val="36"/>
                <w:szCs w:val="36"/>
              </w:rPr>
              <w:t>(2018 年度)</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省级旅游发展专项资金（生态环保示范厕所）</w:t>
            </w:r>
          </w:p>
        </w:tc>
      </w:tr>
      <w:tr>
        <w:tblPrEx>
          <w:tblLayout w:type="fixed"/>
          <w:tblCellMar>
            <w:top w:w="0" w:type="dxa"/>
            <w:left w:w="0" w:type="dxa"/>
            <w:bottom w:w="0" w:type="dxa"/>
            <w:right w:w="0" w:type="dxa"/>
          </w:tblCellMar>
        </w:tblPrEx>
        <w:trPr>
          <w:trHeight w:val="276" w:hRule="atLeast"/>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资阳市雁江区外事侨务旅游办公室</w:t>
            </w: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50万元</w:t>
            </w:r>
          </w:p>
        </w:tc>
      </w:tr>
      <w:tr>
        <w:tblPrEx>
          <w:tblLayout w:type="fixed"/>
          <w:tblCellMar>
            <w:top w:w="0" w:type="dxa"/>
            <w:left w:w="0" w:type="dxa"/>
            <w:bottom w:w="0" w:type="dxa"/>
            <w:right w:w="0" w:type="dxa"/>
          </w:tblCellMar>
        </w:tblPrEx>
        <w:trPr>
          <w:trHeight w:val="276"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50万元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50万元</w:t>
            </w:r>
          </w:p>
        </w:tc>
      </w:tr>
      <w:tr>
        <w:tblPrEx>
          <w:tblLayout w:type="fixed"/>
          <w:tblCellMar>
            <w:top w:w="0" w:type="dxa"/>
            <w:left w:w="0" w:type="dxa"/>
            <w:bottom w:w="0" w:type="dxa"/>
            <w:right w:w="0" w:type="dxa"/>
          </w:tblCellMar>
        </w:tblPrEx>
        <w:trPr>
          <w:trHeight w:val="1511"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r>
      <w:tr>
        <w:tblPrEx>
          <w:tblLayout w:type="fixed"/>
          <w:tblCellMar>
            <w:top w:w="0" w:type="dxa"/>
            <w:left w:w="0" w:type="dxa"/>
            <w:bottom w:w="0" w:type="dxa"/>
            <w:right w:w="0" w:type="dxa"/>
          </w:tblCellMar>
        </w:tblPrEx>
        <w:trPr>
          <w:trHeight w:val="276"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实际完成目标</w:t>
            </w:r>
          </w:p>
        </w:tc>
      </w:tr>
      <w:tr>
        <w:tblPrEx>
          <w:tblLayout w:type="fixed"/>
          <w:tblCellMar>
            <w:top w:w="0" w:type="dxa"/>
            <w:left w:w="0" w:type="dxa"/>
            <w:bottom w:w="0" w:type="dxa"/>
            <w:right w:w="0" w:type="dxa"/>
          </w:tblCellMar>
        </w:tblPrEx>
        <w:trPr>
          <w:trHeight w:val="1159"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建设1座生态环保示范厕所</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完成了1座生态环保示范厕所建设</w:t>
            </w:r>
          </w:p>
        </w:tc>
      </w:tr>
      <w:tr>
        <w:tblPrEx>
          <w:tblLayout w:type="fixed"/>
          <w:tblCellMar>
            <w:top w:w="0" w:type="dxa"/>
            <w:left w:w="0" w:type="dxa"/>
            <w:bottom w:w="0" w:type="dxa"/>
            <w:right w:w="0" w:type="dxa"/>
          </w:tblCellMar>
        </w:tblPrEx>
        <w:trPr>
          <w:trHeight w:val="1042" w:hRule="atLeast"/>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实际完成指标值(包含数字及文字描述)</w:t>
            </w:r>
          </w:p>
        </w:tc>
      </w:tr>
      <w:tr>
        <w:tblPrEx>
          <w:tblLayout w:type="fixed"/>
          <w:tblCellMar>
            <w:top w:w="0" w:type="dxa"/>
            <w:left w:w="0" w:type="dxa"/>
            <w:bottom w:w="0" w:type="dxa"/>
            <w:right w:w="0" w:type="dxa"/>
          </w:tblCellMar>
        </w:tblPrEx>
        <w:trPr>
          <w:trHeight w:val="953"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建设1座生态环保示范厕所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建设1座生态环保示范厕所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完成了1座生态环保示范厕所建设</w:t>
            </w:r>
          </w:p>
        </w:tc>
      </w:tr>
      <w:tr>
        <w:tblPrEx>
          <w:tblLayout w:type="fixed"/>
          <w:tblCellMar>
            <w:top w:w="0" w:type="dxa"/>
            <w:left w:w="0" w:type="dxa"/>
            <w:bottom w:w="0" w:type="dxa"/>
            <w:right w:w="0" w:type="dxa"/>
          </w:tblCellMar>
        </w:tblPrEx>
        <w:trPr>
          <w:trHeight w:val="1297"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高质量完成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高质量建设1座生态环保示范厕所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高质量完成了1座生态环保示范厕所建设</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2018年全年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2018年全年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2018年全年</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社会效益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完善旅游基础设施</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完善旅游基础设施建设，满足人民旅游需求，提升旅游质量。</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完善了旅游基础设施建设，满足人民旅游需求，提升旅游质量。</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生态效益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无环境污染的生态厕所</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修建无环境污染的生态厕所</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建设了无环境污染的生态厕所1座</w:t>
            </w:r>
          </w:p>
        </w:tc>
      </w:tr>
      <w:tr>
        <w:tblPrEx>
          <w:tblLayout w:type="fixed"/>
          <w:tblCellMar>
            <w:top w:w="0" w:type="dxa"/>
            <w:left w:w="0" w:type="dxa"/>
            <w:bottom w:w="0" w:type="dxa"/>
            <w:right w:w="0" w:type="dxa"/>
          </w:tblCellMar>
        </w:tblPrEx>
        <w:trPr>
          <w:trHeight w:val="1042"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利于生态环境保护，可持续开展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利于生态环境保护，可持续开展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利于生态环境保护，可持续开展</w:t>
            </w:r>
          </w:p>
        </w:tc>
      </w:tr>
      <w:tr>
        <w:tblPrEx>
          <w:tblLayout w:type="fixed"/>
          <w:tblCellMar>
            <w:top w:w="0" w:type="dxa"/>
            <w:left w:w="0" w:type="dxa"/>
            <w:bottom w:w="0" w:type="dxa"/>
            <w:right w:w="0" w:type="dxa"/>
          </w:tblCellMar>
        </w:tblPrEx>
        <w:trPr>
          <w:trHeight w:val="1050" w:hRule="atLeast"/>
        </w:trPr>
        <w:tc>
          <w:tcPr>
            <w:tcW w:w="39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rPr>
              <w:t>满意度</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非常满意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满意度98%</w:t>
            </w:r>
          </w:p>
        </w:tc>
      </w:tr>
    </w:tbl>
    <w:p>
      <w:pPr>
        <w:spacing w:line="580" w:lineRule="exact"/>
        <w:rPr>
          <w:rFonts w:ascii="仿宋_GB2312" w:hAnsi="仿宋_GB2312" w:eastAsia="仿宋_GB2312" w:cs="仿宋_GB2312"/>
          <w:sz w:val="32"/>
          <w:szCs w:val="32"/>
        </w:rPr>
      </w:pPr>
    </w:p>
    <w:p>
      <w:pPr>
        <w:numPr>
          <w:ilvl w:val="0"/>
          <w:numId w:val="8"/>
        </w:numPr>
        <w:spacing w:line="580" w:lineRule="exact"/>
        <w:ind w:firstLine="643" w:firstLineChars="200"/>
        <w:rPr>
          <w:rFonts w:ascii="仿宋" w:hAnsi="仿宋" w:eastAsia="仿宋" w:cs="仿宋_GB2312"/>
          <w:sz w:val="32"/>
          <w:szCs w:val="32"/>
        </w:rPr>
      </w:pPr>
      <w:r>
        <w:rPr>
          <w:rFonts w:hint="eastAsia" w:ascii="仿宋" w:hAnsi="仿宋" w:eastAsia="仿宋" w:cs="楷体_GB2312"/>
          <w:b/>
          <w:bCs/>
          <w:sz w:val="32"/>
          <w:szCs w:val="32"/>
        </w:rPr>
        <w:t>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本部门按要求对2018年部门整体支出绩效评价情况开展自评，《资阳市雁江区外事侨务旅游办公室2018年部门整体支出绩效评价报告》见附件。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自行组织对雁江旅游发展专项资金项目、省级旅游发展专项资金（生态环保示范厕所）项目开展了绩效评价，《雁江旅游发展专项资金项目和省级旅游发展专项资金（生态环保示范厕所）项目2018年绩效评价报告》见附件。</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25"/>
          <w:rFonts w:ascii="黑体" w:hAnsi="黑体" w:eastAsia="黑体"/>
        </w:rPr>
      </w:pPr>
      <w:bookmarkStart w:id="55" w:name="_Toc17103564"/>
      <w:bookmarkStart w:id="56" w:name="_Toc15377221"/>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5"/>
      <w:bookmarkEnd w:id="56"/>
    </w:p>
    <w:p>
      <w:pPr>
        <w:spacing w:line="600" w:lineRule="exact"/>
        <w:ind w:firstLine="643" w:firstLineChars="200"/>
        <w:outlineLvl w:val="2"/>
        <w:rPr>
          <w:rFonts w:ascii="仿宋" w:hAnsi="仿宋" w:eastAsia="仿宋"/>
          <w:color w:val="000000"/>
          <w:sz w:val="32"/>
          <w:szCs w:val="32"/>
        </w:rPr>
      </w:pPr>
      <w:bookmarkStart w:id="57" w:name="_Toc15377222"/>
      <w:r>
        <w:rPr>
          <w:rFonts w:hint="eastAsia" w:ascii="仿宋" w:hAnsi="仿宋" w:eastAsia="仿宋"/>
          <w:b/>
          <w:color w:val="000000"/>
          <w:sz w:val="32"/>
          <w:szCs w:val="32"/>
        </w:rPr>
        <w:t>（一）机关运行经费支出情况</w:t>
      </w:r>
      <w:bookmarkEnd w:id="57"/>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8年，雁江区外事侨务旅游办公室机关运行经费支出12.25万元，比</w:t>
      </w:r>
      <w:r>
        <w:rPr>
          <w:rFonts w:ascii="仿宋_GB2312" w:eastAsia="仿宋_GB2312"/>
          <w:color w:val="000000"/>
          <w:sz w:val="32"/>
          <w:szCs w:val="32"/>
        </w:rPr>
        <w:t>201</w:t>
      </w:r>
      <w:r>
        <w:rPr>
          <w:rFonts w:hint="eastAsia" w:ascii="仿宋_GB2312" w:eastAsia="仿宋_GB2312"/>
          <w:color w:val="000000"/>
          <w:sz w:val="32"/>
          <w:szCs w:val="32"/>
        </w:rPr>
        <w:t>7年增加0.94万元，增长8.31</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rPr>
        <w:t>主要原因是购置办公用品和公务接待增加。</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8" w:name="_Toc15377223"/>
      <w:r>
        <w:rPr>
          <w:rFonts w:hint="eastAsia" w:ascii="仿宋" w:hAnsi="仿宋" w:eastAsia="仿宋"/>
          <w:b/>
          <w:color w:val="000000"/>
          <w:sz w:val="32"/>
          <w:szCs w:val="32"/>
        </w:rPr>
        <w:t>（二）政府采购支出情况</w:t>
      </w:r>
      <w:bookmarkEnd w:id="58"/>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雁江区外事侨务旅游办公室政府采购支出总额13.8万元，其中：政府采购货物支出0万元、政府采购工程支出0万元、政府采购服务支出13.8万元。主要用于旅游宣传广告牌。授予中小企业合同金额0万元，占政府采购支出总额的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9" w:name="_Toc15377224"/>
      <w:r>
        <w:rPr>
          <w:rFonts w:hint="eastAsia" w:ascii="仿宋" w:hAnsi="仿宋" w:eastAsia="仿宋"/>
          <w:b/>
          <w:color w:val="000000"/>
          <w:sz w:val="32"/>
          <w:szCs w:val="32"/>
        </w:rPr>
        <w:t>（三）国有资产占有使用情况</w:t>
      </w:r>
      <w:bookmarkEnd w:id="59"/>
    </w:p>
    <w:p>
      <w:pPr>
        <w:widowControl/>
        <w:ind w:firstLine="1600" w:firstLineChars="500"/>
        <w:jc w:val="left"/>
        <w:rPr>
          <w:rFonts w:ascii="仿宋_GB2312" w:eastAsia="仿宋_GB2312"/>
          <w:b/>
          <w:color w:val="000000"/>
          <w:sz w:val="32"/>
          <w:szCs w:val="32"/>
        </w:rPr>
      </w:pPr>
      <w:r>
        <w:rPr>
          <w:rFonts w:hint="eastAsia" w:ascii="仿宋_GB2312" w:eastAsia="仿宋_GB2312"/>
          <w:color w:val="000000"/>
          <w:sz w:val="32"/>
          <w:szCs w:val="32"/>
          <w:lang w:eastAsia="zh-CN"/>
        </w:rPr>
        <w:t>没有</w:t>
      </w:r>
      <w:r>
        <w:rPr>
          <w:rFonts w:ascii="仿宋_GB2312" w:eastAsia="仿宋_GB2312"/>
          <w:b/>
          <w:color w:val="000000"/>
          <w:sz w:val="32"/>
          <w:szCs w:val="32"/>
        </w:rPr>
        <w:br w:type="page"/>
      </w:r>
    </w:p>
    <w:p>
      <w:pPr>
        <w:numPr>
          <w:ilvl w:val="0"/>
          <w:numId w:val="10"/>
        </w:numPr>
        <w:spacing w:line="600" w:lineRule="exact"/>
        <w:ind w:firstLine="663" w:firstLineChars="150"/>
        <w:jc w:val="center"/>
        <w:outlineLvl w:val="0"/>
        <w:rPr>
          <w:rStyle w:val="24"/>
          <w:rFonts w:ascii="黑体" w:hAnsi="黑体" w:eastAsia="黑体"/>
          <w:b w:val="0"/>
        </w:rPr>
      </w:pPr>
      <w:bookmarkStart w:id="60" w:name="_Toc17103565"/>
      <w:bookmarkStart w:id="61"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60"/>
      <w:bookmarkEnd w:id="61"/>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事业收入：指事业单位开展专业业务活动及辅助活动取得的收入。如…（二级预算单位事业收入情况）等。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经营收入：指事业单位在专业业务活动及其辅助活动之外开展非独立核算经营活动取得的收入。如…（二级预算单位经营收入情况）等。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其他收入：指单位取得的除上述收入以外的各项收入。主要是…（收入类型）等。</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ascii="仿宋_GB2312" w:eastAsia="仿宋_GB2312"/>
          <w:color w:val="000000"/>
          <w:sz w:val="32"/>
          <w:szCs w:val="32"/>
        </w:rPr>
        <w:t>9.</w:t>
      </w:r>
      <w:r>
        <w:rPr>
          <w:rFonts w:hint="eastAsia" w:ascii="仿宋_GB2312" w:eastAsia="仿宋_GB2312"/>
          <w:color w:val="000000"/>
          <w:sz w:val="32"/>
          <w:szCs w:val="32"/>
        </w:rPr>
        <w:t>一般公共服务（类）…（款）…（项）：指……。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10.</w:t>
      </w:r>
      <w:r>
        <w:rPr>
          <w:rFonts w:hint="eastAsia" w:ascii="仿宋_GB2312" w:eastAsia="仿宋_GB2312"/>
          <w:color w:val="000000"/>
          <w:sz w:val="32"/>
          <w:szCs w:val="32"/>
        </w:rPr>
        <w:t>外交（类）…（款）…（项）：指……。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11.</w:t>
      </w:r>
      <w:r>
        <w:rPr>
          <w:rFonts w:hint="eastAsia" w:ascii="仿宋_GB2312" w:eastAsia="仿宋_GB2312"/>
          <w:color w:val="000000"/>
          <w:sz w:val="32"/>
          <w:szCs w:val="32"/>
        </w:rPr>
        <w:t>公共安全（类）…（款）…（项）：指……。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12.</w:t>
      </w:r>
      <w:r>
        <w:rPr>
          <w:rFonts w:hint="eastAsia" w:ascii="仿宋_GB2312" w:eastAsia="仿宋_GB2312"/>
          <w:color w:val="000000"/>
          <w:sz w:val="32"/>
          <w:szCs w:val="32"/>
        </w:rPr>
        <w:t>教育（类）…（款）…（项）：指……。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13.</w:t>
      </w:r>
      <w:r>
        <w:rPr>
          <w:rFonts w:hint="eastAsia" w:ascii="仿宋_GB2312" w:eastAsia="仿宋_GB2312"/>
          <w:color w:val="000000"/>
          <w:sz w:val="32"/>
          <w:szCs w:val="32"/>
        </w:rPr>
        <w:t>科学技术（类）…（款）…（项）：指……。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14.</w:t>
      </w:r>
      <w:r>
        <w:rPr>
          <w:rFonts w:hint="eastAsia" w:ascii="仿宋_GB2312" w:eastAsia="仿宋_GB2312"/>
          <w:color w:val="000000"/>
          <w:sz w:val="32"/>
          <w:szCs w:val="32"/>
        </w:rPr>
        <w:t>文化体育与传媒（类）…（款）…（项）：指……。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15.</w:t>
      </w:r>
      <w:r>
        <w:rPr>
          <w:rFonts w:hint="eastAsia" w:ascii="仿宋_GB2312" w:eastAsia="仿宋_GB2312"/>
          <w:color w:val="000000"/>
          <w:sz w:val="32"/>
          <w:szCs w:val="32"/>
        </w:rPr>
        <w:t>社会保障和就业（类）…（款）…（项）：指……。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16.</w:t>
      </w:r>
      <w:r>
        <w:rPr>
          <w:rFonts w:hint="eastAsia" w:ascii="仿宋_GB2312" w:eastAsia="仿宋_GB2312"/>
          <w:color w:val="000000"/>
          <w:sz w:val="32"/>
          <w:szCs w:val="32"/>
        </w:rPr>
        <w:t>医疗卫生与计划生育（类）…（款）…（项）：指……。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17.</w:t>
      </w:r>
      <w:r>
        <w:rPr>
          <w:rFonts w:hint="eastAsia" w:ascii="仿宋_GB2312" w:eastAsia="仿宋_GB2312"/>
          <w:color w:val="000000"/>
          <w:sz w:val="32"/>
          <w:szCs w:val="32"/>
        </w:rPr>
        <w:t>节能环保（类）…（款）…（项）：指……。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18.</w:t>
      </w:r>
      <w:r>
        <w:rPr>
          <w:rFonts w:hint="eastAsia" w:ascii="仿宋_GB2312" w:eastAsia="仿宋_GB2312"/>
          <w:color w:val="000000"/>
          <w:sz w:val="32"/>
          <w:szCs w:val="32"/>
        </w:rPr>
        <w:t>城乡社区（类）…（款）…（项）：指……。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19.</w:t>
      </w:r>
      <w:r>
        <w:rPr>
          <w:rFonts w:hint="eastAsia" w:ascii="仿宋_GB2312" w:eastAsia="仿宋_GB2312"/>
          <w:color w:val="000000"/>
          <w:sz w:val="32"/>
          <w:szCs w:val="32"/>
        </w:rPr>
        <w:t>农林水（类）…（款）…（项）：指……。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20.</w:t>
      </w:r>
      <w:r>
        <w:rPr>
          <w:rFonts w:hint="eastAsia" w:ascii="仿宋_GB2312" w:eastAsia="仿宋_GB2312"/>
          <w:color w:val="000000"/>
          <w:sz w:val="32"/>
          <w:szCs w:val="32"/>
        </w:rPr>
        <w:t>交通运输（类）…（款）…（项）：指……。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21.</w:t>
      </w:r>
      <w:r>
        <w:rPr>
          <w:rFonts w:hint="eastAsia" w:ascii="仿宋_GB2312" w:eastAsia="仿宋_GB2312"/>
          <w:color w:val="000000"/>
          <w:sz w:val="32"/>
          <w:szCs w:val="32"/>
        </w:rPr>
        <w:t>资源勘探信息等（类）…（款）…（项）：指……。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22.</w:t>
      </w:r>
      <w:r>
        <w:rPr>
          <w:rFonts w:hint="eastAsia" w:ascii="仿宋_GB2312" w:eastAsia="仿宋_GB2312"/>
          <w:color w:val="000000"/>
          <w:sz w:val="32"/>
          <w:szCs w:val="32"/>
        </w:rPr>
        <w:t>商业服务业（类）…（款）…（项）：指……。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23.</w:t>
      </w:r>
      <w:r>
        <w:rPr>
          <w:rFonts w:hint="eastAsia" w:ascii="仿宋_GB2312" w:eastAsia="仿宋_GB2312"/>
          <w:color w:val="000000"/>
          <w:sz w:val="32"/>
          <w:szCs w:val="32"/>
        </w:rPr>
        <w:t>金融（类）…（款）…（项）：指……。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24.</w:t>
      </w:r>
      <w:r>
        <w:rPr>
          <w:rFonts w:hint="eastAsia" w:ascii="仿宋_GB2312" w:eastAsia="仿宋_GB2312"/>
          <w:color w:val="000000"/>
          <w:sz w:val="32"/>
          <w:szCs w:val="32"/>
        </w:rPr>
        <w:t>国土海洋气象等（类）…（款）…（项）：指……。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25.</w:t>
      </w:r>
      <w:r>
        <w:rPr>
          <w:rFonts w:hint="eastAsia" w:ascii="仿宋_GB2312" w:eastAsia="仿宋_GB2312"/>
          <w:color w:val="000000"/>
          <w:sz w:val="32"/>
          <w:szCs w:val="32"/>
        </w:rPr>
        <w:t>住房保障（类）…（款）…（项）：指……。</w:t>
      </w:r>
    </w:p>
    <w:p>
      <w:pPr>
        <w:ind w:firstLine="640" w:firstLineChars="200"/>
        <w:rPr>
          <w:rFonts w:ascii="仿宋_GB2312" w:eastAsia="仿宋_GB2312"/>
          <w:color w:val="000000"/>
          <w:sz w:val="32"/>
          <w:szCs w:val="32"/>
        </w:rPr>
      </w:pPr>
      <w:r>
        <w:rPr>
          <w:rFonts w:ascii="仿宋_GB2312" w:eastAsia="仿宋_GB2312"/>
          <w:color w:val="000000"/>
          <w:sz w:val="32"/>
          <w:szCs w:val="32"/>
        </w:rPr>
        <w:t>26.</w:t>
      </w:r>
      <w:r>
        <w:rPr>
          <w:rFonts w:hint="eastAsia" w:ascii="仿宋_GB2312" w:eastAsia="仿宋_GB2312"/>
          <w:color w:val="000000"/>
          <w:sz w:val="32"/>
          <w:szCs w:val="32"/>
        </w:rPr>
        <w:t>粮油物资储备（类）…（款）…（项）：指……。</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w:t>
      </w:r>
    </w:p>
    <w:p>
      <w:pPr>
        <w:spacing w:line="600" w:lineRule="exact"/>
        <w:ind w:firstLine="640"/>
        <w:rPr>
          <w:rFonts w:ascii="仿宋" w:hAnsi="仿宋" w:eastAsia="仿宋"/>
          <w:b/>
          <w:color w:val="000000"/>
          <w:sz w:val="32"/>
          <w:szCs w:val="32"/>
        </w:rPr>
      </w:pPr>
      <w:r>
        <w:rPr>
          <w:rFonts w:hint="eastAsia" w:ascii="仿宋" w:hAnsi="仿宋" w:eastAsia="仿宋"/>
          <w:b/>
          <w:color w:val="000000"/>
          <w:sz w:val="32"/>
          <w:szCs w:val="32"/>
        </w:rPr>
        <w:t>（解释本部门决算报表中全部功能分类科目至项级，请参照《</w:t>
      </w:r>
      <w:r>
        <w:rPr>
          <w:rFonts w:ascii="仿宋" w:hAnsi="仿宋" w:eastAsia="仿宋"/>
          <w:b/>
          <w:color w:val="000000"/>
          <w:sz w:val="32"/>
          <w:szCs w:val="32"/>
        </w:rPr>
        <w:t>201</w:t>
      </w:r>
      <w:r>
        <w:rPr>
          <w:rFonts w:hint="eastAsia" w:ascii="仿宋" w:hAnsi="仿宋" w:eastAsia="仿宋"/>
          <w:b/>
          <w:color w:val="000000"/>
          <w:sz w:val="32"/>
          <w:szCs w:val="32"/>
        </w:rPr>
        <w:t>8年政府收支分类科目》增减内容。）</w:t>
      </w:r>
    </w:p>
    <w:p>
      <w:pPr>
        <w:ind w:firstLine="640" w:firstLineChars="200"/>
        <w:rPr>
          <w:rFonts w:ascii="仿宋_GB2312" w:eastAsia="仿宋_GB2312"/>
          <w:color w:val="000000"/>
          <w:sz w:val="32"/>
          <w:szCs w:val="32"/>
        </w:rPr>
      </w:pPr>
      <w:r>
        <w:rPr>
          <w:rFonts w:ascii="仿宋_GB2312" w:eastAsia="仿宋_GB2312"/>
          <w:color w:val="000000"/>
          <w:sz w:val="32"/>
          <w:szCs w:val="32"/>
        </w:rPr>
        <w:t>27.</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ascii="仿宋_GB2312" w:eastAsia="仿宋_GB2312"/>
          <w:color w:val="000000"/>
          <w:sz w:val="32"/>
          <w:szCs w:val="32"/>
        </w:rPr>
        <w:t>28.</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ascii="仿宋_GB2312" w:eastAsia="仿宋_GB2312"/>
          <w:color w:val="000000"/>
          <w:sz w:val="32"/>
          <w:szCs w:val="32"/>
        </w:rPr>
        <w:t>29.</w:t>
      </w:r>
      <w:r>
        <w:rPr>
          <w:rFonts w:hint="eastAsia" w:ascii="仿宋_GB2312" w:eastAsia="仿宋_GB2312"/>
          <w:color w:val="000000"/>
          <w:sz w:val="32"/>
          <w:szCs w:val="32"/>
        </w:rPr>
        <w:t>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30.</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31.</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32.</w:t>
      </w:r>
      <w:r>
        <w:rPr>
          <w:rFonts w:hint="eastAsia" w:ascii="仿宋_GB2312" w:eastAsia="仿宋_GB2312"/>
          <w:sz w:val="32"/>
          <w:szCs w:val="32"/>
        </w:rPr>
        <w:t>……。</w:t>
      </w:r>
    </w:p>
    <w:p>
      <w:pPr>
        <w:pStyle w:val="22"/>
        <w:spacing w:line="560" w:lineRule="exact"/>
        <w:ind w:firstLine="640" w:firstLineChars="200"/>
        <w:rPr>
          <w:rFonts w:ascii="仿宋_GB2312" w:eastAsia="仿宋_GB2312" w:cs="黑体"/>
          <w:sz w:val="32"/>
          <w:szCs w:val="32"/>
        </w:rPr>
      </w:pPr>
    </w:p>
    <w:p>
      <w:pPr>
        <w:ind w:firstLine="643" w:firstLineChars="200"/>
        <w:rPr>
          <w:rFonts w:ascii="仿宋" w:hAnsi="仿宋" w:eastAsia="仿宋"/>
          <w:b/>
          <w:color w:val="000000"/>
          <w:sz w:val="32"/>
          <w:szCs w:val="32"/>
        </w:rPr>
      </w:pPr>
      <w:r>
        <w:rPr>
          <w:rFonts w:hint="eastAsia" w:ascii="仿宋" w:hAnsi="仿宋" w:eastAsia="仿宋"/>
          <w:b/>
          <w:color w:val="000000"/>
          <w:sz w:val="32"/>
          <w:szCs w:val="32"/>
        </w:rPr>
        <w:t>（名词解释部分请根据各部门实际列支情况罗列，并根据本部门职责职能增减名词解释内容。）</w:t>
      </w:r>
    </w:p>
    <w:p>
      <w:pPr>
        <w:spacing w:line="600" w:lineRule="exact"/>
        <w:jc w:val="center"/>
        <w:outlineLvl w:val="0"/>
        <w:rPr>
          <w:rStyle w:val="24"/>
          <w:rFonts w:ascii="黑体" w:hAnsi="黑体" w:eastAsia="黑体"/>
          <w:b w:val="0"/>
        </w:rPr>
      </w:pPr>
      <w:bookmarkStart w:id="62" w:name="_Toc15377226"/>
      <w:r>
        <w:rPr>
          <w:rFonts w:ascii="宋体"/>
          <w:b/>
          <w:color w:val="000000"/>
          <w:sz w:val="44"/>
          <w:szCs w:val="44"/>
        </w:rPr>
        <w:br w:type="page"/>
      </w:r>
      <w:bookmarkStart w:id="63" w:name="_Toc17103566"/>
      <w:r>
        <w:rPr>
          <w:rFonts w:hint="eastAsia" w:ascii="黑体" w:hAnsi="黑体" w:eastAsia="黑体"/>
          <w:color w:val="000000"/>
          <w:sz w:val="44"/>
          <w:szCs w:val="44"/>
        </w:rPr>
        <w:t>第</w:t>
      </w:r>
      <w:r>
        <w:rPr>
          <w:rStyle w:val="24"/>
          <w:rFonts w:hint="eastAsia" w:ascii="黑体" w:hAnsi="黑体" w:eastAsia="黑体"/>
          <w:b w:val="0"/>
        </w:rPr>
        <w:t>四部分 附件</w:t>
      </w:r>
      <w:bookmarkEnd w:id="63"/>
    </w:p>
    <w:p>
      <w:pPr>
        <w:spacing w:line="600" w:lineRule="exact"/>
        <w:jc w:val="center"/>
        <w:outlineLvl w:val="0"/>
        <w:rPr>
          <w:rStyle w:val="24"/>
        </w:rPr>
      </w:pPr>
    </w:p>
    <w:p>
      <w:pPr>
        <w:pStyle w:val="3"/>
        <w:rPr>
          <w:rStyle w:val="24"/>
          <w:rFonts w:ascii="仿宋" w:hAnsi="仿宋" w:eastAsia="仿宋"/>
          <w:b w:val="0"/>
          <w:bCs w:val="0"/>
          <w:sz w:val="32"/>
          <w:szCs w:val="32"/>
        </w:rPr>
      </w:pPr>
      <w:bookmarkStart w:id="64" w:name="_Toc17103567"/>
      <w:r>
        <w:rPr>
          <w:rStyle w:val="24"/>
          <w:rFonts w:hint="eastAsia" w:ascii="仿宋" w:hAnsi="仿宋" w:eastAsia="仿宋"/>
          <w:b w:val="0"/>
          <w:bCs w:val="0"/>
          <w:sz w:val="32"/>
          <w:szCs w:val="32"/>
        </w:rPr>
        <w:t>附件1</w:t>
      </w:r>
      <w:bookmarkEnd w:id="64"/>
    </w:p>
    <w:p>
      <w:pPr>
        <w:spacing w:line="600" w:lineRule="exact"/>
        <w:jc w:val="center"/>
        <w:outlineLvl w:val="0"/>
        <w:rPr>
          <w:rFonts w:ascii="黑体" w:hAnsi="黑体" w:eastAsia="黑体" w:cs="方正小标宋简体"/>
          <w:sz w:val="36"/>
          <w:szCs w:val="36"/>
        </w:rPr>
      </w:pPr>
      <w:bookmarkStart w:id="65" w:name="_Toc15396616"/>
      <w:bookmarkStart w:id="66" w:name="_Toc17103568"/>
      <w:r>
        <w:rPr>
          <w:rFonts w:hint="eastAsia" w:ascii="黑体" w:hAnsi="黑体" w:eastAsia="黑体" w:cs="方正小标宋简体"/>
          <w:sz w:val="36"/>
          <w:szCs w:val="36"/>
        </w:rPr>
        <w:t>雁江区外事侨务旅游办公室</w:t>
      </w:r>
    </w:p>
    <w:p>
      <w:pPr>
        <w:spacing w:line="600" w:lineRule="exact"/>
        <w:jc w:val="center"/>
        <w:outlineLvl w:val="0"/>
        <w:rPr>
          <w:rFonts w:ascii="黑体" w:hAnsi="黑体" w:eastAsia="黑体" w:cs="方正小标宋简体"/>
          <w:sz w:val="36"/>
          <w:szCs w:val="36"/>
        </w:rPr>
      </w:pPr>
      <w:r>
        <w:rPr>
          <w:rFonts w:hint="eastAsia" w:ascii="黑体" w:hAnsi="黑体" w:eastAsia="黑体" w:cs="方正小标宋简体"/>
          <w:sz w:val="36"/>
          <w:szCs w:val="36"/>
        </w:rPr>
        <w:t>2018年部门整体支出绩效评价报告</w:t>
      </w:r>
      <w:bookmarkEnd w:id="65"/>
      <w:bookmarkEnd w:id="66"/>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hint="eastAsia" w:ascii="黑体" w:hAnsi="黑体" w:eastAsia="黑体" w:cs="黑体"/>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雁江区外事侨务旅游办公室是区政府负责全区外事、侨务、旅游三项职责于一体的直属行政单位，分设外事办公室、侨务办公室和旅游局三个部门。</w:t>
      </w:r>
    </w:p>
    <w:p>
      <w:pPr>
        <w:numPr>
          <w:ilvl w:val="0"/>
          <w:numId w:val="11"/>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机构职能。</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本办是区政府负责全区外事、侨务、旅游三个部门于一体的直属行政单位，其主要职责是：</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1、根据国家和省政府旅游发展战略和市委、市政府、区委、区政府培育旅游支柱产业决定，加快开发雁江区旅游资源，打造旅游精品，形成旅游产业。</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2、研究和推进雁江区旅游体制创新；协同有关部门培育和完善旅游市场；依法兴旅治旅，规范旅游企业经营行为。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3、制定雁江区旅游业发展规划并组织实施；负责组织全区旅游整体形象的宣传和组织参加省内外的重大促销活动；组织指导重要旅游产品的开发。</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对雁江区经营旅游业务的企事业单位进行行业管理，归口审核经营旅游业务的旅行社（公司）；组织审核旅游饭店的星级评定；协调和指导旅游商品的生产和销售、旅游安全、旅游娱乐等工作；对旅游企业的经营和服务质量依法实施监督检查。</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5、促进和引导旅游行业利用外资和社会投资工作，负责国家、省、市区下达的旅游基建项目的立项审核；对区内旅游景区（景点）、旅游度假区（村）和其它重点旅游建设项目实施宏观指导和检查。</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贯彻执行党和国家的外事侨务工作方针政策、涉外涉侨法规及市委、市政府、区委、区政府关于外事侨务工作指导和决定；提出外侨旅工作规划及建议；检查全区有关部门、单位贯彻执行对外方针政策和涉侨法规的情况；处理或协助处理重大的涉外、涉侨事务。</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7、归口管理全区因公出国事务，承办全区因公出国团组、人员报批事宜；对出国人员进行外事纪律教育，检查因公出国团组和人员在国外的活动情况。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8、管理并承办邀请外国人来雁江访问的具体报批事宜；负责接待雁江区访问国宾、党宾和其他重要外宾及外国记者；统筹安排区委、区人大、区政府和区政协领导同志的外事活动。</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9、开展涉外、涉侨宣传工作；开展对外经济、科技、文化交流与合作；开展对华侨、华人、港澳同胞及社团的团结友好工作，开展对贫困归侨侨眷救济、扶贫工作；扶持归侨侨眷发展企事业。</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10、依法保护归侨、侨眷和华侨、华人、港澳同胞在雁江的合法权益；协助有关部门做好归侨侨眷代表人士的人事安排。</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11、利用外事、侨务工作渠道牵线搭桥，引进资金、技术、人才，接受境外捐赠。</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12、对全区外事、侨务、旅游干部和导游人员、宾馆旅游管理和服务人员进行业务培训，指导乡镇外事侨务旅游工作。</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13、 承办区委与市委主管部门或区政府与市政府主管部门交办的其它事项。</w:t>
      </w:r>
    </w:p>
    <w:p>
      <w:pPr>
        <w:spacing w:line="580" w:lineRule="exact"/>
        <w:ind w:firstLine="640" w:firstLineChars="200"/>
        <w:rPr>
          <w:rFonts w:ascii="仿宋" w:hAnsi="仿宋" w:eastAsia="仿宋" w:cs="仿宋_GB2312"/>
          <w:sz w:val="32"/>
          <w:szCs w:val="32"/>
        </w:rPr>
      </w:pPr>
    </w:p>
    <w:p>
      <w:pPr>
        <w:numPr>
          <w:ilvl w:val="0"/>
          <w:numId w:val="11"/>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人员概况。</w:t>
      </w:r>
    </w:p>
    <w:p>
      <w:pPr>
        <w:spacing w:line="580" w:lineRule="exact"/>
        <w:ind w:left="420" w:leftChars="200" w:firstLine="640" w:firstLineChars="200"/>
        <w:rPr>
          <w:rFonts w:ascii="仿宋" w:hAnsi="仿宋" w:eastAsia="仿宋" w:cs="仿宋_GB2312"/>
          <w:sz w:val="32"/>
          <w:szCs w:val="32"/>
        </w:rPr>
      </w:pPr>
      <w:r>
        <w:rPr>
          <w:rFonts w:hint="eastAsia" w:ascii="仿宋" w:hAnsi="仿宋" w:eastAsia="仿宋" w:cs="仿宋_GB2312"/>
          <w:sz w:val="32"/>
          <w:szCs w:val="32"/>
        </w:rPr>
        <w:t>雁江区外事侨务旅游办公室是独立编制、独立核算的机构，核定行政编制5人；实有人员5人； 2018年我单位有退休人员5人。</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201</w:t>
      </w:r>
      <w:r>
        <w:rPr>
          <w:rFonts w:hint="eastAsia" w:ascii="仿宋" w:hAnsi="仿宋" w:eastAsia="仿宋" w:cs="仿宋_GB2312"/>
          <w:sz w:val="32"/>
          <w:szCs w:val="32"/>
        </w:rPr>
        <w:t>8年本年收入合计349.93万元，其中一般公共服务260.67万元（行政运行74.51万元，一般行政事务管理9.3万元，其他政府办公厅（室）及相关机构事务支出176.86万元）；社会保障和就业15.31万元（归口管理的行政单位离退休3.6万元，机关事业单位基本养老保险缴费7.64万元，机关事业单位职业年金缴费4.07万元）；医疗卫生与计划生育3.22万元（行政单位医疗2.68万元，公务员医疗补助0.54万元）；旅游业管理与服务66万元；住房公积金4.73万元。</w:t>
      </w:r>
    </w:p>
    <w:p>
      <w:pPr>
        <w:numPr>
          <w:ilvl w:val="0"/>
          <w:numId w:val="12"/>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580" w:lineRule="exact"/>
        <w:rPr>
          <w:rFonts w:ascii="仿宋" w:hAnsi="仿宋" w:eastAsia="仿宋" w:cs="仿宋_GB2312"/>
          <w:sz w:val="32"/>
          <w:szCs w:val="32"/>
        </w:rPr>
      </w:pPr>
      <w:r>
        <w:rPr>
          <w:rFonts w:hint="eastAsia" w:ascii="仿宋" w:hAnsi="仿宋" w:eastAsia="仿宋" w:cs="仿宋_GB2312"/>
          <w:sz w:val="32"/>
          <w:szCs w:val="32"/>
        </w:rPr>
        <w:t xml:space="preserve">    2018年本年支出合计514.03万元，其中一般公共服务支出260.67万元（行政运行74.51万元，一般行政事务管理9.3万元，其他政府办公厅（室）及相关机构事务支出176.86万元）；社会保障和就业15.31万元（归口管理的行政单位离退休3.6万元，机关事业单位基本养老保险缴费7.64万元，机关事业单位职业年金缴费4.07万元）；医疗卫生与计划生育行政单位医疗2.68万元；旅游业管理与服务66万元；住房公积金4.73万元；商业服务业等支出230.65万元（其他旅游业管理与服务支出214.65万元，旅游发展基金支出16万元）。超出部分从上年额度中支出。</w:t>
      </w: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提高预算资金使用效益，区外事侨务旅游办公室于2017年底制定部门2018年各项目标任务，并根据任务编制年初预算。我单位所有支出均按照财务管理制度执行，资金的使用严格把关，并完全按照我单位内部管理制度和区财政的有关规定执行。单位内部不定期进行抽查，不存在违规违纪的问题。</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单位项目支出共416.81万元，主要用于举办了荷花节、小龙虾美食节、赏花节等乡村旅游节庆活动、修建完成旅游厕所、拍摄旅游形象宣传片及节庆活动专题片、编制旅游规划、举办乡村旅游培训等工作。项目实施产生了良好的经济效益、社会效益、生态效益，社会公众的满意度及可持续影响力业较好，为雁江旅游发展打下了良好基础，对雁江旅游景区点和旅游资源、历史人文进行了宣传，提高了雁江旅游知名度，对雁江旅游发展具有积极地促进。项目资金使用完全按照我单位内部管理制度和区财政的有关规定执行。经费支出程序严密、规划合理、效果显著。单位内部不定期进行抽查，不存在违规违纪的问题。</w:t>
      </w:r>
    </w:p>
    <w:p>
      <w:pPr>
        <w:numPr>
          <w:ilvl w:val="0"/>
          <w:numId w:val="12"/>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结果应用情况。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2018年我办旅游发展资金主要用于旅游规划编制；旅游景区建设；旅游宣传促销；旅游培训；旅游品牌建设；举办旅游节庆；旅游扶贫；农旅产业园发展；旅游基础设施建设等。基本解决了旅游基础薄弱，旅游产品供给不足，旅游品牌影响力不够等问题，促进旅游产业的发展。通过项目的实施，生了良好的经济效益、社会效益、生态效益，社会公众的满意度及可持续影响力业较好，为雁江旅游发展打下了良好基础，对雁江旅游景区点和旅游资源、历史人文进行了宣传，提高了雁江旅游知名度，对雁江旅游发展具有积极地促进。</w:t>
      </w:r>
    </w:p>
    <w:p>
      <w:pPr>
        <w:spacing w:line="580" w:lineRule="exact"/>
        <w:ind w:firstLine="640" w:firstLineChars="200"/>
        <w:rPr>
          <w:rFonts w:ascii="黑体" w:hAnsi="黑体" w:eastAsia="黑体" w:cs="黑体"/>
          <w:sz w:val="32"/>
          <w:szCs w:val="32"/>
        </w:rPr>
      </w:pPr>
    </w:p>
    <w:p>
      <w:pPr>
        <w:spacing w:line="580" w:lineRule="exact"/>
        <w:ind w:firstLine="640" w:firstLineChars="200"/>
        <w:rPr>
          <w:rFonts w:ascii="黑体" w:hAnsi="黑体" w:eastAsia="黑体" w:cs="黑体"/>
          <w:sz w:val="32"/>
          <w:szCs w:val="32"/>
        </w:rPr>
      </w:pPr>
      <w:r>
        <w:rPr>
          <w:rFonts w:ascii="黑体" w:hAnsi="黑体" w:eastAsia="黑体" w:cs="黑体"/>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r>
        <w:rPr>
          <w:rFonts w:hint="eastAsia" w:ascii="仿宋" w:hAnsi="仿宋" w:eastAsia="仿宋" w:cs="仿宋_GB2312"/>
          <w:sz w:val="32"/>
          <w:szCs w:val="32"/>
        </w:rPr>
        <w:t>项目实施效果好，质量高，达到了预期绩效目标。</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r>
        <w:rPr>
          <w:rFonts w:hint="eastAsia" w:ascii="仿宋" w:hAnsi="仿宋" w:eastAsia="仿宋" w:cs="仿宋_GB2312"/>
          <w:sz w:val="32"/>
          <w:szCs w:val="32"/>
        </w:rPr>
        <w:t>财务管理方法不够完善，绩效管理经验不足，部分成果无法用指标表示。</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健全和完善财务管理制度及内部控制制度，重新管理手段，用新思想、新方法，改进完善财务管理方法。按照财政支出绩效管理的要求，建立健全内控制度，建立科学的财政资金效益考评制度体系，不断提高财政资金使用管理水平和效益。</w:t>
      </w:r>
    </w:p>
    <w:p>
      <w:pPr>
        <w:spacing w:line="580" w:lineRule="exact"/>
        <w:ind w:firstLine="640" w:firstLineChars="200"/>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pStyle w:val="3"/>
        <w:rPr>
          <w:rStyle w:val="24"/>
          <w:rFonts w:ascii="仿宋" w:hAnsi="仿宋" w:eastAsia="仿宋"/>
          <w:b w:val="0"/>
          <w:bCs w:val="0"/>
          <w:sz w:val="32"/>
          <w:szCs w:val="32"/>
        </w:rPr>
      </w:pPr>
      <w:bookmarkStart w:id="67" w:name="_Toc17103569"/>
      <w:r>
        <w:rPr>
          <w:rStyle w:val="24"/>
          <w:rFonts w:hint="eastAsia" w:ascii="仿宋" w:hAnsi="仿宋" w:eastAsia="仿宋"/>
          <w:b w:val="0"/>
          <w:bCs w:val="0"/>
          <w:sz w:val="32"/>
          <w:szCs w:val="32"/>
        </w:rPr>
        <w:t>附件2</w:t>
      </w:r>
      <w:bookmarkEnd w:id="67"/>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2018年雁江区旅游发展专项资金项目支出绩效评价报告</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为确保该项目自评工作的科学、严谨、公开、透明，我办专门成立了项目绩效评价小组，并派人随时了解项目进展情况。从项目立项、预算编制、组织实施、绩效评价等关键环节，对照绩效指标逐条开展自评。</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项目绩效评价总体得分90分。该项目来源为雁江区财政专项资金。项目现已完成。该项目决策符合相关规定，项目管理流程可控，项目绩效完全达到预期目标 。</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我办根据资阳市委办、市政府办关于印发《资阳市建设国家级旅游业改革创新先行区实施方案》的通知（资委办发〔2016〕40号）和区委办、区政府办关于印发《资阳市雁江区建设国家级旅游业改革创新先行区实施方案》的通知精神，编制了2018年旅游发展资金项目。该项目的设置对雁江旅游发展具有重要促进作用。为确保项目顺利进行，我办设置了绩效目标，并进行考核。</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资金分配科学合理，资金使用情况按照项目资金实施管理。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项目已完成，并进行验收，项目资金均已拨付。项目的实施，生了良好的经济效益、社会效益、生态效益，社会公众的满意度及可持续影响力业较好，为雁江旅游发展打下了良好基础，对雁江旅游景区点和旅游资源、历史人文进行了宣传，提高了雁江旅游知名度，对雁江旅游发展具有积极地促进。</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w:t>
      </w:r>
      <w:r>
        <w:rPr>
          <w:rFonts w:ascii="仿宋" w:hAnsi="仿宋" w:eastAsia="仿宋" w:cs="仿宋_GB2312"/>
          <w:sz w:val="32"/>
          <w:szCs w:val="32"/>
        </w:rPr>
        <w:t>、存在主要问题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财政经费紧张，项目完成后经费未能按时拨付。</w:t>
      </w:r>
    </w:p>
    <w:p>
      <w:pPr>
        <w:numPr>
          <w:ilvl w:val="0"/>
          <w:numId w:val="1"/>
        </w:numPr>
        <w:spacing w:line="580" w:lineRule="exact"/>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left="640"/>
        <w:rPr>
          <w:rFonts w:ascii="仿宋" w:hAnsi="仿宋" w:eastAsia="仿宋" w:cs="仿宋_GB2312"/>
          <w:sz w:val="32"/>
          <w:szCs w:val="32"/>
        </w:rPr>
      </w:pPr>
      <w:r>
        <w:rPr>
          <w:rFonts w:hint="eastAsia" w:ascii="仿宋" w:hAnsi="仿宋" w:eastAsia="仿宋" w:cs="仿宋_GB2312"/>
          <w:sz w:val="32"/>
          <w:szCs w:val="32"/>
        </w:rPr>
        <w:t>建议实行工程进度进行分段拨付。</w:t>
      </w: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p>
    <w:p>
      <w:pPr>
        <w:spacing w:line="580" w:lineRule="exact"/>
        <w:jc w:val="center"/>
        <w:rPr>
          <w:rFonts w:ascii="黑体" w:hAnsi="黑体" w:eastAsia="黑体" w:cs="方正小标宋简体"/>
          <w:sz w:val="44"/>
          <w:szCs w:val="44"/>
        </w:rPr>
      </w:pPr>
      <w:r>
        <w:rPr>
          <w:rFonts w:hint="eastAsia" w:ascii="黑体" w:hAnsi="黑体" w:eastAsia="黑体" w:cs="方正小标宋简体"/>
          <w:sz w:val="44"/>
          <w:szCs w:val="44"/>
        </w:rPr>
        <w:t>2018年省级旅游发展专项资金（生态环保示范厕所）项目支出绩效评价报告</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ascii="仿宋" w:hAnsi="仿宋" w:eastAsia="仿宋" w:cs="仿宋_GB2312"/>
          <w:sz w:val="32"/>
          <w:szCs w:val="32"/>
        </w:rPr>
        <w:t>、评价工作开展及项目情况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为确保该项目自评工作的科学、严谨、公开、透明，我办专门成立了项目绩效评价小组，并派人随时了解项目进展情况。从项目立项、预算编制、组织实施、绩效评价等关键环节，对照绩效指标逐条开展自评。</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、评价结论及绩效分析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项目绩效评价总体得分90分。该项目来源为雁江区财政下达2018年省级旅游发展专项资金50万元。项目是修建1座生态环保示范厕所，现已完成。该项目决策符合相关规定，项目管理流程可控，项目绩效完全达到预期目标 。</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（二）绩效分析</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1、项目决策</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雁江区财政下达2018年省级旅游发展专项资金50万元用于修建1座生态环保示范厕所。</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2、项目管理</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资金分配科学合理，资金使用情况按照项目资金实施管理。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3、项目绩效</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本项目已完成，并进行验收，项目资金均已拨付。项目的实施，生了良好的经济效益、社会效益、生态效益，社会公众的满意度及可持续影响力业较好，完善了雁江旅游基础设施，对雁江旅游发展具有积极地促进。</w:t>
      </w:r>
    </w:p>
    <w:p>
      <w:pPr>
        <w:numPr>
          <w:ilvl w:val="0"/>
          <w:numId w:val="13"/>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存在主要问题</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财政经费紧张，项目完成后经费未能按时拨付。</w:t>
      </w:r>
    </w:p>
    <w:p>
      <w:pPr>
        <w:numPr>
          <w:ilvl w:val="0"/>
          <w:numId w:val="13"/>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相关措施建议</w:t>
      </w:r>
    </w:p>
    <w:p>
      <w:pPr>
        <w:spacing w:line="580" w:lineRule="exact"/>
        <w:ind w:left="420" w:leftChars="200" w:firstLine="320" w:firstLineChars="100"/>
        <w:rPr>
          <w:rFonts w:ascii="仿宋" w:hAnsi="仿宋" w:eastAsia="仿宋" w:cs="仿宋_GB2312"/>
          <w:sz w:val="32"/>
          <w:szCs w:val="32"/>
        </w:rPr>
      </w:pPr>
      <w:r>
        <w:rPr>
          <w:rFonts w:hint="eastAsia" w:ascii="仿宋" w:hAnsi="仿宋" w:eastAsia="仿宋" w:cs="仿宋_GB2312"/>
          <w:sz w:val="32"/>
          <w:szCs w:val="32"/>
        </w:rPr>
        <w:t>建议实行工程进度进行分段拨付。</w:t>
      </w:r>
    </w:p>
    <w:p>
      <w:pPr>
        <w:spacing w:line="580" w:lineRule="exact"/>
        <w:ind w:firstLine="640" w:firstLineChars="200"/>
        <w:rPr>
          <w:rFonts w:ascii="仿宋" w:hAnsi="仿宋" w:eastAsia="仿宋" w:cs="仿宋_GB2312"/>
          <w:sz w:val="32"/>
          <w:szCs w:val="32"/>
        </w:rPr>
      </w:pPr>
    </w:p>
    <w:p>
      <w:pPr>
        <w:spacing w:line="580" w:lineRule="exact"/>
        <w:ind w:firstLine="640" w:firstLineChars="200"/>
        <w:rPr>
          <w:rFonts w:ascii="仿宋" w:hAnsi="仿宋" w:eastAsia="仿宋" w:cs="仿宋_GB2312"/>
          <w:sz w:val="32"/>
          <w:szCs w:val="32"/>
        </w:rPr>
      </w:pPr>
    </w:p>
    <w:p>
      <w:pPr>
        <w:spacing w:line="600" w:lineRule="exact"/>
        <w:jc w:val="center"/>
        <w:outlineLvl w:val="0"/>
        <w:rPr>
          <w:rStyle w:val="24"/>
          <w:rFonts w:ascii="黑体" w:hAnsi="黑体" w:eastAsia="黑体"/>
          <w:b w:val="0"/>
        </w:rPr>
      </w:pPr>
      <w:bookmarkStart w:id="68" w:name="_Toc17103570"/>
      <w:r>
        <w:rPr>
          <w:rFonts w:hint="eastAsia" w:ascii="黑体" w:hAnsi="黑体" w:eastAsia="黑体"/>
          <w:color w:val="000000"/>
          <w:sz w:val="44"/>
          <w:szCs w:val="44"/>
        </w:rPr>
        <w:t>第</w:t>
      </w:r>
      <w:r>
        <w:rPr>
          <w:rStyle w:val="24"/>
          <w:rFonts w:hint="eastAsia" w:ascii="黑体" w:hAnsi="黑体" w:eastAsia="黑体"/>
          <w:b w:val="0"/>
        </w:rPr>
        <w:t>五部分 附表</w:t>
      </w:r>
      <w:bookmarkEnd w:id="62"/>
      <w:bookmarkEnd w:id="68"/>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69" w:name="_Toc17103571"/>
      <w:r>
        <w:rPr>
          <w:rFonts w:hint="eastAsia" w:ascii="仿宋" w:hAnsi="仿宋" w:eastAsia="仿宋"/>
          <w:b w:val="0"/>
          <w:color w:val="000000"/>
        </w:rPr>
        <w:t>一、收</w:t>
      </w:r>
      <w:r>
        <w:rPr>
          <w:rStyle w:val="25"/>
          <w:rFonts w:hint="eastAsia" w:ascii="仿宋" w:hAnsi="仿宋" w:eastAsia="仿宋"/>
          <w:b w:val="0"/>
          <w:bCs w:val="0"/>
        </w:rPr>
        <w:t>入支出决算总表</w:t>
      </w:r>
      <w:bookmarkEnd w:id="69"/>
    </w:p>
    <w:p>
      <w:pPr>
        <w:pStyle w:val="3"/>
        <w:rPr>
          <w:rFonts w:ascii="仿宋" w:hAnsi="仿宋" w:eastAsia="仿宋"/>
          <w:color w:val="000000"/>
        </w:rPr>
      </w:pPr>
      <w:bookmarkStart w:id="70" w:name="_Toc17103572"/>
      <w:r>
        <w:rPr>
          <w:rFonts w:hint="eastAsia" w:ascii="仿宋" w:hAnsi="仿宋" w:eastAsia="仿宋"/>
          <w:b w:val="0"/>
          <w:color w:val="000000"/>
        </w:rPr>
        <w:t>二、收</w:t>
      </w:r>
      <w:r>
        <w:rPr>
          <w:rStyle w:val="25"/>
          <w:rFonts w:hint="eastAsia" w:ascii="仿宋" w:hAnsi="仿宋" w:eastAsia="仿宋"/>
          <w:b w:val="0"/>
          <w:bCs w:val="0"/>
        </w:rPr>
        <w:t>入总表</w:t>
      </w:r>
      <w:bookmarkEnd w:id="70"/>
    </w:p>
    <w:p>
      <w:pPr>
        <w:pStyle w:val="3"/>
        <w:rPr>
          <w:rFonts w:ascii="仿宋" w:hAnsi="仿宋" w:eastAsia="仿宋"/>
          <w:color w:val="000000"/>
        </w:rPr>
      </w:pPr>
      <w:bookmarkStart w:id="71" w:name="_Toc17103573"/>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出总表</w:t>
      </w:r>
      <w:bookmarkEnd w:id="71"/>
    </w:p>
    <w:p>
      <w:pPr>
        <w:pStyle w:val="3"/>
        <w:rPr>
          <w:rFonts w:ascii="仿宋" w:hAnsi="仿宋" w:eastAsia="仿宋"/>
          <w:b w:val="0"/>
          <w:color w:val="000000"/>
        </w:rPr>
      </w:pPr>
      <w:bookmarkStart w:id="72" w:name="_Toc17103574"/>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72"/>
    </w:p>
    <w:p>
      <w:pPr>
        <w:pStyle w:val="3"/>
        <w:rPr>
          <w:rFonts w:ascii="仿宋" w:hAnsi="仿宋" w:eastAsia="仿宋"/>
          <w:color w:val="000000"/>
        </w:rPr>
      </w:pPr>
      <w:bookmarkStart w:id="73" w:name="_Toc17103575"/>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政拨款支出决算明细表（政府经济分类科目）</w:t>
      </w:r>
      <w:bookmarkEnd w:id="73"/>
    </w:p>
    <w:p>
      <w:pPr>
        <w:pStyle w:val="3"/>
        <w:rPr>
          <w:rFonts w:ascii="仿宋" w:hAnsi="仿宋" w:eastAsia="仿宋"/>
          <w:color w:val="000000"/>
        </w:rPr>
      </w:pPr>
      <w:bookmarkStart w:id="74" w:name="_Toc17103576"/>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74"/>
    </w:p>
    <w:p>
      <w:pPr>
        <w:pStyle w:val="3"/>
        <w:rPr>
          <w:rFonts w:ascii="仿宋" w:hAnsi="仿宋" w:eastAsia="仿宋"/>
          <w:color w:val="000000"/>
        </w:rPr>
      </w:pPr>
      <w:bookmarkStart w:id="75" w:name="_Toc17103577"/>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75"/>
    </w:p>
    <w:p>
      <w:pPr>
        <w:pStyle w:val="3"/>
        <w:rPr>
          <w:rFonts w:ascii="仿宋" w:hAnsi="仿宋" w:eastAsia="仿宋"/>
          <w:color w:val="000000"/>
        </w:rPr>
      </w:pPr>
      <w:bookmarkStart w:id="76" w:name="_Toc17103578"/>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76"/>
    </w:p>
    <w:p>
      <w:pPr>
        <w:pStyle w:val="3"/>
        <w:rPr>
          <w:rFonts w:ascii="仿宋" w:hAnsi="仿宋" w:eastAsia="仿宋"/>
          <w:color w:val="000000"/>
        </w:rPr>
      </w:pPr>
      <w:bookmarkStart w:id="77" w:name="_Toc17103579"/>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77"/>
    </w:p>
    <w:p>
      <w:pPr>
        <w:pStyle w:val="3"/>
        <w:rPr>
          <w:rFonts w:ascii="仿宋" w:hAnsi="仿宋" w:eastAsia="仿宋"/>
          <w:color w:val="000000"/>
        </w:rPr>
      </w:pPr>
      <w:bookmarkStart w:id="78" w:name="_Toc17103580"/>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78"/>
    </w:p>
    <w:p>
      <w:pPr>
        <w:pStyle w:val="3"/>
        <w:rPr>
          <w:rFonts w:ascii="仿宋" w:hAnsi="仿宋" w:eastAsia="仿宋"/>
          <w:color w:val="000000"/>
        </w:rPr>
      </w:pPr>
      <w:bookmarkStart w:id="79" w:name="_Toc17103581"/>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79"/>
    </w:p>
    <w:p>
      <w:pPr>
        <w:pStyle w:val="3"/>
        <w:rPr>
          <w:rFonts w:ascii="仿宋" w:hAnsi="仿宋" w:eastAsia="仿宋"/>
          <w:color w:val="000000"/>
        </w:rPr>
      </w:pPr>
      <w:bookmarkStart w:id="80" w:name="_Toc17103582"/>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80"/>
    </w:p>
    <w:p>
      <w:pPr>
        <w:pStyle w:val="3"/>
        <w:rPr>
          <w:rFonts w:ascii="仿宋" w:hAnsi="仿宋" w:eastAsia="仿宋"/>
          <w:color w:val="000000" w:themeColor="text1"/>
        </w:rPr>
      </w:pPr>
      <w:bookmarkStart w:id="81" w:name="_Toc17103583"/>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81"/>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15</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A6FD55D"/>
    <w:multiLevelType w:val="singleLevel"/>
    <w:tmpl w:val="AA6FD55D"/>
    <w:lvl w:ilvl="0" w:tentative="0">
      <w:start w:val="3"/>
      <w:numFmt w:val="chineseCounting"/>
      <w:suff w:val="nothing"/>
      <w:lvlText w:val="%1、"/>
      <w:lvlJc w:val="left"/>
      <w:rPr>
        <w:rFonts w:hint="eastAsia"/>
      </w:rPr>
    </w:lvl>
  </w:abstractNum>
  <w:abstractNum w:abstractNumId="1">
    <w:nsid w:val="AF0C56FC"/>
    <w:multiLevelType w:val="singleLevel"/>
    <w:tmpl w:val="AF0C56FC"/>
    <w:lvl w:ilvl="0" w:tentative="0">
      <w:start w:val="8"/>
      <w:numFmt w:val="decimal"/>
      <w:suff w:val="nothing"/>
      <w:lvlText w:val="%1、"/>
      <w:lvlJc w:val="left"/>
      <w:pPr>
        <w:ind w:left="580" w:firstLine="0"/>
      </w:pPr>
    </w:lvl>
  </w:abstractNum>
  <w:abstractNum w:abstractNumId="2">
    <w:nsid w:val="B026C66B"/>
    <w:multiLevelType w:val="singleLevel"/>
    <w:tmpl w:val="B026C66B"/>
    <w:lvl w:ilvl="0" w:tentative="0">
      <w:start w:val="1"/>
      <w:numFmt w:val="decimal"/>
      <w:lvlText w:val="%1."/>
      <w:lvlJc w:val="left"/>
      <w:pPr>
        <w:tabs>
          <w:tab w:val="left" w:pos="312"/>
        </w:tabs>
      </w:pPr>
    </w:lvl>
  </w:abstractNum>
  <w:abstractNum w:abstractNumId="3">
    <w:nsid w:val="CF652CEC"/>
    <w:multiLevelType w:val="singleLevel"/>
    <w:tmpl w:val="CF652CEC"/>
    <w:lvl w:ilvl="0" w:tentative="0">
      <w:start w:val="9"/>
      <w:numFmt w:val="chineseCounting"/>
      <w:suff w:val="nothing"/>
      <w:lvlText w:val="%1、"/>
      <w:lvlJc w:val="left"/>
      <w:rPr>
        <w:rFonts w:hint="eastAsia"/>
      </w:rPr>
    </w:lvl>
  </w:abstractNum>
  <w:abstractNum w:abstractNumId="4">
    <w:nsid w:val="D65C41C3"/>
    <w:multiLevelType w:val="singleLevel"/>
    <w:tmpl w:val="D65C41C3"/>
    <w:lvl w:ilvl="0" w:tentative="0">
      <w:start w:val="1"/>
      <w:numFmt w:val="decimal"/>
      <w:lvlText w:val="%1."/>
      <w:lvlJc w:val="left"/>
      <w:pPr>
        <w:tabs>
          <w:tab w:val="left" w:pos="312"/>
        </w:tabs>
      </w:pPr>
    </w:lvl>
  </w:abstractNum>
  <w:abstractNum w:abstractNumId="5">
    <w:nsid w:val="E2FA047D"/>
    <w:multiLevelType w:val="singleLevel"/>
    <w:tmpl w:val="E2FA047D"/>
    <w:lvl w:ilvl="0" w:tentative="0">
      <w:start w:val="3"/>
      <w:numFmt w:val="chineseCounting"/>
      <w:suff w:val="space"/>
      <w:lvlText w:val="第%1部分"/>
      <w:lvlJc w:val="left"/>
      <w:rPr>
        <w:rFonts w:hint="eastAsia"/>
      </w:rPr>
    </w:lvl>
  </w:abstractNum>
  <w:abstractNum w:abstractNumId="6">
    <w:nsid w:val="EC0BEF30"/>
    <w:multiLevelType w:val="singleLevel"/>
    <w:tmpl w:val="EC0BEF30"/>
    <w:lvl w:ilvl="0" w:tentative="0">
      <w:start w:val="1"/>
      <w:numFmt w:val="chineseCounting"/>
      <w:suff w:val="nothing"/>
      <w:lvlText w:val="（%1）"/>
      <w:lvlJc w:val="left"/>
      <w:rPr>
        <w:rFonts w:hint="eastAsia" w:ascii="楷体_GB2312" w:hAnsi="楷体_GB2312" w:eastAsia="楷体_GB2312" w:cs="楷体_GB2312"/>
        <w:b/>
        <w:bCs/>
        <w:sz w:val="32"/>
        <w:szCs w:val="32"/>
      </w:rPr>
    </w:lvl>
  </w:abstractNum>
  <w:abstractNum w:abstractNumId="7">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9">
    <w:nsid w:val="1FB3A16B"/>
    <w:multiLevelType w:val="singleLevel"/>
    <w:tmpl w:val="1FB3A16B"/>
    <w:lvl w:ilvl="0" w:tentative="0">
      <w:start w:val="1"/>
      <w:numFmt w:val="decimal"/>
      <w:lvlText w:val="%1."/>
      <w:lvlJc w:val="left"/>
      <w:pPr>
        <w:tabs>
          <w:tab w:val="left" w:pos="312"/>
        </w:tabs>
      </w:pPr>
    </w:lvl>
  </w:abstractNum>
  <w:abstractNum w:abstractNumId="10">
    <w:nsid w:val="53C95123"/>
    <w:multiLevelType w:val="singleLevel"/>
    <w:tmpl w:val="53C95123"/>
    <w:lvl w:ilvl="0" w:tentative="0">
      <w:start w:val="2"/>
      <w:numFmt w:val="chineseCounting"/>
      <w:suff w:val="nothing"/>
      <w:lvlText w:val="（%1）"/>
      <w:lvlJc w:val="left"/>
      <w:rPr>
        <w:rFonts w:hint="eastAsia"/>
      </w:rPr>
    </w:lvl>
  </w:abstractNum>
  <w:abstractNum w:abstractNumId="11">
    <w:nsid w:val="5691EF29"/>
    <w:multiLevelType w:val="singleLevel"/>
    <w:tmpl w:val="5691EF29"/>
    <w:lvl w:ilvl="0" w:tentative="0">
      <w:start w:val="6"/>
      <w:numFmt w:val="decimal"/>
      <w:lvlText w:val="%1."/>
      <w:lvlJc w:val="left"/>
      <w:pPr>
        <w:tabs>
          <w:tab w:val="left" w:pos="312"/>
        </w:tabs>
      </w:pPr>
    </w:lvl>
  </w:abstractNum>
  <w:abstractNum w:abstractNumId="12">
    <w:nsid w:val="7CADB6D3"/>
    <w:multiLevelType w:val="singleLevel"/>
    <w:tmpl w:val="7CADB6D3"/>
    <w:lvl w:ilvl="0" w:tentative="0">
      <w:start w:val="2"/>
      <w:numFmt w:val="chineseCounting"/>
      <w:suff w:val="nothing"/>
      <w:lvlText w:val="（%1）"/>
      <w:lvlJc w:val="left"/>
      <w:rPr>
        <w:rFonts w:hint="eastAsia"/>
      </w:rPr>
    </w:lvl>
  </w:abstractNum>
  <w:num w:numId="1">
    <w:abstractNumId w:val="7"/>
  </w:num>
  <w:num w:numId="2">
    <w:abstractNumId w:val="9"/>
  </w:num>
  <w:num w:numId="3">
    <w:abstractNumId w:val="11"/>
  </w:num>
  <w:num w:numId="4">
    <w:abstractNumId w:val="1"/>
  </w:num>
  <w:num w:numId="5">
    <w:abstractNumId w:val="4"/>
  </w:num>
  <w:num w:numId="6">
    <w:abstractNumId w:val="3"/>
  </w:num>
  <w:num w:numId="7">
    <w:abstractNumId w:val="8"/>
  </w:num>
  <w:num w:numId="8">
    <w:abstractNumId w:val="6"/>
  </w:num>
  <w:num w:numId="9">
    <w:abstractNumId w:val="2"/>
  </w:num>
  <w:num w:numId="10">
    <w:abstractNumId w:val="5"/>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222C6"/>
    <w:rsid w:val="0002549F"/>
    <w:rsid w:val="0003385C"/>
    <w:rsid w:val="00046DB1"/>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03AC"/>
    <w:rsid w:val="000E6613"/>
    <w:rsid w:val="000E7119"/>
    <w:rsid w:val="00114E9B"/>
    <w:rsid w:val="0014729F"/>
    <w:rsid w:val="00157BAB"/>
    <w:rsid w:val="001654D1"/>
    <w:rsid w:val="001767C5"/>
    <w:rsid w:val="0018106D"/>
    <w:rsid w:val="001877A7"/>
    <w:rsid w:val="00191536"/>
    <w:rsid w:val="00196687"/>
    <w:rsid w:val="001A7127"/>
    <w:rsid w:val="001C0962"/>
    <w:rsid w:val="001D7531"/>
    <w:rsid w:val="001E737D"/>
    <w:rsid w:val="001F0336"/>
    <w:rsid w:val="001F0592"/>
    <w:rsid w:val="001F7506"/>
    <w:rsid w:val="002006CD"/>
    <w:rsid w:val="00202B36"/>
    <w:rsid w:val="00204B7A"/>
    <w:rsid w:val="0021101A"/>
    <w:rsid w:val="00220536"/>
    <w:rsid w:val="00235629"/>
    <w:rsid w:val="00260C38"/>
    <w:rsid w:val="002616C0"/>
    <w:rsid w:val="002662AA"/>
    <w:rsid w:val="00280496"/>
    <w:rsid w:val="00295495"/>
    <w:rsid w:val="002B2613"/>
    <w:rsid w:val="002C4E4C"/>
    <w:rsid w:val="002F1818"/>
    <w:rsid w:val="002F567B"/>
    <w:rsid w:val="003216A9"/>
    <w:rsid w:val="0037013F"/>
    <w:rsid w:val="00380C92"/>
    <w:rsid w:val="003A484F"/>
    <w:rsid w:val="003B0BE0"/>
    <w:rsid w:val="003B0C1B"/>
    <w:rsid w:val="003B688C"/>
    <w:rsid w:val="003C0291"/>
    <w:rsid w:val="003C39AE"/>
    <w:rsid w:val="003C7B60"/>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15B02"/>
    <w:rsid w:val="00520DA0"/>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83E73"/>
    <w:rsid w:val="006A3141"/>
    <w:rsid w:val="006A5E34"/>
    <w:rsid w:val="006B2422"/>
    <w:rsid w:val="006B2B9A"/>
    <w:rsid w:val="006B4DEE"/>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D312A"/>
    <w:rsid w:val="007D3F19"/>
    <w:rsid w:val="007E23B0"/>
    <w:rsid w:val="007E6A10"/>
    <w:rsid w:val="007F1991"/>
    <w:rsid w:val="007F2C2F"/>
    <w:rsid w:val="007F55FC"/>
    <w:rsid w:val="007F5665"/>
    <w:rsid w:val="00800112"/>
    <w:rsid w:val="008076A0"/>
    <w:rsid w:val="008253BB"/>
    <w:rsid w:val="0083706E"/>
    <w:rsid w:val="008423A5"/>
    <w:rsid w:val="00850625"/>
    <w:rsid w:val="00853718"/>
    <w:rsid w:val="00855221"/>
    <w:rsid w:val="00860645"/>
    <w:rsid w:val="00871F71"/>
    <w:rsid w:val="00885AF4"/>
    <w:rsid w:val="008939CD"/>
    <w:rsid w:val="008B768C"/>
    <w:rsid w:val="008C1583"/>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1EC"/>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77EA6"/>
    <w:rsid w:val="00B81598"/>
    <w:rsid w:val="00B841F1"/>
    <w:rsid w:val="00B944D6"/>
    <w:rsid w:val="00BB4DF0"/>
    <w:rsid w:val="00BC289F"/>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20620"/>
    <w:rsid w:val="00D26091"/>
    <w:rsid w:val="00D34E7C"/>
    <w:rsid w:val="00D35489"/>
    <w:rsid w:val="00D51276"/>
    <w:rsid w:val="00D7035F"/>
    <w:rsid w:val="00DA65AC"/>
    <w:rsid w:val="00DB1913"/>
    <w:rsid w:val="00DB283C"/>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B1BDB"/>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1535981"/>
    <w:rsid w:val="0AB91D97"/>
    <w:rsid w:val="10C055FF"/>
    <w:rsid w:val="13D823D8"/>
    <w:rsid w:val="158245EF"/>
    <w:rsid w:val="16BB723D"/>
    <w:rsid w:val="1C714C5B"/>
    <w:rsid w:val="240371BF"/>
    <w:rsid w:val="245D5EFD"/>
    <w:rsid w:val="25244362"/>
    <w:rsid w:val="29FD04D3"/>
    <w:rsid w:val="2A8D6F81"/>
    <w:rsid w:val="2C223627"/>
    <w:rsid w:val="319F7F4E"/>
    <w:rsid w:val="3C5E4D8D"/>
    <w:rsid w:val="42DA6BAD"/>
    <w:rsid w:val="471A049E"/>
    <w:rsid w:val="4A3472FF"/>
    <w:rsid w:val="52F55887"/>
    <w:rsid w:val="5B3B7E78"/>
    <w:rsid w:val="5CE11801"/>
    <w:rsid w:val="74936264"/>
    <w:rsid w:val="74AE1DC8"/>
    <w:rsid w:val="76675296"/>
    <w:rsid w:val="7AD4591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收入</c:v>
                </c:pt>
              </c:strCache>
            </c:strRef>
          </c:tx>
          <c:invertIfNegative val="0"/>
          <c:dLbls>
            <c:delete val="1"/>
          </c:dLbls>
          <c:cat>
            <c:numRef>
              <c:f>Sheet1!$A$2:$A$3</c:f>
              <c:numCache>
                <c:formatCode>General</c:formatCode>
                <c:ptCount val="2"/>
                <c:pt idx="0">
                  <c:v>2017</c:v>
                </c:pt>
                <c:pt idx="1">
                  <c:v>2018</c:v>
                </c:pt>
              </c:numCache>
            </c:numRef>
          </c:cat>
          <c:val>
            <c:numRef>
              <c:f>Sheet1!$B$2:$B$3</c:f>
              <c:numCache>
                <c:formatCode>General</c:formatCode>
                <c:ptCount val="2"/>
                <c:pt idx="0">
                  <c:v>606.8</c:v>
                </c:pt>
                <c:pt idx="1">
                  <c:v>692.41</c:v>
                </c:pt>
              </c:numCache>
            </c:numRef>
          </c:val>
        </c:ser>
        <c:ser>
          <c:idx val="1"/>
          <c:order val="1"/>
          <c:tx>
            <c:strRef>
              <c:f>Sheet1!$C$1</c:f>
              <c:strCache>
                <c:ptCount val="1"/>
                <c:pt idx="0">
                  <c:v>支出</c:v>
                </c:pt>
              </c:strCache>
            </c:strRef>
          </c:tx>
          <c:invertIfNegative val="0"/>
          <c:dLbls>
            <c:delete val="1"/>
          </c:dLbls>
          <c:cat>
            <c:numRef>
              <c:f>Sheet1!$A$2:$A$3</c:f>
              <c:numCache>
                <c:formatCode>General</c:formatCode>
                <c:ptCount val="2"/>
                <c:pt idx="0">
                  <c:v>2017</c:v>
                </c:pt>
                <c:pt idx="1">
                  <c:v>2018</c:v>
                </c:pt>
              </c:numCache>
            </c:numRef>
          </c:cat>
          <c:val>
            <c:numRef>
              <c:f>Sheet1!$C$2:$C$3</c:f>
              <c:numCache>
                <c:formatCode>General</c:formatCode>
                <c:ptCount val="2"/>
                <c:pt idx="0">
                  <c:v>606.8</c:v>
                </c:pt>
                <c:pt idx="1">
                  <c:v>692.41</c:v>
                </c:pt>
              </c:numCache>
            </c:numRef>
          </c:val>
        </c:ser>
        <c:dLbls>
          <c:showLegendKey val="0"/>
          <c:showVal val="0"/>
          <c:showCatName val="0"/>
          <c:showSerName val="0"/>
          <c:showPercent val="0"/>
          <c:showBubbleSize val="0"/>
        </c:dLbls>
        <c:gapWidth val="150"/>
        <c:axId val="93791744"/>
        <c:axId val="93793280"/>
      </c:barChart>
      <c:catAx>
        <c:axId val="93791744"/>
        <c:scaling>
          <c:orientation val="minMax"/>
        </c:scaling>
        <c:delete val="0"/>
        <c:axPos val="b"/>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3793280"/>
        <c:crosses val="autoZero"/>
        <c:auto val="1"/>
        <c:lblAlgn val="ctr"/>
        <c:lblOffset val="100"/>
        <c:noMultiLvlLbl val="0"/>
      </c:catAx>
      <c:valAx>
        <c:axId val="937932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37917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本年收入</c:v>
                </c:pt>
              </c:strCache>
            </c:strRef>
          </c:tx>
          <c:explosion val="0"/>
          <c:dPt>
            <c:idx val="0"/>
            <c:bubble3D val="0"/>
          </c:dPt>
          <c:dLbls>
            <c:delete val="1"/>
          </c:dLbls>
          <c:cat>
            <c:strRef>
              <c:f>Sheet1!$A$2</c:f>
              <c:strCache>
                <c:ptCount val="1"/>
                <c:pt idx="0">
                  <c:v>一般公共预算</c:v>
                </c:pt>
              </c:strCache>
            </c:strRef>
          </c:cat>
          <c:val>
            <c:numRef>
              <c:f>Sheet1!$B$2</c:f>
              <c:numCache>
                <c:formatCode>General</c:formatCode>
                <c:ptCount val="1"/>
                <c:pt idx="0">
                  <c:v>349.93</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本年支出</c:v>
                </c:pt>
              </c:strCache>
            </c:strRef>
          </c:tx>
          <c:explosion val="0"/>
          <c:dPt>
            <c:idx val="0"/>
            <c:bubble3D val="0"/>
          </c:dPt>
          <c:dPt>
            <c:idx val="1"/>
            <c:bubble3D val="0"/>
          </c:dPt>
          <c:dLbls>
            <c:delete val="1"/>
          </c:dLbls>
          <c:cat>
            <c:strRef>
              <c:f>Sheet1!$A$2:$A$3</c:f>
              <c:strCache>
                <c:ptCount val="2"/>
                <c:pt idx="0">
                  <c:v>基本支出</c:v>
                </c:pt>
                <c:pt idx="1">
                  <c:v>项目支出</c:v>
                </c:pt>
              </c:strCache>
            </c:strRef>
          </c:cat>
          <c:val>
            <c:numRef>
              <c:f>Sheet1!$B$2:$B$3</c:f>
              <c:numCache>
                <c:formatCode>General</c:formatCode>
                <c:ptCount val="2"/>
                <c:pt idx="0">
                  <c:v>97.23</c:v>
                </c:pt>
                <c:pt idx="1">
                  <c:v>416.81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一般财政拨款收入</c:v>
                </c:pt>
              </c:strCache>
            </c:strRef>
          </c:tx>
          <c:invertIfNegative val="0"/>
          <c:dLbls>
            <c:delete val="1"/>
          </c:dLbls>
          <c:cat>
            <c:strRef>
              <c:f>Sheet1!$A$2:$A$3</c:f>
              <c:strCache>
                <c:ptCount val="2"/>
                <c:pt idx="0">
                  <c:v>2017年</c:v>
                </c:pt>
                <c:pt idx="1">
                  <c:v>2018年</c:v>
                </c:pt>
              </c:strCache>
            </c:strRef>
          </c:cat>
          <c:val>
            <c:numRef>
              <c:f>Sheet1!$B$2:$B$3</c:f>
              <c:numCache>
                <c:formatCode>General</c:formatCode>
                <c:ptCount val="2"/>
                <c:pt idx="0">
                  <c:v>606.8</c:v>
                </c:pt>
                <c:pt idx="1">
                  <c:v>692.41</c:v>
                </c:pt>
              </c:numCache>
            </c:numRef>
          </c:val>
        </c:ser>
        <c:ser>
          <c:idx val="1"/>
          <c:order val="1"/>
          <c:tx>
            <c:strRef>
              <c:f>Sheet1!$C$1</c:f>
              <c:strCache>
                <c:ptCount val="1"/>
                <c:pt idx="0">
                  <c:v>一般财政拨款支出</c:v>
                </c:pt>
              </c:strCache>
            </c:strRef>
          </c:tx>
          <c:invertIfNegative val="0"/>
          <c:dLbls>
            <c:delete val="1"/>
          </c:dLbls>
          <c:cat>
            <c:strRef>
              <c:f>Sheet1!$A$2:$A$3</c:f>
              <c:strCache>
                <c:ptCount val="2"/>
                <c:pt idx="0">
                  <c:v>2017年</c:v>
                </c:pt>
                <c:pt idx="1">
                  <c:v>2018年</c:v>
                </c:pt>
              </c:strCache>
            </c:strRef>
          </c:cat>
          <c:val>
            <c:numRef>
              <c:f>Sheet1!$C$2:$C$3</c:f>
              <c:numCache>
                <c:formatCode>General</c:formatCode>
                <c:ptCount val="2"/>
                <c:pt idx="0">
                  <c:v>606.8</c:v>
                </c:pt>
                <c:pt idx="1">
                  <c:v>692.41</c:v>
                </c:pt>
              </c:numCache>
            </c:numRef>
          </c:val>
        </c:ser>
        <c:dLbls>
          <c:showLegendKey val="0"/>
          <c:showVal val="0"/>
          <c:showCatName val="0"/>
          <c:showSerName val="0"/>
          <c:showPercent val="0"/>
          <c:showBubbleSize val="0"/>
        </c:dLbls>
        <c:gapWidth val="150"/>
        <c:axId val="94765440"/>
        <c:axId val="94766976"/>
      </c:barChart>
      <c:catAx>
        <c:axId val="9476544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4766976"/>
        <c:crosses val="autoZero"/>
        <c:auto val="1"/>
        <c:lblAlgn val="ctr"/>
        <c:lblOffset val="100"/>
        <c:noMultiLvlLbl val="0"/>
      </c:catAx>
      <c:valAx>
        <c:axId val="9476697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9476544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一般财政拨款支出</c:v>
                </c:pt>
              </c:strCache>
            </c:strRef>
          </c:tx>
          <c:invertIfNegative val="0"/>
          <c:dLbls>
            <c:delete val="1"/>
          </c:dLbls>
          <c:cat>
            <c:strRef>
              <c:f>Sheet1!$A$2:$A$3</c:f>
              <c:strCache>
                <c:ptCount val="2"/>
                <c:pt idx="0">
                  <c:v>2017年</c:v>
                </c:pt>
                <c:pt idx="1">
                  <c:v>2018年</c:v>
                </c:pt>
              </c:strCache>
            </c:strRef>
          </c:cat>
          <c:val>
            <c:numRef>
              <c:f>Sheet1!$B$2:$B$3</c:f>
              <c:numCache>
                <c:formatCode>General</c:formatCode>
                <c:ptCount val="2"/>
                <c:pt idx="0">
                  <c:v>175.96</c:v>
                </c:pt>
                <c:pt idx="1">
                  <c:v>498.03</c:v>
                </c:pt>
              </c:numCache>
            </c:numRef>
          </c:val>
        </c:ser>
        <c:dLbls>
          <c:showLegendKey val="0"/>
          <c:showVal val="0"/>
          <c:showCatName val="0"/>
          <c:showSerName val="0"/>
          <c:showPercent val="0"/>
          <c:showBubbleSize val="0"/>
        </c:dLbls>
        <c:gapWidth val="150"/>
        <c:axId val="81224448"/>
        <c:axId val="81225984"/>
      </c:barChart>
      <c:catAx>
        <c:axId val="81224448"/>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1225984"/>
        <c:crosses val="autoZero"/>
        <c:auto val="1"/>
        <c:lblAlgn val="ctr"/>
        <c:lblOffset val="100"/>
        <c:noMultiLvlLbl val="0"/>
      </c:catAx>
      <c:valAx>
        <c:axId val="81225984"/>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81224448"/>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一般财政拨款支出</c:v>
                </c:pt>
              </c:strCache>
            </c:strRef>
          </c:tx>
          <c:explosion val="0"/>
          <c:dPt>
            <c:idx val="0"/>
            <c:bubble3D val="0"/>
          </c:dPt>
          <c:dPt>
            <c:idx val="1"/>
            <c:bubble3D val="0"/>
          </c:dPt>
          <c:dPt>
            <c:idx val="2"/>
            <c:bubble3D val="0"/>
          </c:dPt>
          <c:dPt>
            <c:idx val="3"/>
            <c:bubble3D val="0"/>
          </c:dPt>
          <c:dPt>
            <c:idx val="4"/>
            <c:bubble3D val="0"/>
          </c:dPt>
          <c:dLbls>
            <c:delete val="1"/>
          </c:dLbls>
          <c:cat>
            <c:strRef>
              <c:f>Sheet1!$A$2:$A$6</c:f>
              <c:strCache>
                <c:ptCount val="5"/>
                <c:pt idx="0">
                  <c:v>一般公共服务支出</c:v>
                </c:pt>
                <c:pt idx="1">
                  <c:v>社会保障就业支出</c:v>
                </c:pt>
                <c:pt idx="2">
                  <c:v>住房保障支出</c:v>
                </c:pt>
                <c:pt idx="3">
                  <c:v>商业服务业等支出</c:v>
                </c:pt>
                <c:pt idx="4">
                  <c:v>医疗卫生支出</c:v>
                </c:pt>
              </c:strCache>
            </c:strRef>
          </c:cat>
          <c:val>
            <c:numRef>
              <c:f>Sheet1!$B$2:$B$6</c:f>
              <c:numCache>
                <c:formatCode>General</c:formatCode>
                <c:ptCount val="5"/>
                <c:pt idx="0">
                  <c:v>260.67</c:v>
                </c:pt>
                <c:pt idx="1">
                  <c:v>15.31</c:v>
                </c:pt>
                <c:pt idx="2">
                  <c:v>4.73</c:v>
                </c:pt>
                <c:pt idx="3">
                  <c:v>214.65</c:v>
                </c:pt>
                <c:pt idx="4">
                  <c:v>2.68</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c:v>
                </c:pt>
              </c:strCache>
            </c:strRef>
          </c:tx>
          <c:explosion val="0"/>
          <c:dPt>
            <c:idx val="0"/>
            <c:bubble3D val="0"/>
          </c:dPt>
          <c:dPt>
            <c:idx val="1"/>
            <c:bubble3D val="0"/>
          </c:dPt>
          <c:dPt>
            <c:idx val="2"/>
            <c:bubble3D val="0"/>
          </c:dPt>
          <c:dLbls>
            <c:delete val="1"/>
          </c:dLbls>
          <c:cat>
            <c:strRef>
              <c:f>Sheet1!$A$2:$A$4</c:f>
              <c:strCache>
                <c:ptCount val="3"/>
                <c:pt idx="0">
                  <c:v>因公出国（境）费支出</c:v>
                </c:pt>
                <c:pt idx="1">
                  <c:v>公务用车购置及运行维护费支出</c:v>
                </c:pt>
                <c:pt idx="2">
                  <c:v>公务接待费支出</c:v>
                </c:pt>
              </c:strCache>
            </c:strRef>
          </c:cat>
          <c:val>
            <c:numRef>
              <c:f>Sheet1!$B$2:$B$4</c:f>
              <c:numCache>
                <c:formatCode>0%</c:formatCode>
                <c:ptCount val="3"/>
                <c:pt idx="0">
                  <c:v>0</c:v>
                </c:pt>
                <c:pt idx="1">
                  <c:v>0</c:v>
                </c:pt>
                <c:pt idx="2">
                  <c:v>1</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800" b="0" i="0" u="none" strike="noStrike" kern="1200" baseline="0">
              <a:solidFill>
                <a:schemeClr val="tx1"/>
              </a:solidFill>
              <a:latin typeface="+mn-lt"/>
              <a:ea typeface="+mn-ea"/>
              <a:cs typeface="+mn-cs"/>
            </a:defRPr>
          </a:pPr>
        </a:p>
      </c:txPr>
    </c:legend>
    <c:plotVisOnly val="1"/>
    <c:dispBlanksAs val="zero"/>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1E7B32-9516-495C-B169-7A5FF4C67586}">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40</Pages>
  <Words>15753</Words>
  <Characters>3382</Characters>
  <Lines>28</Lines>
  <Paragraphs>38</Paragraphs>
  <TotalTime>28</TotalTime>
  <ScaleCrop>false</ScaleCrop>
  <LinksUpToDate>false</LinksUpToDate>
  <CharactersWithSpaces>19097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2019-08-19T00:45:00Z</dcterms:created>
  <dc:creator>张彬茜</dc:creator>
  <cp:lastModifiedBy>Administrator</cp:lastModifiedBy>
  <cp:lastPrinted>2019-08-28T02:28:00Z</cp:lastPrinted>
  <dcterms:modified xsi:type="dcterms:W3CDTF">2019-09-03T01:35:41Z</dcterms:modified>
  <dc:title>四川省***</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