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Simum"/>
          <w:b/>
          <w:bCs/>
          <w:kern w:val="0"/>
          <w:sz w:val="44"/>
          <w:szCs w:val="44"/>
        </w:rPr>
      </w:pPr>
      <w:r>
        <w:rPr>
          <w:rFonts w:ascii="Times New Roman" w:hAnsi="Times New Roman"/>
        </w:rPr>
        <w:pict>
          <v:rect id="_x0000_s1026" o:spid="_x0000_s1026" o:spt="1" style="position:absolute;left:0pt;margin-left:0.7pt;margin-top:-5.6pt;height:4.85pt;width:437.75pt;z-index:251657216;mso-width-relative:page;mso-height-relative:page;" stroked="f" coordsize="21600,21600">
            <v:path/>
            <v:fill focussize="0,0"/>
            <v:stroke on="f"/>
            <v:imagedata o:title=""/>
            <o:lock v:ext="edit"/>
            <v:textbox inset="0mm,0mm,0mm,0mm">
              <w:txbxContent>
                <w:p/>
              </w:txbxContent>
            </v:textbox>
          </v:rect>
        </w:pic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雁江区文化馆2021年公开部门预算</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编制的说明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一、基本职能及主要工作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（一）基本职能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雁江区文化馆由1个单位构成，事业单位1个。部门设有：办公室、美术书法摄影部室、音乐舞蹈戏曲部室、对外开放部室。单位领导设置书记兼馆长1名；副馆长1名，现暂无人担任；办公室主任1名；业务用车1辆。编制总人数19人，实有在职人数19人，其中：管理人员1人、专业技术人员18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2.资阳市雁江区文化馆业务工作主要是组织群众文化活动、繁荣群众文化事业、文化宣传、文艺活动组织、群众文艺理论研究、大众科普资料编辑、民族民间文化艺术遗产收集整理与保护。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（二）2021年重点工作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1.免费开放、分馆建设工作。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2.文艺演出届制性活动、展览、成资同城化演出活动等。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（1）筹划举办2021新春全民大联欢（首非遗过大年视频、文化进万家、千龙千狮闹新春视频）。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（2）举办节庆假日活动端午、中秋、春节、国庆、元旦等主题文艺演出和美术书法摄影剪纸展。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（3）成资同城交流展演1—2场次。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（4）举办庆祝建党100周年纪念文艺演出、展览、朗诵等系列专题活动。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（5）举办文化下乡惠民活动。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3.文艺创作：配合局筹划“花溪牧歌”实景演出剧目1个或举办“情定花溪”音乐会1场；创作建党100周年文艺节目2个左右（歌曲、舞蹈、诗朗诵）；创作非遗关于“酒”的文艺节目1个；创作其他文艺作品2—3个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4.志愿者服务工作等。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资阳市雁江区文化馆下属单位0个，其中参照公务员法管理的事业单位0个，其他事业单位0个。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三、收支预算情况说明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按照综合预算的原则，资阳市雁江区文化馆所有收入和支出均纳入部门预算管理。收入包括：一般公共预算拨款收入、事业收入、其他收入）；支出包括：一般公共服务支出、社会保障和就业支出、医疗卫生与计划生育支出、住房保障支出。资阳市雁江区文化馆2021年收支总预算293.6819万元，比2020年收支预算总数增加23.7176万元，主要原因是2020年调入2名职工，增加了工资福利支出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2021年收入预算总额为293.6819万元，属于一般公共预算拨款收入占100%。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当年财政拨款收入293.6819万元，较2020年增加23.7176万元，主要原因是2020年调入2名职工，增加了工资福利支出等。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资阳市雁江区文化馆2021年支出预算293.6819万元，其中：基本支出206.4419万元，占70.29%；项目支出87.24万元，占29.71%。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当年财政拨款支出293.6819万元，较2020年增加23.7176万元，主要原因是2020年调入2名职工，增加了工资福利支出等。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四、一般公共预算当年拨款情况说明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2021年一般公共预算当年拨款293.6819万元，比2020年预算数增加23.7176万元。主要原因是2020年调入2名职工，增加了工资福利支出等。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一般公共服务支出0万元，占0%；群众文化支出245.1603万元，占83.48%；社会保障和就业支出21.6689万元，占7.38%；医疗卫生与计划生育支出11.557万元，占3.94%；住房保障支出15.2957万元，占5.2%。</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2021年部门预算支出按支出功能分类主要用于以下方面：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一般公共服务（类）财政事务（款）行政运行（项）：2021年预算数为0万元，主要用于：机关及参公管理事业单位正常运转的基本支出，包括基本工资、津贴补贴等人员经费以及办公费、印刷费、水电费等日常公用经费。本单位无财政事务一般行政事务预算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2.一般公共服务（类）财政事务（款）一般行政管理事务（项）：2021年预算数为0万元。本单位无财政事务一般行政事务管理项。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3.一般公共服务（类）财政事务（款）事业运行（项）：2021年预算数为157.8963万元，主要用于：本单位人员工资、津补贴、绩效以及开展日常工作的基本支出。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社会保障和就业（类）行政事业单位离退休（款）机关事业单位基本养老保险缴费支出（项）：2021年预算数为20.3942万元，主要用于：本单位人员基本养老保险缴费支出。其他社会保障和就业支出1.2747万元，主要用于：本单位人员失业保险0.7648万元，工伤保险0.5099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5.卫生健康支出（类）行政事业单位医疗（款）行政单位医疗（项）：2021年预算数为11.557万元，主要用于：本单位基本医疗保险缴费支出9.5598万元，公务员医疗补助1.9972万元。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6.住房保障（类）住房改革支出（款）住房公积金（项）：2021年预算数为15.2957万元，主要用于：部门按人力资源和社会保障部、财政部规定的基本工资和津贴补贴以及规定比例为职工缴纳的住房公积金支出。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五、一般公共预算基本支出情况说明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2021年一般公共预算基本支出206.4419万元，其中：人员经费175.9856万元，主要包括：基本工资、津贴补贴、奖金、社会保险缴费、住房公积金、对个人和家庭的补助支出等。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公用经费30.4323万元，主要包括：办公费、水费、电费、邮电费、印刷费、差旅费、福利费、维修费、培训费、劳务费、公务接待、工会经费、其他商品服务支出、小车定额经费等。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六、“三公”经费财政拨款预算安排情况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2021年“三公”经费财政拨款预算数6.5万元，其中：公务接待费3万元，公务用车购置及运行维护费3.5万元。</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rPr>
      </w:pPr>
      <w:r>
        <w:rPr>
          <w:rFonts w:hint="eastAsia" w:ascii="Times New Roman" w:hAnsi="Times New Roman" w:eastAsia="方正楷体简体" w:cs="方正楷体简体"/>
          <w:b/>
          <w:bCs/>
          <w:sz w:val="32"/>
          <w:szCs w:val="32"/>
          <w:lang w:eastAsia="zh-CN"/>
        </w:rPr>
        <w:t>（</w:t>
      </w:r>
      <w:r>
        <w:rPr>
          <w:rFonts w:hint="eastAsia" w:ascii="Times New Roman" w:hAnsi="Times New Roman" w:eastAsia="方正楷体简体" w:cs="方正楷体简体"/>
          <w:b/>
          <w:bCs/>
          <w:sz w:val="32"/>
          <w:szCs w:val="32"/>
          <w:lang w:val="en-US" w:eastAsia="zh-CN"/>
        </w:rPr>
        <w:t>一</w:t>
      </w:r>
      <w:r>
        <w:rPr>
          <w:rFonts w:hint="eastAsia" w:ascii="Times New Roman" w:hAnsi="Times New Roman" w:eastAsia="方正楷体简体" w:cs="方正楷体简体"/>
          <w:b/>
          <w:bCs/>
          <w:sz w:val="32"/>
          <w:szCs w:val="32"/>
          <w:lang w:eastAsia="zh-CN"/>
        </w:rPr>
        <w:t>）</w:t>
      </w:r>
      <w:r>
        <w:rPr>
          <w:rFonts w:hint="eastAsia" w:ascii="Times New Roman" w:hAnsi="Times New Roman" w:eastAsia="方正楷体简体" w:cs="方正楷体简体"/>
          <w:b/>
          <w:bCs/>
          <w:sz w:val="32"/>
          <w:szCs w:val="32"/>
        </w:rPr>
        <w:t>公务接待费较2020年预算下降0%。</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主要原因是按照中央“八项”规定，倡导厉行节约，不超预算发生经费。2021年公务接待费计划用于日常公务接待。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lang w:eastAsia="zh-CN"/>
        </w:rPr>
      </w:pPr>
      <w:r>
        <w:rPr>
          <w:rFonts w:hint="eastAsia" w:ascii="Times New Roman" w:hAnsi="Times New Roman" w:eastAsia="方正楷体简体" w:cs="方正楷体简体"/>
          <w:b/>
          <w:bCs/>
          <w:sz w:val="32"/>
          <w:szCs w:val="32"/>
          <w:lang w:eastAsia="zh-CN"/>
        </w:rPr>
        <w:t>（</w:t>
      </w:r>
      <w:r>
        <w:rPr>
          <w:rFonts w:hint="eastAsia" w:ascii="Times New Roman" w:hAnsi="Times New Roman" w:eastAsia="方正楷体简体" w:cs="方正楷体简体"/>
          <w:b/>
          <w:bCs/>
          <w:sz w:val="32"/>
          <w:szCs w:val="32"/>
          <w:lang w:val="en-US" w:eastAsia="zh-CN"/>
        </w:rPr>
        <w:t>二</w:t>
      </w:r>
      <w:r>
        <w:rPr>
          <w:rFonts w:hint="eastAsia" w:ascii="Times New Roman" w:hAnsi="Times New Roman" w:eastAsia="方正楷体简体" w:cs="方正楷体简体"/>
          <w:b/>
          <w:bCs/>
          <w:sz w:val="32"/>
          <w:szCs w:val="32"/>
          <w:lang w:eastAsia="zh-CN"/>
        </w:rPr>
        <w:t>）单位现有公务用车1辆。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公务用车运行维护费3.5万元，较2020年预算下降0%。用于公务用车燃油、维修、保险等方面支出。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七、政府性基金预算支出情况说明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资阳市雁江区文化馆2021年政府性基金预算拨款安排的支出情况：无。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八、国有资本经营预算支出情况说明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资阳市雁江区文化馆2021年未使用国有资本经营预算拨款安排的支出：无。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九、其他重要事项的情况说明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lang w:eastAsia="zh-CN"/>
        </w:rPr>
      </w:pPr>
      <w:r>
        <w:rPr>
          <w:rFonts w:hint="eastAsia" w:ascii="Times New Roman" w:hAnsi="Times New Roman" w:eastAsia="方正楷体简体" w:cs="方正楷体简体"/>
          <w:b/>
          <w:bCs/>
          <w:sz w:val="32"/>
          <w:szCs w:val="32"/>
          <w:lang w:eastAsia="zh-CN"/>
        </w:rPr>
        <w:t>（一）机关运行经费预算情况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资阳市雁江区文化馆2021年机关运行经费财政拨款预算为0万元，比2020年预算增加（减少）0万元，增长（下降）0%。雁江区文化馆无行政运行经费预算。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lang w:eastAsia="zh-CN"/>
        </w:rPr>
      </w:pPr>
      <w:r>
        <w:rPr>
          <w:rFonts w:hint="eastAsia" w:ascii="Times New Roman" w:hAnsi="Times New Roman" w:eastAsia="方正楷体简体" w:cs="方正楷体简体"/>
          <w:b/>
          <w:bCs/>
          <w:sz w:val="32"/>
          <w:szCs w:val="32"/>
          <w:lang w:eastAsia="zh-CN"/>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2021年，安排政府采购预算65.7487万元，主要用于采购录音棚建设需要的文艺设备等。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lang w:eastAsia="zh-CN"/>
        </w:rPr>
      </w:pPr>
      <w:r>
        <w:rPr>
          <w:rFonts w:hint="eastAsia" w:ascii="Times New Roman" w:hAnsi="Times New Roman" w:eastAsia="方正楷体简体" w:cs="方正楷体简体"/>
          <w:b/>
          <w:bCs/>
          <w:sz w:val="32"/>
          <w:szCs w:val="32"/>
          <w:lang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截至2020年底，资阳市雁江区文化馆所共有车辆1辆，属于业务用车。单位无价值100万元以上大型设备。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2021年部门预算未安排购置车辆及单位价值100万元以上大型设备。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32"/>
          <w:lang w:eastAsia="zh-CN"/>
        </w:rPr>
      </w:pPr>
      <w:r>
        <w:rPr>
          <w:rFonts w:hint="eastAsia" w:ascii="Times New Roman" w:hAnsi="Times New Roman" w:eastAsia="方正楷体简体" w:cs="方正楷体简体"/>
          <w:b/>
          <w:bCs/>
          <w:sz w:val="32"/>
          <w:szCs w:val="32"/>
          <w:lang w:eastAsia="zh-CN"/>
        </w:rPr>
        <w:t>（四）绩效目标设置情况。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2021年资阳市雁江区就部门整体支出和50万元以上（含50万元）项目支出按要求编制了绩效目标（本单位无50万元以上项目），从项目完成、项目效益等方面设置了绩效指标，综合反映项目预期完成的数量、成本、时效，预期达到的社会效益、经济效益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十、名词解释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1.一般公共预算拨款收入：指区级财政当年拨付的资金。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2.事业收入：指事业单位开展专业业务活动及辅助活动取得的收入。如：（二级预算单位事业收入情况）等。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3.经营收入：指事业单位在专业业务活动及其辅助活动之外开展非独立核算经营活动取得的收入。如（二级预算单位经营收入情况）等。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4.其他收入：指单位取得的除上述收入以外的各项收入。主要是（收入类型）等。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9.文化体育与传媒（207）（01）（09或10或99）：指群众文化活动或群众文化交流与合作或其他文化支出。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10.社会保障和就业（208）（05）（05或06）：指基本养老保险或年金的支出。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11.医疗卫生与计划生育（210）（11）（02或03）：指事业单位医疗或公务员医疗补助。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12.住房保障（221）（02）（01）：指住房公积金。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13.基本支出：指为保障机构正常运转、完成日常工作任务而发生的人员支出和公用支出。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14.项目支出：指在基本支出之外为完成特定行政任务和事业发展目标所发生的支出。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15.经营支出：指事业单位在专业业务活动及其辅助活动之外开展非独立核算经营活动发生的支出。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附：2021年预算公开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um">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宋体" w:hAnsi="宋体"/>
        <w:sz w:val="28"/>
        <w:szCs w:val="18"/>
      </w:rPr>
    </w:pPr>
    <w:r>
      <w:rPr>
        <w:rFonts w:hint="eastAsia" w:ascii="宋体" w:hAnsi="宋体"/>
        <w:sz w:val="28"/>
        <w:szCs w:val="18"/>
      </w:rPr>
      <w:t>—</w:t>
    </w:r>
    <w:r>
      <w:rPr>
        <w:rFonts w:ascii="宋体" w:hAnsi="宋体"/>
        <w:sz w:val="28"/>
        <w:szCs w:val="18"/>
      </w:rPr>
      <w:fldChar w:fldCharType="begin"/>
    </w:r>
    <w:r>
      <w:rPr>
        <w:rFonts w:ascii="宋体" w:hAnsi="宋体"/>
        <w:sz w:val="28"/>
        <w:szCs w:val="18"/>
      </w:rPr>
      <w:instrText xml:space="preserve">PAGE  </w:instrText>
    </w:r>
    <w:r>
      <w:rPr>
        <w:rFonts w:ascii="宋体" w:hAnsi="宋体"/>
        <w:sz w:val="28"/>
        <w:szCs w:val="18"/>
      </w:rPr>
      <w:fldChar w:fldCharType="separate"/>
    </w:r>
    <w:r>
      <w:rPr>
        <w:rFonts w:ascii="宋体" w:hAnsi="宋体"/>
        <w:sz w:val="28"/>
        <w:szCs w:val="18"/>
      </w:rPr>
      <w:t>1</w:t>
    </w:r>
    <w:r>
      <w:rPr>
        <w:rFonts w:ascii="宋体" w:hAnsi="宋体"/>
        <w:sz w:val="28"/>
        <w:szCs w:val="18"/>
      </w:rPr>
      <w:fldChar w:fldCharType="end"/>
    </w:r>
    <w:r>
      <w:rPr>
        <w:rFonts w:hint="eastAsia" w:ascii="宋体" w:hAnsi="宋体"/>
        <w:sz w:val="28"/>
        <w:szCs w:val="1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9653C"/>
    <w:rsid w:val="00007B2C"/>
    <w:rsid w:val="000142F2"/>
    <w:rsid w:val="0002712E"/>
    <w:rsid w:val="0003288B"/>
    <w:rsid w:val="000346CE"/>
    <w:rsid w:val="00036F66"/>
    <w:rsid w:val="00040EED"/>
    <w:rsid w:val="00040FFD"/>
    <w:rsid w:val="00051748"/>
    <w:rsid w:val="00052C80"/>
    <w:rsid w:val="0007739E"/>
    <w:rsid w:val="000821DF"/>
    <w:rsid w:val="00092E8A"/>
    <w:rsid w:val="00097AC8"/>
    <w:rsid w:val="00097B18"/>
    <w:rsid w:val="000A41E0"/>
    <w:rsid w:val="000B2064"/>
    <w:rsid w:val="000C10DD"/>
    <w:rsid w:val="000C569C"/>
    <w:rsid w:val="000F4BAB"/>
    <w:rsid w:val="000F731D"/>
    <w:rsid w:val="00101DEB"/>
    <w:rsid w:val="0011051B"/>
    <w:rsid w:val="0011264E"/>
    <w:rsid w:val="00115B18"/>
    <w:rsid w:val="00117536"/>
    <w:rsid w:val="00130575"/>
    <w:rsid w:val="0013741C"/>
    <w:rsid w:val="0014180C"/>
    <w:rsid w:val="001559CF"/>
    <w:rsid w:val="00156CB9"/>
    <w:rsid w:val="00160212"/>
    <w:rsid w:val="00184F0B"/>
    <w:rsid w:val="0018695E"/>
    <w:rsid w:val="001A14EF"/>
    <w:rsid w:val="001B082C"/>
    <w:rsid w:val="001B5AE9"/>
    <w:rsid w:val="001B7B00"/>
    <w:rsid w:val="001D1623"/>
    <w:rsid w:val="001F0439"/>
    <w:rsid w:val="001F42B7"/>
    <w:rsid w:val="0023144B"/>
    <w:rsid w:val="00243749"/>
    <w:rsid w:val="00253867"/>
    <w:rsid w:val="002711F6"/>
    <w:rsid w:val="00272465"/>
    <w:rsid w:val="0028560B"/>
    <w:rsid w:val="0028788F"/>
    <w:rsid w:val="002B0023"/>
    <w:rsid w:val="002C4C8F"/>
    <w:rsid w:val="002D3265"/>
    <w:rsid w:val="002D4939"/>
    <w:rsid w:val="002D7C9A"/>
    <w:rsid w:val="003004E9"/>
    <w:rsid w:val="00305889"/>
    <w:rsid w:val="003253A9"/>
    <w:rsid w:val="00335CF2"/>
    <w:rsid w:val="003369C0"/>
    <w:rsid w:val="0034725E"/>
    <w:rsid w:val="00347ACA"/>
    <w:rsid w:val="00353308"/>
    <w:rsid w:val="003540D0"/>
    <w:rsid w:val="0035415F"/>
    <w:rsid w:val="0036232A"/>
    <w:rsid w:val="003655B3"/>
    <w:rsid w:val="00374F03"/>
    <w:rsid w:val="0037532D"/>
    <w:rsid w:val="00382AE1"/>
    <w:rsid w:val="0038613D"/>
    <w:rsid w:val="003B62A2"/>
    <w:rsid w:val="003D4B19"/>
    <w:rsid w:val="003E10B5"/>
    <w:rsid w:val="003F4D17"/>
    <w:rsid w:val="0040135C"/>
    <w:rsid w:val="00404F97"/>
    <w:rsid w:val="00410B00"/>
    <w:rsid w:val="00425785"/>
    <w:rsid w:val="00426F20"/>
    <w:rsid w:val="00432B60"/>
    <w:rsid w:val="0043611A"/>
    <w:rsid w:val="00457B92"/>
    <w:rsid w:val="004618B2"/>
    <w:rsid w:val="0049051F"/>
    <w:rsid w:val="00490960"/>
    <w:rsid w:val="004933CD"/>
    <w:rsid w:val="004A651F"/>
    <w:rsid w:val="004B5273"/>
    <w:rsid w:val="004E0695"/>
    <w:rsid w:val="004E0897"/>
    <w:rsid w:val="00500049"/>
    <w:rsid w:val="00530B76"/>
    <w:rsid w:val="00533388"/>
    <w:rsid w:val="00542456"/>
    <w:rsid w:val="005462FB"/>
    <w:rsid w:val="00547C91"/>
    <w:rsid w:val="00565C68"/>
    <w:rsid w:val="00567333"/>
    <w:rsid w:val="00577A52"/>
    <w:rsid w:val="0059205A"/>
    <w:rsid w:val="005A340C"/>
    <w:rsid w:val="005A6E92"/>
    <w:rsid w:val="005B317F"/>
    <w:rsid w:val="005B3863"/>
    <w:rsid w:val="005C5AAC"/>
    <w:rsid w:val="005D3888"/>
    <w:rsid w:val="005D5D7B"/>
    <w:rsid w:val="005E022D"/>
    <w:rsid w:val="005E7559"/>
    <w:rsid w:val="005F26C4"/>
    <w:rsid w:val="0061699D"/>
    <w:rsid w:val="006348E9"/>
    <w:rsid w:val="0065080E"/>
    <w:rsid w:val="006533C7"/>
    <w:rsid w:val="00666EEB"/>
    <w:rsid w:val="0067013E"/>
    <w:rsid w:val="00671920"/>
    <w:rsid w:val="006748D8"/>
    <w:rsid w:val="006803D6"/>
    <w:rsid w:val="00686E96"/>
    <w:rsid w:val="00690B13"/>
    <w:rsid w:val="00693D95"/>
    <w:rsid w:val="006A298D"/>
    <w:rsid w:val="006B2D43"/>
    <w:rsid w:val="006C0752"/>
    <w:rsid w:val="006C16EC"/>
    <w:rsid w:val="006C23FF"/>
    <w:rsid w:val="006D35B1"/>
    <w:rsid w:val="006E725C"/>
    <w:rsid w:val="00706779"/>
    <w:rsid w:val="00707A3A"/>
    <w:rsid w:val="007163B4"/>
    <w:rsid w:val="0072549D"/>
    <w:rsid w:val="0073698E"/>
    <w:rsid w:val="0074341E"/>
    <w:rsid w:val="007539B8"/>
    <w:rsid w:val="00761F3D"/>
    <w:rsid w:val="00765549"/>
    <w:rsid w:val="00786AA8"/>
    <w:rsid w:val="00787F94"/>
    <w:rsid w:val="0079725D"/>
    <w:rsid w:val="007A4276"/>
    <w:rsid w:val="007C5BC9"/>
    <w:rsid w:val="007E06F4"/>
    <w:rsid w:val="007E1E32"/>
    <w:rsid w:val="007F2A0A"/>
    <w:rsid w:val="0080194C"/>
    <w:rsid w:val="008204F2"/>
    <w:rsid w:val="00822A61"/>
    <w:rsid w:val="0083143C"/>
    <w:rsid w:val="00843DCB"/>
    <w:rsid w:val="00877995"/>
    <w:rsid w:val="00883DAF"/>
    <w:rsid w:val="008A00DE"/>
    <w:rsid w:val="008B0062"/>
    <w:rsid w:val="008B39EE"/>
    <w:rsid w:val="008E3976"/>
    <w:rsid w:val="008E50AF"/>
    <w:rsid w:val="008F2477"/>
    <w:rsid w:val="009050AF"/>
    <w:rsid w:val="009230FC"/>
    <w:rsid w:val="00935D7B"/>
    <w:rsid w:val="00935E22"/>
    <w:rsid w:val="009A1925"/>
    <w:rsid w:val="009A3FCA"/>
    <w:rsid w:val="009A5F31"/>
    <w:rsid w:val="009B1F8E"/>
    <w:rsid w:val="009B6E6B"/>
    <w:rsid w:val="009C1F07"/>
    <w:rsid w:val="009C3AA4"/>
    <w:rsid w:val="009D1B17"/>
    <w:rsid w:val="009E0B17"/>
    <w:rsid w:val="009E4238"/>
    <w:rsid w:val="00A15149"/>
    <w:rsid w:val="00A22E61"/>
    <w:rsid w:val="00A25B37"/>
    <w:rsid w:val="00A34B1E"/>
    <w:rsid w:val="00A521BC"/>
    <w:rsid w:val="00A529D8"/>
    <w:rsid w:val="00A5648B"/>
    <w:rsid w:val="00A654D9"/>
    <w:rsid w:val="00A71D00"/>
    <w:rsid w:val="00A85CF2"/>
    <w:rsid w:val="00A864F1"/>
    <w:rsid w:val="00A878C3"/>
    <w:rsid w:val="00A87A3B"/>
    <w:rsid w:val="00A91B43"/>
    <w:rsid w:val="00A955AF"/>
    <w:rsid w:val="00AC2E93"/>
    <w:rsid w:val="00AC4860"/>
    <w:rsid w:val="00AD00B9"/>
    <w:rsid w:val="00B1657D"/>
    <w:rsid w:val="00B171F8"/>
    <w:rsid w:val="00B335B0"/>
    <w:rsid w:val="00B336CC"/>
    <w:rsid w:val="00B41DB4"/>
    <w:rsid w:val="00B61C6B"/>
    <w:rsid w:val="00B73E63"/>
    <w:rsid w:val="00B76D9A"/>
    <w:rsid w:val="00B77219"/>
    <w:rsid w:val="00B836A1"/>
    <w:rsid w:val="00B933BB"/>
    <w:rsid w:val="00BC02F7"/>
    <w:rsid w:val="00BC579E"/>
    <w:rsid w:val="00BC6956"/>
    <w:rsid w:val="00BC7FA8"/>
    <w:rsid w:val="00BE3CA6"/>
    <w:rsid w:val="00BF045C"/>
    <w:rsid w:val="00C011F9"/>
    <w:rsid w:val="00C1467B"/>
    <w:rsid w:val="00C35FEA"/>
    <w:rsid w:val="00C3601A"/>
    <w:rsid w:val="00C41554"/>
    <w:rsid w:val="00C424F6"/>
    <w:rsid w:val="00C50B95"/>
    <w:rsid w:val="00C52375"/>
    <w:rsid w:val="00C62CAF"/>
    <w:rsid w:val="00C6568B"/>
    <w:rsid w:val="00C66144"/>
    <w:rsid w:val="00C93FEA"/>
    <w:rsid w:val="00C9489B"/>
    <w:rsid w:val="00CA0B26"/>
    <w:rsid w:val="00CC240F"/>
    <w:rsid w:val="00CF2181"/>
    <w:rsid w:val="00D02665"/>
    <w:rsid w:val="00D23EE7"/>
    <w:rsid w:val="00D330D8"/>
    <w:rsid w:val="00D33257"/>
    <w:rsid w:val="00D52279"/>
    <w:rsid w:val="00D52F92"/>
    <w:rsid w:val="00D54BBA"/>
    <w:rsid w:val="00D63685"/>
    <w:rsid w:val="00D77BAD"/>
    <w:rsid w:val="00DA0AC1"/>
    <w:rsid w:val="00DA18D1"/>
    <w:rsid w:val="00DA7152"/>
    <w:rsid w:val="00DA79E8"/>
    <w:rsid w:val="00DB4DC9"/>
    <w:rsid w:val="00DC475F"/>
    <w:rsid w:val="00DD1BA9"/>
    <w:rsid w:val="00DD4EFB"/>
    <w:rsid w:val="00DF018C"/>
    <w:rsid w:val="00E00CC4"/>
    <w:rsid w:val="00E047FF"/>
    <w:rsid w:val="00E163B2"/>
    <w:rsid w:val="00E33A8A"/>
    <w:rsid w:val="00E358F5"/>
    <w:rsid w:val="00E42F84"/>
    <w:rsid w:val="00E5049F"/>
    <w:rsid w:val="00E73358"/>
    <w:rsid w:val="00E81E40"/>
    <w:rsid w:val="00E8696C"/>
    <w:rsid w:val="00E870C7"/>
    <w:rsid w:val="00E92E43"/>
    <w:rsid w:val="00E9653C"/>
    <w:rsid w:val="00EA2CD2"/>
    <w:rsid w:val="00EA6949"/>
    <w:rsid w:val="00EB2D52"/>
    <w:rsid w:val="00EB306F"/>
    <w:rsid w:val="00EC262A"/>
    <w:rsid w:val="00EC36B8"/>
    <w:rsid w:val="00EC4297"/>
    <w:rsid w:val="00EE1DCC"/>
    <w:rsid w:val="00F12A34"/>
    <w:rsid w:val="00F17628"/>
    <w:rsid w:val="00F34DE8"/>
    <w:rsid w:val="00F433D3"/>
    <w:rsid w:val="00F4470A"/>
    <w:rsid w:val="00F51268"/>
    <w:rsid w:val="00F56EA6"/>
    <w:rsid w:val="00F70D7B"/>
    <w:rsid w:val="00F7198D"/>
    <w:rsid w:val="00F7222F"/>
    <w:rsid w:val="00F80775"/>
    <w:rsid w:val="00F82D2D"/>
    <w:rsid w:val="00F946B0"/>
    <w:rsid w:val="00FA3859"/>
    <w:rsid w:val="00FC21B8"/>
    <w:rsid w:val="00FE42E3"/>
    <w:rsid w:val="00FE5FF7"/>
    <w:rsid w:val="00FF0E49"/>
    <w:rsid w:val="00FF780E"/>
    <w:rsid w:val="00FF7C45"/>
    <w:rsid w:val="053A2025"/>
    <w:rsid w:val="0FF91D22"/>
    <w:rsid w:val="11992B85"/>
    <w:rsid w:val="15392FD3"/>
    <w:rsid w:val="17C63E93"/>
    <w:rsid w:val="18C66F8D"/>
    <w:rsid w:val="1973288B"/>
    <w:rsid w:val="19DF33AD"/>
    <w:rsid w:val="1E25377F"/>
    <w:rsid w:val="23A81532"/>
    <w:rsid w:val="261E3FA7"/>
    <w:rsid w:val="287930A1"/>
    <w:rsid w:val="28B32EA3"/>
    <w:rsid w:val="2D5266E1"/>
    <w:rsid w:val="35E44718"/>
    <w:rsid w:val="37AF58E6"/>
    <w:rsid w:val="3A9C76AA"/>
    <w:rsid w:val="47762CD1"/>
    <w:rsid w:val="4CD67EDF"/>
    <w:rsid w:val="540C16BD"/>
    <w:rsid w:val="5E2E2CAE"/>
    <w:rsid w:val="648533D2"/>
    <w:rsid w:val="69427812"/>
    <w:rsid w:val="7F4932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semiHidden/>
    <w:qFormat/>
    <w:uiPriority w:val="0"/>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99"/>
    <w:rPr>
      <w:rFonts w:cs="Times New Roman"/>
      <w:b/>
      <w:bCs/>
    </w:rPr>
  </w:style>
  <w:style w:type="character" w:styleId="8">
    <w:name w:val="page number"/>
    <w:basedOn w:val="6"/>
    <w:semiHidden/>
    <w:qFormat/>
    <w:uiPriority w:val="0"/>
  </w:style>
  <w:style w:type="character" w:styleId="9">
    <w:name w:val="Hyperlink"/>
    <w:qFormat/>
    <w:uiPriority w:val="99"/>
    <w:rPr>
      <w:rFonts w:cs="Times New Roman"/>
      <w:color w:val="0000FF"/>
      <w:u w:val="single"/>
    </w:rPr>
  </w:style>
  <w:style w:type="character" w:customStyle="1" w:styleId="10">
    <w:name w:val="页眉 Char"/>
    <w:link w:val="4"/>
    <w:semiHidden/>
    <w:qFormat/>
    <w:locked/>
    <w:uiPriority w:val="99"/>
    <w:rPr>
      <w:rFonts w:ascii="Times New Roman" w:hAnsi="Times New Roman" w:eastAsia="宋体" w:cs="Times New Roman"/>
      <w:sz w:val="18"/>
      <w:szCs w:val="18"/>
    </w:rPr>
  </w:style>
  <w:style w:type="character" w:customStyle="1" w:styleId="11">
    <w:name w:val="页脚 Char"/>
    <w:link w:val="3"/>
    <w:semiHidden/>
    <w:qFormat/>
    <w:locked/>
    <w:uiPriority w:val="0"/>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Calibri" w:hAnsi="Calibri"/>
      <w:szCs w:val="22"/>
    </w:rPr>
  </w:style>
  <w:style w:type="character" w:customStyle="1" w:styleId="13">
    <w:name w:val="日期 Char"/>
    <w:basedOn w:val="6"/>
    <w:link w:val="2"/>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614</Words>
  <Characters>3506</Characters>
  <Lines>29</Lines>
  <Paragraphs>8</Paragraphs>
  <TotalTime>360</TotalTime>
  <ScaleCrop>false</ScaleCrop>
  <LinksUpToDate>false</LinksUpToDate>
  <CharactersWithSpaces>4112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2021-01-18T03:34:00Z</dcterms:created>
  <dc:creator>微软用户</dc:creator>
  <cp:lastModifiedBy>1391329842</cp:lastModifiedBy>
  <cp:lastPrinted>2021-01-08T03:08:00Z</cp:lastPrinted>
  <dcterms:modified xsi:type="dcterms:W3CDTF">2021-03-05T07:11:27Z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11097396_cloud</vt:lpwstr>
  </property>
</Properties>
</file>