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96475"/>
      <w:bookmarkStart w:id="4" w:name="_Toc15377425"/>
      <w:bookmarkStart w:id="5" w:name="_Toc15377193"/>
      <w:bookmarkStart w:id="6" w:name="_Toc17103546"/>
      <w:bookmarkStart w:id="7" w:name="_Toc30659"/>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15377194"/>
      <w:bookmarkStart w:id="9" w:name="_Toc17103547"/>
      <w:bookmarkStart w:id="10" w:name="_Toc15377426"/>
      <w:bookmarkStart w:id="11" w:name="_Toc15396598"/>
      <w:bookmarkStart w:id="12" w:name="_Toc15378442"/>
      <w:bookmarkStart w:id="13" w:name="_Toc15396476"/>
      <w:bookmarkStart w:id="14" w:name="_Toc30865"/>
      <w:r>
        <w:rPr>
          <w:rFonts w:hint="eastAsia" w:ascii="方正小标宋简体" w:hAnsi="宋体" w:eastAsia="方正小标宋简体"/>
          <w:color w:val="000000"/>
          <w:sz w:val="72"/>
          <w:szCs w:val="72"/>
        </w:rPr>
        <w:t>四川省</w:t>
      </w:r>
      <w:bookmarkEnd w:id="0"/>
      <w:bookmarkStart w:id="15" w:name="_Toc15306268"/>
      <w:r>
        <w:rPr>
          <w:rFonts w:hint="eastAsia" w:ascii="方正小标宋简体" w:hAnsi="宋体" w:eastAsia="方正小标宋简体"/>
          <w:color w:val="000000"/>
          <w:sz w:val="72"/>
          <w:szCs w:val="72"/>
        </w:rPr>
        <w:t>资阳市雁江区房屋征收局决算</w:t>
      </w:r>
      <w:bookmarkEnd w:id="8"/>
      <w:bookmarkEnd w:id="9"/>
      <w:bookmarkEnd w:id="10"/>
      <w:bookmarkEnd w:id="11"/>
      <w:bookmarkEnd w:id="12"/>
      <w:bookmarkEnd w:id="13"/>
      <w:bookmarkEnd w:id="14"/>
      <w:bookmarkEnd w:id="15"/>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0"/>
        <w:tabs>
          <w:tab w:val="right" w:leader="dot" w:pos="8306"/>
          <w:tab w:val="clear" w:pos="8296"/>
        </w:tabs>
      </w:pPr>
      <w:bookmarkStart w:id="16"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r>
        <w:rPr>
          <w:rFonts w:ascii="黑体" w:hAnsi="黑体" w:eastAsia="黑体"/>
          <w:color w:val="000000"/>
          <w:szCs w:val="48"/>
        </w:rPr>
        <w:fldChar w:fldCharType="begin"/>
      </w:r>
      <w:r>
        <w:rPr>
          <w:rFonts w:ascii="黑体" w:hAnsi="黑体" w:eastAsia="黑体"/>
          <w:szCs w:val="48"/>
        </w:rPr>
        <w:instrText xml:space="preserve"> HYPERLINK \l _Toc30659 </w:instrText>
      </w:r>
      <w:r>
        <w:rPr>
          <w:rFonts w:ascii="黑体" w:hAnsi="黑体" w:eastAsia="黑体"/>
          <w:szCs w:val="48"/>
        </w:rPr>
        <w:fldChar w:fldCharType="separate"/>
      </w:r>
      <w:r>
        <w:rPr>
          <w:rFonts w:ascii="黑体" w:hAnsi="黑体" w:eastAsia="黑体"/>
          <w:szCs w:val="72"/>
        </w:rPr>
        <w:t>20</w:t>
      </w:r>
      <w:r>
        <w:rPr>
          <w:rFonts w:hint="eastAsia" w:ascii="黑体" w:hAnsi="黑体" w:eastAsia="黑体"/>
          <w:szCs w:val="72"/>
          <w:lang w:val="en-US" w:eastAsia="zh-CN"/>
        </w:rPr>
        <w:t>20</w:t>
      </w:r>
      <w:r>
        <w:rPr>
          <w:rFonts w:hint="eastAsia" w:ascii="方正小标宋简体" w:hAnsi="宋体" w:eastAsia="方正小标宋简体"/>
          <w:szCs w:val="72"/>
        </w:rPr>
        <w:t>年度</w:t>
      </w:r>
      <w:r>
        <w:tab/>
      </w:r>
      <w:r>
        <w:fldChar w:fldCharType="begin"/>
      </w:r>
      <w:r>
        <w:instrText xml:space="preserve"> PAGEREF _Toc30659 \h </w:instrText>
      </w:r>
      <w:r>
        <w:fldChar w:fldCharType="separate"/>
      </w:r>
      <w:r>
        <w:t>1</w:t>
      </w:r>
      <w:r>
        <w:fldChar w:fldCharType="end"/>
      </w:r>
      <w:r>
        <w:rPr>
          <w:rFonts w:ascii="黑体" w:hAnsi="黑体" w:eastAsia="黑体"/>
          <w:color w:val="000000"/>
          <w:szCs w:val="48"/>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_Toc30865 </w:instrText>
      </w:r>
      <w:r>
        <w:rPr>
          <w:rFonts w:ascii="仿宋" w:hAnsi="仿宋" w:eastAsia="仿宋"/>
        </w:rPr>
        <w:fldChar w:fldCharType="separate"/>
      </w:r>
      <w:r>
        <w:rPr>
          <w:rFonts w:hint="eastAsia" w:ascii="方正小标宋简体" w:hAnsi="宋体" w:eastAsia="方正小标宋简体"/>
          <w:szCs w:val="72"/>
        </w:rPr>
        <w:t>四川省资阳市雁江区房屋征收局决算</w:t>
      </w:r>
      <w:r>
        <w:tab/>
      </w:r>
      <w:r>
        <w:fldChar w:fldCharType="begin"/>
      </w:r>
      <w:r>
        <w:instrText xml:space="preserve"> PAGEREF _Toc30865 \h </w:instrText>
      </w:r>
      <w:r>
        <w:fldChar w:fldCharType="separate"/>
      </w:r>
      <w:r>
        <w:t>1</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_Toc6008 </w:instrText>
      </w:r>
      <w:r>
        <w:rPr>
          <w:rFonts w:ascii="仿宋" w:hAnsi="仿宋" w:eastAsia="仿宋"/>
        </w:rP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_Toc6008 \h </w:instrText>
      </w:r>
      <w:r>
        <w:fldChar w:fldCharType="separate"/>
      </w:r>
      <w:r>
        <w:t>4</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_Toc31294 </w:instrText>
      </w:r>
      <w:r>
        <w:rPr>
          <w:rFonts w:ascii="仿宋" w:hAnsi="仿宋" w:eastAsia="仿宋"/>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_Toc31294 \h </w:instrText>
      </w:r>
      <w:r>
        <w:fldChar w:fldCharType="separate"/>
      </w:r>
      <w:r>
        <w:t>4</w:t>
      </w:r>
      <w:r>
        <w:fldChar w:fldCharType="end"/>
      </w:r>
      <w:r>
        <w:rPr>
          <w:rFonts w:ascii="仿宋" w:hAnsi="仿宋" w:eastAsia="仿宋"/>
          <w:color w:val="000000"/>
        </w:rPr>
        <w:fldChar w:fldCharType="end"/>
      </w:r>
      <w:bookmarkStart w:id="117" w:name="_GoBack"/>
      <w:bookmarkEnd w:id="117"/>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_Toc26925 </w:instrText>
      </w:r>
      <w:r>
        <w:rPr>
          <w:rFonts w:ascii="仿宋" w:hAnsi="仿宋" w:eastAsia="仿宋"/>
        </w:rPr>
        <w:fldChar w:fldCharType="separate"/>
      </w:r>
      <w:r>
        <w:rPr>
          <w:rFonts w:hint="eastAsia" w:ascii="黑体" w:hAnsi="黑体" w:eastAsia="黑体"/>
        </w:rPr>
        <w:t xml:space="preserve">第二部分 </w:t>
      </w:r>
      <w:r>
        <w:rPr>
          <w:rFonts w:hint="eastAsia" w:ascii="黑体" w:hAnsi="黑体" w:eastAsia="黑体"/>
          <w:bCs w:val="0"/>
        </w:rPr>
        <w:t>20</w:t>
      </w:r>
      <w:r>
        <w:rPr>
          <w:rFonts w:hint="eastAsia" w:ascii="黑体" w:hAnsi="黑体" w:eastAsia="黑体"/>
          <w:bCs w:val="0"/>
          <w:lang w:val="en-US" w:eastAsia="zh-CN"/>
        </w:rPr>
        <w:t>20</w:t>
      </w:r>
      <w:r>
        <w:rPr>
          <w:rFonts w:hint="eastAsia" w:ascii="黑体" w:hAnsi="黑体" w:eastAsia="黑体"/>
          <w:bCs w:val="0"/>
        </w:rPr>
        <w:t>年度部门决算情况说明</w:t>
      </w:r>
      <w:r>
        <w:tab/>
      </w:r>
      <w:r>
        <w:fldChar w:fldCharType="begin"/>
      </w:r>
      <w:r>
        <w:instrText xml:space="preserve"> PAGEREF _Toc26925 \h </w:instrText>
      </w:r>
      <w:r>
        <w:fldChar w:fldCharType="separate"/>
      </w:r>
      <w:r>
        <w:t>5</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_Toc5511 </w:instrText>
      </w:r>
      <w:r>
        <w:rPr>
          <w:rFonts w:ascii="仿宋" w:hAnsi="仿宋" w:eastAsia="仿宋"/>
        </w:rP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_Toc5511 \h </w:instrText>
      </w:r>
      <w:r>
        <w:fldChar w:fldCharType="separate"/>
      </w:r>
      <w:r>
        <w:t>5</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_Toc10293 </w:instrText>
      </w:r>
      <w:r>
        <w:rPr>
          <w:rFonts w:ascii="仿宋" w:hAnsi="仿宋" w:eastAsia="仿宋"/>
        </w:rP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_Toc10293 \h </w:instrText>
      </w:r>
      <w:r>
        <w:fldChar w:fldCharType="separate"/>
      </w:r>
      <w:r>
        <w:t>6</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_Toc2236 </w:instrText>
      </w:r>
      <w:r>
        <w:rPr>
          <w:rFonts w:ascii="仿宋" w:hAnsi="仿宋" w:eastAsia="仿宋"/>
        </w:rPr>
        <w:fldChar w:fldCharType="separate"/>
      </w:r>
      <w:r>
        <w:rPr>
          <w:rFonts w:hint="eastAsia" w:ascii="黑体" w:hAnsi="黑体" w:eastAsia="黑体"/>
          <w:szCs w:val="32"/>
          <w:lang w:eastAsia="zh-CN"/>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_Toc2236 \h </w:instrText>
      </w:r>
      <w:r>
        <w:fldChar w:fldCharType="separate"/>
      </w:r>
      <w:r>
        <w:t>6</w:t>
      </w:r>
      <w:r>
        <w:fldChar w:fldCharType="end"/>
      </w:r>
      <w:r>
        <w:rPr>
          <w:rFonts w:ascii="仿宋" w:hAnsi="仿宋" w:eastAsia="仿宋"/>
          <w:color w:val="000000"/>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480" w:lineRule="auto"/>
        <w:ind w:left="0" w:leftChars="0"/>
        <w:textAlignment w:val="auto"/>
      </w:pPr>
      <w:r>
        <w:rPr>
          <w:rFonts w:ascii="仿宋" w:hAnsi="仿宋" w:eastAsia="仿宋"/>
          <w:color w:val="000000"/>
        </w:rPr>
        <w:fldChar w:fldCharType="begin"/>
      </w:r>
      <w:r>
        <w:rPr>
          <w:rFonts w:ascii="仿宋" w:hAnsi="仿宋" w:eastAsia="仿宋"/>
        </w:rPr>
        <w:instrText xml:space="preserve"> HYPERLINK \l _Toc2529 </w:instrText>
      </w:r>
      <w:r>
        <w:rPr>
          <w:rFonts w:ascii="仿宋" w:hAnsi="仿宋" w:eastAsia="仿宋"/>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_Toc2529 \h </w:instrText>
      </w:r>
      <w:r>
        <w:fldChar w:fldCharType="separate"/>
      </w:r>
      <w:r>
        <w:t>6</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_Toc4435 </w:instrText>
      </w:r>
      <w:r>
        <w:rPr>
          <w:rFonts w:ascii="仿宋" w:hAnsi="仿宋" w:eastAsia="仿宋"/>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_Toc4435 \h </w:instrText>
      </w:r>
      <w:r>
        <w:fldChar w:fldCharType="separate"/>
      </w:r>
      <w:r>
        <w:t>7</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_Toc5071 </w:instrText>
      </w:r>
      <w:r>
        <w:rPr>
          <w:rFonts w:ascii="仿宋" w:hAnsi="仿宋" w:eastAsia="仿宋"/>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_Toc5071 \h </w:instrText>
      </w:r>
      <w:r>
        <w:fldChar w:fldCharType="separate"/>
      </w:r>
      <w:r>
        <w:t>10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_Toc21912 </w:instrText>
      </w:r>
      <w:r>
        <w:rPr>
          <w:rFonts w:ascii="仿宋" w:hAnsi="仿宋" w:eastAsia="仿宋"/>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_Toc21912 \h </w:instrText>
      </w:r>
      <w:r>
        <w:fldChar w:fldCharType="separate"/>
      </w:r>
      <w:r>
        <w:t>12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_Toc14711 </w:instrText>
      </w:r>
      <w:r>
        <w:rPr>
          <w:rFonts w:ascii="仿宋" w:hAnsi="仿宋" w:eastAsia="仿宋"/>
        </w:rPr>
        <w:fldChar w:fldCharType="separate"/>
      </w:r>
      <w:r>
        <w:rPr>
          <w:rFonts w:hint="eastAsia" w:ascii="黑体" w:hAnsi="黑体" w:eastAsia="黑体"/>
          <w:szCs w:val="32"/>
        </w:rPr>
        <w:t>九、</w:t>
      </w:r>
      <w:r>
        <w:rPr>
          <w:rFonts w:hint="eastAsia" w:ascii="黑体" w:hAnsi="黑体" w:eastAsia="黑体"/>
        </w:rPr>
        <w:t>国有资本经营预算支出决算情况说明</w:t>
      </w:r>
      <w:r>
        <w:tab/>
      </w:r>
      <w:r>
        <w:fldChar w:fldCharType="begin"/>
      </w:r>
      <w:r>
        <w:instrText xml:space="preserve"> PAGEREF _Toc14711 \h </w:instrText>
      </w:r>
      <w:r>
        <w:fldChar w:fldCharType="separate"/>
      </w:r>
      <w:r>
        <w:t>12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_Toc17241 </w:instrText>
      </w:r>
      <w:r>
        <w:rPr>
          <w:rFonts w:ascii="仿宋" w:hAnsi="仿宋" w:eastAsia="仿宋"/>
        </w:rPr>
        <w:fldChar w:fldCharType="separate"/>
      </w:r>
      <w:r>
        <w:rPr>
          <w:rFonts w:hint="default" w:ascii="黑体" w:hAnsi="黑体" w:eastAsia="黑体"/>
        </w:rPr>
        <w:t xml:space="preserve">十、 </w:t>
      </w:r>
      <w:r>
        <w:rPr>
          <w:rFonts w:hint="eastAsia" w:ascii="黑体" w:hAnsi="黑体" w:eastAsia="黑体"/>
        </w:rPr>
        <w:t>预算绩效情况说明</w:t>
      </w:r>
      <w:r>
        <w:tab/>
      </w:r>
      <w:r>
        <w:fldChar w:fldCharType="begin"/>
      </w:r>
      <w:r>
        <w:instrText xml:space="preserve"> PAGEREF _Toc17241 \h </w:instrText>
      </w:r>
      <w:r>
        <w:fldChar w:fldCharType="separate"/>
      </w:r>
      <w:r>
        <w:t>13</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_Toc12705 </w:instrText>
      </w:r>
      <w:r>
        <w:rPr>
          <w:rFonts w:ascii="仿宋" w:hAnsi="仿宋" w:eastAsia="仿宋"/>
        </w:rPr>
        <w:fldChar w:fldCharType="separate"/>
      </w:r>
      <w:r>
        <w:rPr>
          <w:rFonts w:hint="eastAsia" w:ascii="黑体" w:hAnsi="黑体" w:eastAsia="黑体"/>
          <w:szCs w:val="32"/>
        </w:rPr>
        <w:t>十</w:t>
      </w:r>
      <w:r>
        <w:rPr>
          <w:rFonts w:hint="eastAsia" w:ascii="黑体" w:hAnsi="黑体" w:eastAsia="黑体"/>
        </w:rPr>
        <w:t>一、其他重要事项的情况说明</w:t>
      </w:r>
      <w:r>
        <w:tab/>
      </w:r>
      <w:r>
        <w:fldChar w:fldCharType="begin"/>
      </w:r>
      <w:r>
        <w:instrText xml:space="preserve"> PAGEREF _Toc12705 \h </w:instrText>
      </w:r>
      <w:r>
        <w:fldChar w:fldCharType="separate"/>
      </w:r>
      <w:r>
        <w:t>15</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_Toc32174 </w:instrText>
      </w:r>
      <w:r>
        <w:rPr>
          <w:rFonts w:ascii="仿宋" w:hAnsi="仿宋" w:eastAsia="仿宋"/>
        </w:rP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_Toc32174 \h </w:instrText>
      </w:r>
      <w:r>
        <w:fldChar w:fldCharType="separate"/>
      </w:r>
      <w:r>
        <w:t>16</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_Toc25806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_Toc25806 \h </w:instrText>
      </w:r>
      <w:r>
        <w:fldChar w:fldCharType="separate"/>
      </w:r>
      <w:r>
        <w:t>19</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_Toc24010 </w:instrText>
      </w:r>
      <w:r>
        <w:rPr>
          <w:rFonts w:ascii="仿宋" w:hAnsi="仿宋" w:eastAsia="仿宋"/>
        </w:rPr>
        <w:fldChar w:fldCharType="separate"/>
      </w:r>
      <w:r>
        <w:rPr>
          <w:rFonts w:hint="eastAsia" w:ascii="仿宋" w:hAnsi="仿宋" w:eastAsia="仿宋"/>
          <w:bCs w:val="0"/>
          <w:szCs w:val="32"/>
        </w:rPr>
        <w:t>附件1</w:t>
      </w:r>
      <w:r>
        <w:tab/>
      </w:r>
      <w:r>
        <w:fldChar w:fldCharType="begin"/>
      </w:r>
      <w:r>
        <w:instrText xml:space="preserve"> PAGEREF _Toc24010 \h </w:instrText>
      </w:r>
      <w:r>
        <w:fldChar w:fldCharType="separate"/>
      </w:r>
      <w:r>
        <w:t>19</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_Toc30511 </w:instrText>
      </w:r>
      <w:r>
        <w:rPr>
          <w:rFonts w:ascii="仿宋" w:hAnsi="仿宋" w:eastAsia="仿宋"/>
        </w:rPr>
        <w:fldChar w:fldCharType="separate"/>
      </w:r>
      <w:r>
        <w:rPr>
          <w:rFonts w:hint="eastAsia" w:ascii="黑体" w:hAnsi="黑体" w:eastAsia="黑体" w:cs="方正小标宋简体"/>
          <w:szCs w:val="36"/>
        </w:rPr>
        <w:t>雁江区房屋征收局20</w:t>
      </w:r>
      <w:r>
        <w:rPr>
          <w:rFonts w:hint="eastAsia" w:ascii="黑体" w:hAnsi="黑体" w:eastAsia="黑体" w:cs="方正小标宋简体"/>
          <w:szCs w:val="36"/>
          <w:lang w:val="en-US" w:eastAsia="zh-CN"/>
        </w:rPr>
        <w:t>20</w:t>
      </w:r>
      <w:r>
        <w:rPr>
          <w:rFonts w:hint="eastAsia" w:ascii="黑体" w:hAnsi="黑体" w:eastAsia="黑体" w:cs="方正小标宋简体"/>
          <w:szCs w:val="36"/>
        </w:rPr>
        <w:t>年部门整体支出</w:t>
      </w:r>
      <w:r>
        <w:tab/>
      </w:r>
      <w:r>
        <w:fldChar w:fldCharType="begin"/>
      </w:r>
      <w:r>
        <w:instrText xml:space="preserve"> PAGEREF _Toc30511 \h </w:instrText>
      </w:r>
      <w:r>
        <w:fldChar w:fldCharType="separate"/>
      </w:r>
      <w:r>
        <w:t>19</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_Toc12199 </w:instrText>
      </w:r>
      <w:r>
        <w:rPr>
          <w:rFonts w:ascii="仿宋" w:hAnsi="仿宋" w:eastAsia="仿宋"/>
        </w:rPr>
        <w:fldChar w:fldCharType="separate"/>
      </w:r>
      <w:r>
        <w:rPr>
          <w:rFonts w:hint="eastAsia" w:ascii="黑体" w:hAnsi="黑体" w:eastAsia="黑体" w:cs="方正小标宋简体"/>
          <w:szCs w:val="36"/>
        </w:rPr>
        <w:t>绩效评价报告</w:t>
      </w:r>
      <w:r>
        <w:tab/>
      </w:r>
      <w:r>
        <w:fldChar w:fldCharType="begin"/>
      </w:r>
      <w:r>
        <w:instrText xml:space="preserve"> PAGEREF _Toc12199 \h </w:instrText>
      </w:r>
      <w:r>
        <w:fldChar w:fldCharType="separate"/>
      </w:r>
      <w:r>
        <w:t>19</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_Toc828 </w:instrText>
      </w:r>
      <w:r>
        <w:rPr>
          <w:rFonts w:ascii="仿宋" w:hAnsi="仿宋" w:eastAsia="仿宋"/>
        </w:rPr>
        <w:fldChar w:fldCharType="separate"/>
      </w:r>
      <w:r>
        <w:rPr>
          <w:rFonts w:hint="eastAsia" w:ascii="仿宋" w:hAnsi="仿宋" w:eastAsia="仿宋"/>
          <w:bCs w:val="0"/>
          <w:szCs w:val="32"/>
        </w:rPr>
        <w:t>附件2</w:t>
      </w:r>
      <w:r>
        <w:tab/>
      </w:r>
      <w:r>
        <w:fldChar w:fldCharType="begin"/>
      </w:r>
      <w:r>
        <w:instrText xml:space="preserve"> PAGEREF _Toc828 \h </w:instrText>
      </w:r>
      <w:r>
        <w:fldChar w:fldCharType="separate"/>
      </w:r>
      <w:r>
        <w:t>21</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_Toc12466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_Toc12466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_Toc4640 </w:instrText>
      </w:r>
      <w:r>
        <w:rPr>
          <w:rFonts w:ascii="仿宋" w:hAnsi="仿宋" w:eastAsia="仿宋"/>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_Toc4640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_Toc18714 </w:instrText>
      </w:r>
      <w:r>
        <w:rPr>
          <w:rFonts w:ascii="仿宋" w:hAnsi="仿宋" w:eastAsia="仿宋"/>
        </w:rPr>
        <w:fldChar w:fldCharType="separate"/>
      </w:r>
      <w:r>
        <w:rPr>
          <w:rFonts w:hint="eastAsia" w:ascii="仿宋" w:hAnsi="仿宋" w:eastAsia="仿宋"/>
        </w:rPr>
        <w:t>二、收</w:t>
      </w:r>
      <w:r>
        <w:rPr>
          <w:rFonts w:hint="eastAsia" w:ascii="仿宋" w:hAnsi="仿宋" w:eastAsia="仿宋"/>
          <w:bCs w:val="0"/>
        </w:rPr>
        <w:t>入</w:t>
      </w:r>
      <w:r>
        <w:rPr>
          <w:rFonts w:hint="eastAsia" w:ascii="仿宋" w:hAnsi="仿宋" w:eastAsia="仿宋"/>
          <w:bCs w:val="0"/>
          <w:lang w:eastAsia="zh-CN"/>
        </w:rPr>
        <w:t>决算</w:t>
      </w:r>
      <w:r>
        <w:rPr>
          <w:rFonts w:hint="eastAsia" w:ascii="仿宋" w:hAnsi="仿宋" w:eastAsia="仿宋"/>
          <w:bCs w:val="0"/>
        </w:rPr>
        <w:t>表</w:t>
      </w:r>
      <w:r>
        <w:tab/>
      </w:r>
      <w:r>
        <w:fldChar w:fldCharType="begin"/>
      </w:r>
      <w:r>
        <w:instrText xml:space="preserve"> PAGEREF _Toc18714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_Toc2125 </w:instrText>
      </w:r>
      <w:r>
        <w:rPr>
          <w:rFonts w:ascii="仿宋" w:hAnsi="仿宋" w:eastAsia="仿宋"/>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w:t>
      </w:r>
      <w:r>
        <w:rPr>
          <w:rFonts w:hint="eastAsia" w:ascii="仿宋" w:hAnsi="仿宋" w:eastAsia="仿宋"/>
          <w:bCs w:val="0"/>
          <w:lang w:eastAsia="zh-CN"/>
        </w:rPr>
        <w:t>决算</w:t>
      </w:r>
      <w:r>
        <w:rPr>
          <w:rFonts w:hint="eastAsia" w:ascii="仿宋" w:hAnsi="仿宋" w:eastAsia="仿宋"/>
          <w:bCs w:val="0"/>
        </w:rPr>
        <w:t>表</w:t>
      </w:r>
      <w:r>
        <w:tab/>
      </w:r>
      <w:r>
        <w:fldChar w:fldCharType="begin"/>
      </w:r>
      <w:r>
        <w:instrText xml:space="preserve"> PAGEREF _Toc2125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_Toc31870 </w:instrText>
      </w:r>
      <w:r>
        <w:rPr>
          <w:rFonts w:ascii="仿宋" w:hAnsi="仿宋" w:eastAsia="仿宋"/>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_Toc31870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_Toc12284 </w:instrText>
      </w:r>
      <w:r>
        <w:rPr>
          <w:rFonts w:ascii="仿宋" w:hAnsi="仿宋" w:eastAsia="仿宋"/>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政拨款支出决算明细表（政府经济分类科目）</w:t>
      </w:r>
      <w:r>
        <w:tab/>
      </w:r>
      <w:r>
        <w:fldChar w:fldCharType="begin"/>
      </w:r>
      <w:r>
        <w:instrText xml:space="preserve"> PAGEREF _Toc12284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_Toc13568 </w:instrText>
      </w:r>
      <w:r>
        <w:rPr>
          <w:rFonts w:ascii="仿宋" w:hAnsi="仿宋" w:eastAsia="仿宋"/>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_Toc13568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_Toc6246 </w:instrText>
      </w:r>
      <w:r>
        <w:rPr>
          <w:rFonts w:ascii="仿宋" w:hAnsi="仿宋" w:eastAsia="仿宋"/>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_Toc6246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_Toc25616 </w:instrText>
      </w:r>
      <w:r>
        <w:rPr>
          <w:rFonts w:ascii="仿宋" w:hAnsi="仿宋" w:eastAsia="仿宋"/>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_Toc25616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rPr>
          <w:sz w:val="32"/>
          <w:szCs w:val="32"/>
        </w:rPr>
      </w:pPr>
      <w:r>
        <w:rPr>
          <w:rFonts w:ascii="仿宋" w:hAnsi="仿宋" w:eastAsia="仿宋"/>
          <w:color w:val="000000"/>
        </w:rPr>
        <w:fldChar w:fldCharType="begin"/>
      </w:r>
      <w:r>
        <w:rPr>
          <w:rFonts w:ascii="仿宋" w:hAnsi="仿宋" w:eastAsia="仿宋"/>
        </w:rPr>
        <w:instrText xml:space="preserve"> HYPERLINK \l _Toc30703 </w:instrText>
      </w:r>
      <w:r>
        <w:rPr>
          <w:rFonts w:ascii="仿宋" w:hAnsi="仿宋" w:eastAsia="仿宋"/>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_Toc30703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_Toc3689 </w:instrText>
      </w:r>
      <w:r>
        <w:rPr>
          <w:rFonts w:ascii="仿宋" w:hAnsi="仿宋" w:eastAsia="仿宋"/>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_Toc3689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_Toc28840 </w:instrText>
      </w:r>
      <w:r>
        <w:rPr>
          <w:rFonts w:ascii="仿宋" w:hAnsi="仿宋" w:eastAsia="仿宋"/>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_Toc28840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_Toc17683 </w:instrText>
      </w:r>
      <w:r>
        <w:rPr>
          <w:rFonts w:ascii="仿宋" w:hAnsi="仿宋" w:eastAsia="仿宋"/>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_Toc17683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_Toc20938 </w:instrText>
      </w:r>
      <w:r>
        <w:rPr>
          <w:rFonts w:ascii="仿宋" w:hAnsi="仿宋" w:eastAsia="仿宋"/>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w:t>
      </w:r>
      <w:r>
        <w:rPr>
          <w:rFonts w:hint="eastAsia" w:ascii="仿宋" w:hAnsi="仿宋" w:eastAsia="仿宋"/>
          <w:bCs w:val="0"/>
          <w:lang w:eastAsia="zh-CN"/>
        </w:rPr>
        <w:t>收入</w:t>
      </w:r>
      <w:r>
        <w:rPr>
          <w:rFonts w:hint="eastAsia" w:ascii="仿宋" w:hAnsi="仿宋" w:eastAsia="仿宋"/>
          <w:bCs w:val="0"/>
        </w:rPr>
        <w:t>支出决算表</w:t>
      </w:r>
      <w:r>
        <w:tab/>
      </w:r>
      <w:r>
        <w:fldChar w:fldCharType="begin"/>
      </w:r>
      <w:r>
        <w:instrText xml:space="preserve"> PAGEREF _Toc20938 \h </w:instrText>
      </w:r>
      <w:r>
        <w:fldChar w:fldCharType="separate"/>
      </w:r>
      <w:r>
        <w:t>22</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_Toc23406 </w:instrText>
      </w:r>
      <w:r>
        <w:rPr>
          <w:rFonts w:ascii="仿宋" w:hAnsi="仿宋" w:eastAsia="仿宋"/>
        </w:rPr>
        <w:fldChar w:fldCharType="separate"/>
      </w:r>
      <w:r>
        <w:rPr>
          <w:rFonts w:hint="eastAsia" w:ascii="仿宋" w:hAnsi="仿宋" w:eastAsia="仿宋"/>
          <w:bCs w:val="0"/>
          <w:lang w:eastAsia="zh-CN"/>
        </w:rPr>
        <w:t>十四、</w:t>
      </w:r>
      <w:r>
        <w:rPr>
          <w:rFonts w:hint="eastAsia" w:ascii="仿宋" w:hAnsi="仿宋" w:eastAsia="仿宋"/>
          <w:bCs w:val="0"/>
        </w:rPr>
        <w:t>国有资本经营预算支出决算表</w:t>
      </w:r>
      <w:r>
        <w:tab/>
      </w:r>
      <w:r>
        <w:fldChar w:fldCharType="begin"/>
      </w:r>
      <w:r>
        <w:instrText xml:space="preserve"> PAGEREF _Toc23406 \h </w:instrText>
      </w:r>
      <w:r>
        <w:fldChar w:fldCharType="separate"/>
      </w:r>
      <w:r>
        <w:t>22</w:t>
      </w:r>
      <w:r>
        <w:fldChar w:fldCharType="end"/>
      </w:r>
      <w:r>
        <w:rPr>
          <w:rFonts w:ascii="仿宋" w:hAnsi="仿宋" w:eastAsia="仿宋"/>
          <w:color w:val="000000"/>
        </w:rPr>
        <w:fldChar w:fldCharType="end"/>
      </w:r>
    </w:p>
    <w:p>
      <w:pPr>
        <w:widowControl/>
        <w:jc w:val="left"/>
        <w:rPr>
          <w:rFonts w:ascii="仿宋" w:hAnsi="仿宋" w:eastAsia="仿宋"/>
          <w:color w:val="000000"/>
          <w:sz w:val="24"/>
        </w:rPr>
      </w:pPr>
      <w:r>
        <w:rPr>
          <w:rFonts w:ascii="仿宋" w:hAnsi="仿宋" w:eastAsia="仿宋"/>
          <w:color w:val="000000"/>
        </w:rPr>
        <w:fldChar w:fldCharType="end"/>
      </w:r>
    </w:p>
    <w:p>
      <w:pPr>
        <w:widowControl/>
        <w:jc w:val="left"/>
        <w:rPr>
          <w:rFonts w:ascii="黑体" w:hAnsi="黑体" w:eastAsia="黑体"/>
          <w:bCs/>
          <w:kern w:val="44"/>
          <w:sz w:val="44"/>
          <w:szCs w:val="44"/>
        </w:rPr>
      </w:pPr>
      <w:r>
        <w:rPr>
          <w:rFonts w:ascii="黑体" w:hAnsi="黑体" w:eastAsia="黑体"/>
          <w:b/>
        </w:rPr>
        <w:br w:type="page"/>
      </w:r>
    </w:p>
    <w:p>
      <w:pPr>
        <w:widowControl/>
        <w:jc w:val="left"/>
        <w:rPr>
          <w:rFonts w:ascii="黑体" w:hAnsi="黑体" w:eastAsia="黑体"/>
          <w:bCs/>
          <w:kern w:val="44"/>
          <w:sz w:val="44"/>
          <w:szCs w:val="44"/>
        </w:rPr>
      </w:pPr>
    </w:p>
    <w:p>
      <w:pPr>
        <w:pStyle w:val="2"/>
        <w:jc w:val="center"/>
        <w:rPr>
          <w:rStyle w:val="24"/>
          <w:rFonts w:ascii="黑体" w:hAnsi="黑体" w:eastAsia="黑体"/>
          <w:b/>
          <w:bCs w:val="0"/>
        </w:rPr>
      </w:pPr>
      <w:bookmarkStart w:id="17" w:name="_Toc17103549"/>
      <w:bookmarkStart w:id="18" w:name="_Toc6008"/>
      <w:r>
        <w:rPr>
          <w:rFonts w:hint="eastAsia" w:ascii="黑体" w:hAnsi="黑体" w:eastAsia="黑体"/>
          <w:b w:val="0"/>
        </w:rPr>
        <w:t xml:space="preserve">第一部分 </w:t>
      </w:r>
      <w:r>
        <w:rPr>
          <w:rStyle w:val="24"/>
          <w:rFonts w:hint="eastAsia" w:ascii="黑体" w:hAnsi="黑体" w:eastAsia="黑体"/>
          <w:b w:val="0"/>
          <w:bCs w:val="0"/>
        </w:rPr>
        <w:t>部门概况</w:t>
      </w:r>
      <w:bookmarkEnd w:id="16"/>
      <w:bookmarkEnd w:id="17"/>
      <w:bookmarkEnd w:id="18"/>
    </w:p>
    <w:p>
      <w:pPr>
        <w:widowControl/>
        <w:jc w:val="left"/>
        <w:rPr>
          <w:rFonts w:ascii="黑体" w:eastAsia="黑体"/>
          <w:color w:val="000000"/>
          <w:sz w:val="32"/>
          <w:szCs w:val="32"/>
        </w:rPr>
      </w:pPr>
    </w:p>
    <w:p>
      <w:pPr>
        <w:pStyle w:val="3"/>
        <w:rPr>
          <w:rStyle w:val="25"/>
          <w:rFonts w:ascii="仿宋" w:hAnsi="仿宋" w:eastAsia="仿宋"/>
          <w:b w:val="0"/>
          <w:bCs w:val="0"/>
        </w:rPr>
      </w:pPr>
      <w:bookmarkStart w:id="19" w:name="_Toc17103550"/>
      <w:bookmarkStart w:id="20" w:name="_Toc15377197"/>
      <w:bookmarkStart w:id="21" w:name="_Toc31294"/>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9"/>
      <w:bookmarkEnd w:id="20"/>
      <w:bookmarkEnd w:id="21"/>
    </w:p>
    <w:p>
      <w:pPr>
        <w:widowControl/>
        <w:spacing w:line="352" w:lineRule="atLeast"/>
        <w:ind w:firstLine="640" w:firstLineChars="200"/>
        <w:rPr>
          <w:rFonts w:hint="eastAsia" w:ascii="仿宋" w:hAnsi="仿宋" w:eastAsia="仿宋"/>
          <w:sz w:val="32"/>
          <w:szCs w:val="32"/>
        </w:rPr>
      </w:pPr>
      <w:bookmarkStart w:id="22" w:name="_Toc15377198"/>
      <w:bookmarkStart w:id="23" w:name="_Toc15378445"/>
      <w:r>
        <w:rPr>
          <w:rFonts w:hint="eastAsia" w:ascii="仿宋" w:hAnsi="仿宋" w:eastAsia="仿宋"/>
          <w:bCs/>
          <w:color w:val="000000"/>
          <w:sz w:val="32"/>
          <w:szCs w:val="32"/>
        </w:rPr>
        <w:t>（一）主要职能。</w:t>
      </w:r>
      <w:bookmarkEnd w:id="22"/>
      <w:bookmarkEnd w:id="23"/>
      <w:bookmarkStart w:id="24" w:name="_Toc15378446"/>
      <w:bookmarkStart w:id="25" w:name="_Toc15377199"/>
      <w:r>
        <w:rPr>
          <w:rFonts w:ascii="仿宋" w:hAnsi="仿宋" w:eastAsia="仿宋"/>
          <w:sz w:val="32"/>
          <w:szCs w:val="32"/>
        </w:rPr>
        <w:t xml:space="preserve">资阳市雁江区房屋征收局是宣传、贯彻和执行国家、省、市、区关于房屋征收的有关法律、法规和政策；组织实施本行政区域内的房屋征收与补偿工作；对委托房屋征收实施单位承担房屋征收与补偿的具体行为进行监督的雁江区政府组成部门。 </w:t>
      </w:r>
      <w:r>
        <w:rPr>
          <w:rFonts w:ascii="仿宋" w:hAnsi="仿宋" w:eastAsia="仿宋"/>
          <w:sz w:val="32"/>
          <w:szCs w:val="32"/>
        </w:rPr>
        <w:br w:type="textWrapping"/>
      </w:r>
      <w:r>
        <w:rPr>
          <w:rFonts w:hint="eastAsia" w:ascii="仿宋" w:hAnsi="仿宋" w:eastAsia="仿宋"/>
          <w:bCs/>
          <w:color w:val="000000"/>
          <w:sz w:val="32"/>
          <w:szCs w:val="32"/>
        </w:rPr>
        <w:t xml:space="preserve">   （</w:t>
      </w:r>
      <w:r>
        <w:rPr>
          <w:rFonts w:hint="eastAsia" w:ascii="仿宋" w:hAnsi="仿宋" w:eastAsia="仿宋"/>
          <w:sz w:val="32"/>
          <w:szCs w:val="32"/>
        </w:rPr>
        <w:t>二）</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年重点工作完成情况。</w:t>
      </w:r>
      <w:bookmarkEnd w:id="24"/>
      <w:bookmarkEnd w:id="25"/>
      <w:r>
        <w:rPr>
          <w:rFonts w:hint="eastAsia" w:ascii="仿宋" w:hAnsi="仿宋" w:eastAsia="仿宋"/>
          <w:sz w:val="32"/>
          <w:szCs w:val="32"/>
        </w:rPr>
        <w:t xml:space="preserve">2020年资阳市雁江区房屋征收局主要承担城北棚改（企业）项目、成资渝高速公路建设项目、沱西滨江路A、B、C段改造项目、农业局片区棚改项目、垃圾环保发电厂、中和工业园区建设项目、成自高铁建设等项目。　　 </w:t>
      </w:r>
    </w:p>
    <w:p>
      <w:pPr>
        <w:pStyle w:val="5"/>
        <w:adjustRightInd w:val="0"/>
        <w:snapToGrid w:val="0"/>
        <w:spacing w:before="93" w:line="600" w:lineRule="exact"/>
        <w:outlineLvl w:val="2"/>
        <w:rPr>
          <w:rStyle w:val="25"/>
          <w:rFonts w:ascii="仿宋" w:hAnsi="仿宋" w:eastAsia="仿宋" w:cs="Times New Roman"/>
          <w:b w:val="0"/>
          <w:color w:val="000000"/>
          <w:kern w:val="0"/>
        </w:rPr>
      </w:pPr>
      <w:bookmarkStart w:id="26" w:name="_Toc15377200"/>
      <w:bookmarkStart w:id="27" w:name="_Toc17103551"/>
      <w:r>
        <w:rPr>
          <w:rFonts w:hint="eastAsia" w:ascii="黑体" w:eastAsia="黑体"/>
          <w:color w:val="000000"/>
        </w:rPr>
        <w:t>二、</w:t>
      </w:r>
      <w:r>
        <w:rPr>
          <w:rFonts w:hint="eastAsia" w:ascii="黑体" w:hAnsi="黑体" w:eastAsia="黑体"/>
          <w:color w:val="000000"/>
        </w:rPr>
        <w:t>机</w:t>
      </w:r>
      <w:r>
        <w:rPr>
          <w:rStyle w:val="25"/>
          <w:rFonts w:hint="eastAsia" w:ascii="黑体" w:hAnsi="黑体" w:eastAsia="黑体"/>
        </w:rPr>
        <w:t>构设置</w:t>
      </w:r>
      <w:bookmarkEnd w:id="26"/>
      <w:bookmarkEnd w:id="27"/>
    </w:p>
    <w:p>
      <w:pPr>
        <w:spacing w:line="600" w:lineRule="exact"/>
        <w:ind w:firstLine="640" w:firstLineChars="200"/>
        <w:rPr>
          <w:rFonts w:hint="default" w:ascii="方正仿宋简体" w:hAnsi="方正仿宋简体" w:eastAsia="仿宋_GB2312" w:cs="方正仿宋简体"/>
          <w:color w:val="333333"/>
          <w:sz w:val="32"/>
          <w:szCs w:val="32"/>
          <w:lang w:val="en-US" w:eastAsia="zh-CN"/>
        </w:rPr>
      </w:pPr>
      <w:r>
        <w:rPr>
          <w:rFonts w:hint="eastAsia" w:ascii="仿宋_GB2312" w:hAnsi="仿宋" w:eastAsia="仿宋_GB2312" w:cs="仿宋"/>
          <w:bCs/>
          <w:color w:val="000000"/>
          <w:sz w:val="32"/>
          <w:szCs w:val="32"/>
        </w:rPr>
        <w:t>本单位为资阳市雁江区房屋征收局，所属一级</w:t>
      </w:r>
      <w:r>
        <w:rPr>
          <w:rFonts w:hint="eastAsia" w:ascii="仿宋_GB2312" w:hAnsi="仿宋" w:eastAsia="仿宋_GB2312" w:cs="仿宋"/>
          <w:bCs/>
          <w:color w:val="000000"/>
          <w:spacing w:val="14"/>
          <w:sz w:val="32"/>
          <w:szCs w:val="32"/>
        </w:rPr>
        <w:t>预算单位，单位性质</w:t>
      </w:r>
      <w:r>
        <w:rPr>
          <w:rFonts w:hint="eastAsia" w:ascii="仿宋_GB2312" w:hAnsi="仿宋" w:eastAsia="仿宋_GB2312" w:cs="仿宋"/>
          <w:bCs/>
          <w:color w:val="000000"/>
          <w:sz w:val="32"/>
          <w:szCs w:val="32"/>
        </w:rPr>
        <w:t>为财政补助事业单位，</w:t>
      </w:r>
      <w:r>
        <w:rPr>
          <w:rFonts w:hint="eastAsia" w:ascii="方正仿宋简体" w:hAnsi="方正仿宋简体" w:eastAsia="方正仿宋简体" w:cs="方正仿宋简体"/>
          <w:color w:val="333333"/>
          <w:sz w:val="32"/>
          <w:szCs w:val="32"/>
        </w:rPr>
        <w:t>下设综合股、征收安置股、政策法规股和财务审计股等四个股室；</w:t>
      </w:r>
      <w:r>
        <w:rPr>
          <w:rFonts w:hint="eastAsia" w:ascii="仿宋_GB2312" w:hAnsi="仿宋" w:eastAsia="仿宋_GB2312" w:cs="仿宋"/>
          <w:bCs/>
          <w:color w:val="000000"/>
          <w:sz w:val="32"/>
          <w:szCs w:val="32"/>
        </w:rPr>
        <w:t>单位编制数</w:t>
      </w:r>
      <w:r>
        <w:rPr>
          <w:rFonts w:hint="eastAsia" w:ascii="仿宋_GB2312" w:hAnsi="仿宋" w:eastAsia="仿宋_GB2312" w:cs="仿宋"/>
          <w:bCs/>
          <w:color w:val="000000"/>
          <w:sz w:val="32"/>
          <w:szCs w:val="32"/>
          <w:lang w:val="en-US" w:eastAsia="zh-CN"/>
        </w:rPr>
        <w:t>20</w:t>
      </w:r>
      <w:r>
        <w:rPr>
          <w:rFonts w:hint="eastAsia" w:ascii="仿宋_GB2312" w:hAnsi="仿宋" w:eastAsia="仿宋_GB2312" w:cs="仿宋"/>
          <w:bCs/>
          <w:color w:val="000000"/>
          <w:sz w:val="32"/>
          <w:szCs w:val="32"/>
        </w:rPr>
        <w:t>个，实有人数2</w:t>
      </w:r>
      <w:r>
        <w:rPr>
          <w:rFonts w:hint="eastAsia" w:ascii="仿宋_GB2312" w:hAnsi="仿宋" w:eastAsia="仿宋_GB2312" w:cs="仿宋"/>
          <w:bCs/>
          <w:color w:val="000000"/>
          <w:sz w:val="32"/>
          <w:szCs w:val="32"/>
          <w:lang w:val="en-US" w:eastAsia="zh-CN"/>
        </w:rPr>
        <w:t>3</w:t>
      </w:r>
      <w:r>
        <w:rPr>
          <w:rFonts w:hint="eastAsia" w:ascii="仿宋_GB2312" w:hAnsi="仿宋" w:eastAsia="仿宋_GB2312" w:cs="仿宋"/>
          <w:bCs/>
          <w:color w:val="000000"/>
          <w:sz w:val="32"/>
          <w:szCs w:val="32"/>
        </w:rPr>
        <w:t>人</w:t>
      </w:r>
      <w:r>
        <w:rPr>
          <w:rFonts w:hint="eastAsia" w:ascii="仿宋_GB2312" w:hAnsi="仿宋" w:eastAsia="仿宋_GB2312" w:cs="仿宋"/>
          <w:bCs/>
          <w:color w:val="000000"/>
          <w:sz w:val="32"/>
          <w:szCs w:val="32"/>
          <w:lang w:eastAsia="zh-CN"/>
        </w:rPr>
        <w:t>，其中：临聘人员</w:t>
      </w:r>
      <w:r>
        <w:rPr>
          <w:rFonts w:hint="eastAsia" w:ascii="仿宋_GB2312" w:hAnsi="仿宋" w:eastAsia="仿宋_GB2312" w:cs="仿宋"/>
          <w:bCs/>
          <w:color w:val="000000"/>
          <w:sz w:val="32"/>
          <w:szCs w:val="32"/>
          <w:lang w:val="en-US" w:eastAsia="zh-CN"/>
        </w:rPr>
        <w:t>3人。</w:t>
      </w:r>
    </w:p>
    <w:p>
      <w:pPr>
        <w:ind w:firstLine="567"/>
        <w:rPr>
          <w:rFonts w:ascii="仿宋_GB2312" w:hAnsi="仿宋" w:eastAsia="仿宋_GB2312" w:cs="仿宋"/>
          <w:bCs/>
          <w:color w:val="000000"/>
          <w:sz w:val="32"/>
          <w:szCs w:val="32"/>
        </w:rPr>
      </w:pPr>
    </w:p>
    <w:p>
      <w:pPr>
        <w:pStyle w:val="2"/>
        <w:ind w:right="440"/>
        <w:jc w:val="right"/>
        <w:rPr>
          <w:rFonts w:ascii="黑体" w:hAnsi="黑体" w:eastAsia="黑体"/>
          <w:b w:val="0"/>
          <w:color w:val="000000"/>
        </w:rPr>
      </w:pPr>
      <w:bookmarkStart w:id="28" w:name="_Toc17103552"/>
      <w:bookmarkStart w:id="29" w:name="_Toc15377204"/>
    </w:p>
    <w:p>
      <w:pPr>
        <w:pStyle w:val="2"/>
        <w:ind w:right="440"/>
        <w:jc w:val="right"/>
        <w:rPr>
          <w:rStyle w:val="24"/>
          <w:rFonts w:ascii="黑体" w:hAnsi="黑体" w:eastAsia="黑体"/>
          <w:b w:val="0"/>
          <w:bCs w:val="0"/>
        </w:rPr>
      </w:pPr>
      <w:bookmarkStart w:id="30" w:name="_Toc26925"/>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w:t>
      </w:r>
      <w:r>
        <w:rPr>
          <w:rStyle w:val="24"/>
          <w:rFonts w:hint="eastAsia" w:ascii="黑体" w:hAnsi="黑体" w:eastAsia="黑体"/>
          <w:b w:val="0"/>
          <w:bCs w:val="0"/>
          <w:lang w:val="en-US" w:eastAsia="zh-CN"/>
        </w:rPr>
        <w:t>20</w:t>
      </w:r>
      <w:r>
        <w:rPr>
          <w:rStyle w:val="24"/>
          <w:rFonts w:hint="eastAsia" w:ascii="黑体" w:hAnsi="黑体" w:eastAsia="黑体"/>
          <w:b w:val="0"/>
          <w:bCs w:val="0"/>
        </w:rPr>
        <w:t>年度部门决算情况说明</w:t>
      </w:r>
      <w:bookmarkEnd w:id="28"/>
      <w:bookmarkEnd w:id="29"/>
      <w:bookmarkEnd w:id="30"/>
    </w:p>
    <w:p/>
    <w:p>
      <w:pPr>
        <w:pStyle w:val="23"/>
        <w:numPr>
          <w:ilvl w:val="0"/>
          <w:numId w:val="1"/>
        </w:numPr>
        <w:spacing w:line="600" w:lineRule="exact"/>
        <w:ind w:firstLineChars="0"/>
        <w:outlineLvl w:val="1"/>
        <w:rPr>
          <w:rStyle w:val="25"/>
          <w:rFonts w:ascii="黑体" w:hAnsi="黑体" w:eastAsia="黑体"/>
          <w:b w:val="0"/>
        </w:rPr>
      </w:pPr>
      <w:bookmarkStart w:id="31" w:name="_Toc17103553"/>
      <w:bookmarkStart w:id="32" w:name="_Toc15377205"/>
      <w:bookmarkStart w:id="33" w:name="_Toc5511"/>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1"/>
      <w:bookmarkEnd w:id="32"/>
      <w:bookmarkEnd w:id="33"/>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年度收入总计</w:t>
      </w:r>
      <w:r>
        <w:rPr>
          <w:rFonts w:hint="eastAsia" w:ascii="仿宋" w:hAnsi="仿宋" w:eastAsia="仿宋"/>
          <w:color w:val="000000"/>
          <w:sz w:val="32"/>
          <w:szCs w:val="32"/>
          <w:lang w:val="en-US" w:eastAsia="zh-CN"/>
        </w:rPr>
        <w:t>339.63</w:t>
      </w:r>
      <w:r>
        <w:rPr>
          <w:rFonts w:hint="eastAsia" w:ascii="仿宋" w:hAnsi="仿宋" w:eastAsia="仿宋"/>
          <w:color w:val="000000"/>
          <w:sz w:val="32"/>
          <w:szCs w:val="32"/>
        </w:rPr>
        <w:t>万元，支出总计</w:t>
      </w:r>
      <w:r>
        <w:rPr>
          <w:rFonts w:hint="eastAsia" w:ascii="仿宋" w:hAnsi="仿宋" w:eastAsia="仿宋"/>
          <w:color w:val="000000"/>
          <w:sz w:val="32"/>
          <w:szCs w:val="32"/>
          <w:lang w:val="en-US" w:eastAsia="zh-CN"/>
        </w:rPr>
        <w:t>339.63</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42.03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4.12</w:t>
      </w:r>
      <w:r>
        <w:rPr>
          <w:rFonts w:ascii="仿宋" w:hAnsi="仿宋" w:eastAsia="仿宋"/>
          <w:color w:val="000000"/>
          <w:sz w:val="32"/>
          <w:szCs w:val="32"/>
        </w:rPr>
        <w:t>%</w:t>
      </w:r>
      <w:r>
        <w:rPr>
          <w:rFonts w:hint="eastAsia" w:ascii="仿宋" w:hAnsi="仿宋" w:eastAsia="仿宋"/>
          <w:color w:val="000000"/>
          <w:sz w:val="32"/>
          <w:szCs w:val="32"/>
        </w:rPr>
        <w:t>。主要变动原因是一般公共预算拨款收入</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年无其他收入。</w:t>
      </w:r>
    </w:p>
    <w:p>
      <w:pPr>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hint="eastAsia" w:ascii="仿宋" w:hAnsi="仿宋" w:eastAsia="仿宋"/>
          <w:color w:val="000000"/>
          <w:sz w:val="32"/>
          <w:szCs w:val="32"/>
          <w:lang w:eastAsia="zh-CN"/>
        </w:rPr>
      </w:pPr>
    </w:p>
    <w:p>
      <w:pPr>
        <w:pStyle w:val="23"/>
        <w:numPr>
          <w:ilvl w:val="0"/>
          <w:numId w:val="0"/>
        </w:numPr>
        <w:spacing w:line="600" w:lineRule="exact"/>
        <w:ind w:left="640" w:leftChars="0"/>
        <w:outlineLvl w:val="1"/>
        <w:rPr>
          <w:rFonts w:hint="eastAsia" w:ascii="黑体" w:hAnsi="黑体" w:eastAsia="黑体"/>
          <w:color w:val="000000"/>
          <w:sz w:val="32"/>
          <w:szCs w:val="32"/>
          <w:lang w:eastAsia="zh-CN"/>
        </w:rPr>
      </w:pPr>
      <w:bookmarkStart w:id="34" w:name="_Toc15377206"/>
      <w:bookmarkStart w:id="35" w:name="_Toc17103554"/>
    </w:p>
    <w:p>
      <w:pPr>
        <w:pStyle w:val="23"/>
        <w:numPr>
          <w:ilvl w:val="0"/>
          <w:numId w:val="1"/>
        </w:numPr>
        <w:spacing w:line="600" w:lineRule="exact"/>
        <w:ind w:left="1360" w:leftChars="0" w:hanging="720" w:firstLineChars="0"/>
        <w:outlineLvl w:val="1"/>
        <w:rPr>
          <w:rStyle w:val="25"/>
          <w:rFonts w:hint="eastAsia" w:ascii="黑体" w:hAnsi="黑体" w:eastAsia="黑体"/>
          <w:b w:val="0"/>
        </w:rPr>
      </w:pPr>
      <w:bookmarkStart w:id="36" w:name="_Toc10293"/>
      <w:r>
        <w:rPr>
          <w:rFonts w:hint="eastAsia" w:ascii="黑体" w:hAnsi="黑体" w:eastAsia="黑体"/>
          <w:color w:val="000000"/>
          <w:sz w:val="32"/>
          <w:szCs w:val="32"/>
        </w:rPr>
        <w:t>收</w:t>
      </w:r>
      <w:r>
        <w:rPr>
          <w:rStyle w:val="25"/>
          <w:rFonts w:hint="eastAsia" w:ascii="黑体" w:hAnsi="黑体" w:eastAsia="黑体"/>
          <w:b w:val="0"/>
        </w:rPr>
        <w:t>入决算情况说明</w:t>
      </w:r>
      <w:bookmarkEnd w:id="34"/>
      <w:bookmarkEnd w:id="35"/>
      <w:bookmarkEnd w:id="36"/>
    </w:p>
    <w:p>
      <w:pPr>
        <w:pStyle w:val="23"/>
        <w:numPr>
          <w:numId w:val="0"/>
        </w:numPr>
        <w:spacing w:line="600" w:lineRule="exact"/>
        <w:ind w:left="640" w:leftChars="0"/>
        <w:outlineLvl w:val="1"/>
        <w:rPr>
          <w:rFonts w:ascii="仿宋" w:hAnsi="仿宋" w:eastAsia="仿宋"/>
          <w:color w:val="000000" w:themeColor="text1"/>
          <w:sz w:val="32"/>
          <w:szCs w:val="32"/>
        </w:rPr>
      </w:pPr>
      <w:r>
        <w:rPr>
          <w:rStyle w:val="25"/>
          <w:rFonts w:hint="eastAsia" w:ascii="黑体" w:hAnsi="黑体" w:eastAsia="黑体"/>
          <w:b w:val="0"/>
          <w:lang w:val="en-US" w:eastAsia="zh-CN"/>
        </w:rPr>
        <w:t xml:space="preserve">     </w:t>
      </w:r>
      <w:bookmarkStart w:id="37" w:name="_Toc24426"/>
      <w:r>
        <w:rPr>
          <w:rStyle w:val="25"/>
          <w:rFonts w:hint="eastAsia" w:ascii="仿宋" w:hAnsi="仿宋" w:eastAsia="仿宋" w:cs="仿宋"/>
          <w:b w:val="0"/>
          <w:lang w:val="en-US" w:eastAsia="zh-CN"/>
        </w:rPr>
        <w:t>2020年本年收入合计315.48万元，其中：一般公共预算财政收入315.48万元，占100%；2020年无政府性基金预算财政拨款收入。</w:t>
      </w:r>
      <w:bookmarkEnd w:id="37"/>
    </w:p>
    <w:p>
      <w:pPr>
        <w:pStyle w:val="23"/>
        <w:numPr>
          <w:numId w:val="0"/>
        </w:numPr>
        <w:spacing w:line="600" w:lineRule="exact"/>
        <w:ind w:firstLine="640" w:firstLineChars="200"/>
        <w:outlineLvl w:val="1"/>
        <w:rPr>
          <w:rStyle w:val="25"/>
          <w:rFonts w:ascii="黑体" w:hAnsi="黑体" w:eastAsia="黑体"/>
          <w:b w:val="0"/>
        </w:rPr>
      </w:pPr>
      <w:bookmarkStart w:id="38" w:name="_Toc17103556"/>
      <w:bookmarkStart w:id="39" w:name="_Toc15377207"/>
      <w:bookmarkStart w:id="40" w:name="_Toc2236"/>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38"/>
      <w:bookmarkEnd w:id="39"/>
      <w:bookmarkEnd w:id="40"/>
    </w:p>
    <w:p>
      <w:pPr>
        <w:ind w:firstLine="64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310.42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301.47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97.12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2.88</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xml:space="preserve"> </w:t>
      </w:r>
      <w:r>
        <w:rPr>
          <w:rFonts w:ascii="仿宋" w:hAnsi="仿宋" w:eastAsia="仿宋"/>
          <w:color w:val="000000"/>
          <w:sz w:val="32"/>
          <w:szCs w:val="32"/>
        </w:rPr>
        <w:drawing>
          <wp:inline distT="0" distB="0" distL="0" distR="0">
            <wp:extent cx="5274310" cy="3076575"/>
            <wp:effectExtent l="38100" t="0" r="254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rPr>
          <w:rFonts w:ascii="仿宋" w:hAnsi="仿宋" w:eastAsia="仿宋"/>
          <w:color w:val="000000"/>
          <w:sz w:val="32"/>
          <w:szCs w:val="32"/>
          <w:shd w:val="pct10" w:color="auto" w:fill="FFFFFF"/>
        </w:rPr>
      </w:pPr>
    </w:p>
    <w:p>
      <w:pPr>
        <w:spacing w:line="600" w:lineRule="exact"/>
        <w:ind w:firstLine="640" w:firstLineChars="200"/>
        <w:outlineLvl w:val="1"/>
        <w:rPr>
          <w:rStyle w:val="25"/>
          <w:rFonts w:ascii="黑体" w:hAnsi="黑体" w:eastAsia="黑体"/>
          <w:b w:val="0"/>
        </w:rPr>
      </w:pPr>
      <w:bookmarkStart w:id="41" w:name="_Toc15377208"/>
      <w:bookmarkStart w:id="42" w:name="_Toc17103557"/>
      <w:bookmarkStart w:id="43" w:name="_Toc2529"/>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41"/>
      <w:bookmarkEnd w:id="42"/>
      <w:bookmarkEnd w:id="43"/>
    </w:p>
    <w:p>
      <w:pPr>
        <w:ind w:firstLine="640" w:firstLineChars="200"/>
        <w:jc w:val="left"/>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年财政拨款收入</w:t>
      </w:r>
      <w:r>
        <w:rPr>
          <w:rFonts w:hint="eastAsia" w:ascii="仿宋" w:hAnsi="仿宋" w:eastAsia="仿宋"/>
          <w:color w:val="000000"/>
          <w:sz w:val="32"/>
          <w:szCs w:val="32"/>
          <w:lang w:val="en-US" w:eastAsia="zh-CN"/>
        </w:rPr>
        <w:t>315.48</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年相比，财政拨款收入</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43.49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15.99</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年财政拨款支出</w:t>
      </w:r>
      <w:r>
        <w:rPr>
          <w:rFonts w:hint="eastAsia" w:ascii="仿宋" w:hAnsi="仿宋" w:eastAsia="仿宋"/>
          <w:color w:val="000000"/>
          <w:sz w:val="32"/>
          <w:szCs w:val="32"/>
          <w:lang w:val="en-US" w:eastAsia="zh-CN"/>
        </w:rPr>
        <w:t>310.42</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年相比，财政拨款收入</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46.98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17.83</w:t>
      </w:r>
      <w:r>
        <w:rPr>
          <w:rFonts w:ascii="仿宋" w:hAnsi="仿宋" w:eastAsia="仿宋"/>
          <w:color w:val="000000"/>
          <w:sz w:val="32"/>
          <w:szCs w:val="32"/>
        </w:rPr>
        <w:t>%</w:t>
      </w:r>
      <w:r>
        <w:rPr>
          <w:rFonts w:hint="eastAsia" w:ascii="仿宋" w:hAnsi="仿宋" w:eastAsia="仿宋"/>
          <w:color w:val="000000"/>
          <w:sz w:val="32"/>
          <w:szCs w:val="32"/>
        </w:rPr>
        <w:t>。主要变动原因是一般公共预算拨款收支</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w:t>
      </w:r>
      <w:r>
        <w:rPr>
          <w:rFonts w:ascii="仿宋" w:hAnsi="仿宋" w:eastAsia="仿宋"/>
          <w:color w:val="000000"/>
          <w:sz w:val="32"/>
          <w:szCs w:val="32"/>
        </w:rPr>
        <w:drawing>
          <wp:inline distT="0" distB="0" distL="0" distR="0">
            <wp:extent cx="5274310" cy="3076575"/>
            <wp:effectExtent l="5080" t="4445" r="16510" b="50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（除国有资本经营预算外，数据来源于财决</w:t>
      </w:r>
      <w:r>
        <w:rPr>
          <w:rFonts w:ascii="仿宋" w:hAnsi="仿宋" w:eastAsia="仿宋"/>
          <w:b/>
          <w:color w:val="000000" w:themeColor="text1"/>
          <w:sz w:val="32"/>
          <w:szCs w:val="32"/>
        </w:rPr>
        <w:t>Z01-1</w:t>
      </w:r>
      <w:r>
        <w:rPr>
          <w:rFonts w:hint="eastAsia" w:ascii="仿宋" w:hAnsi="仿宋" w:eastAsia="仿宋"/>
          <w:b/>
          <w:color w:val="000000" w:themeColor="text1"/>
          <w:sz w:val="32"/>
          <w:szCs w:val="32"/>
        </w:rPr>
        <w:t>表，口径为“总计”数+国有资本经营预算。）</w:t>
      </w:r>
    </w:p>
    <w:p>
      <w:pPr>
        <w:spacing w:line="600" w:lineRule="exact"/>
        <w:ind w:firstLine="787" w:firstLineChars="246"/>
        <w:outlineLvl w:val="1"/>
        <w:rPr>
          <w:rStyle w:val="25"/>
          <w:rFonts w:ascii="黑体" w:hAnsi="黑体" w:eastAsia="黑体"/>
          <w:b w:val="0"/>
        </w:rPr>
      </w:pPr>
      <w:bookmarkStart w:id="44" w:name="_Toc15377209"/>
      <w:bookmarkStart w:id="45" w:name="_Toc17103558"/>
      <w:bookmarkStart w:id="46" w:name="_Toc4435"/>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15377210"/>
      <w:r>
        <w:rPr>
          <w:rFonts w:hint="eastAsia" w:ascii="仿宋" w:hAnsi="仿宋" w:eastAsia="仿宋"/>
          <w:b/>
          <w:color w:val="000000"/>
          <w:sz w:val="32"/>
          <w:szCs w:val="32"/>
        </w:rPr>
        <w:t>（一）一般公共预算财政拨款支出决算总体情况</w:t>
      </w:r>
      <w:bookmarkEnd w:id="47"/>
    </w:p>
    <w:p>
      <w:pPr>
        <w:ind w:firstLine="640" w:firstLineChars="200"/>
        <w:jc w:val="left"/>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310.42</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支出增加</w:t>
      </w:r>
      <w:r>
        <w:rPr>
          <w:rFonts w:hint="eastAsia" w:ascii="仿宋" w:hAnsi="仿宋" w:eastAsia="仿宋"/>
          <w:color w:val="000000"/>
          <w:sz w:val="32"/>
          <w:szCs w:val="32"/>
          <w:lang w:val="en-US" w:eastAsia="zh-CN"/>
        </w:rPr>
        <w:t>46.98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17.83</w:t>
      </w:r>
      <w:r>
        <w:rPr>
          <w:rFonts w:ascii="仿宋" w:hAnsi="仿宋" w:eastAsia="仿宋"/>
          <w:color w:val="000000"/>
          <w:sz w:val="32"/>
          <w:szCs w:val="32"/>
        </w:rPr>
        <w:t>%</w:t>
      </w:r>
      <w:r>
        <w:rPr>
          <w:rFonts w:hint="eastAsia" w:ascii="仿宋" w:hAnsi="仿宋" w:eastAsia="仿宋"/>
          <w:color w:val="000000"/>
          <w:sz w:val="32"/>
          <w:szCs w:val="32"/>
        </w:rPr>
        <w:t>。主要变动原因是一般公共服务支出</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w:t>
      </w:r>
      <w:r>
        <w:rPr>
          <w:rFonts w:ascii="仿宋" w:hAnsi="仿宋" w:eastAsia="仿宋"/>
          <w:color w:val="000000"/>
          <w:sz w:val="32"/>
          <w:szCs w:val="32"/>
        </w:rPr>
        <w:drawing>
          <wp:inline distT="0" distB="0" distL="0" distR="0">
            <wp:extent cx="5274310" cy="3076575"/>
            <wp:effectExtent l="5080" t="4445" r="16510"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（图5：一般公共预算财政拨款支出决算变动情况）（柱图）</w:t>
      </w:r>
    </w:p>
    <w:p>
      <w:pPr>
        <w:spacing w:line="600" w:lineRule="exact"/>
        <w:ind w:firstLine="640" w:firstLineChars="200"/>
        <w:rPr>
          <w:rFonts w:ascii="仿宋" w:hAnsi="仿宋" w:eastAsia="仿宋"/>
          <w:color w:val="000000"/>
          <w:sz w:val="32"/>
          <w:szCs w:val="32"/>
        </w:rPr>
      </w:pPr>
    </w:p>
    <w:p>
      <w:pPr>
        <w:spacing w:line="600" w:lineRule="exact"/>
        <w:ind w:firstLine="472" w:firstLineChars="147"/>
        <w:outlineLvl w:val="2"/>
        <w:rPr>
          <w:rFonts w:ascii="仿宋" w:hAnsi="仿宋" w:eastAsia="仿宋"/>
          <w:b/>
          <w:color w:val="000000"/>
          <w:sz w:val="32"/>
          <w:szCs w:val="32"/>
        </w:rPr>
      </w:pPr>
      <w:bookmarkStart w:id="48" w:name="_Toc15377211"/>
      <w:r>
        <w:rPr>
          <w:rFonts w:hint="eastAsia" w:ascii="仿宋" w:hAnsi="仿宋" w:eastAsia="仿宋"/>
          <w:b/>
          <w:color w:val="000000"/>
          <w:sz w:val="32"/>
          <w:szCs w:val="32"/>
        </w:rPr>
        <w:t>（二）一般公共预算财政拨款支出决算结构情况</w:t>
      </w:r>
      <w:bookmarkEnd w:id="48"/>
    </w:p>
    <w:p>
      <w:pPr>
        <w:ind w:firstLine="641"/>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w:t>
      </w:r>
      <w:r>
        <w:rPr>
          <w:rFonts w:hint="eastAsia" w:ascii="仿宋" w:hAnsi="仿宋" w:eastAsia="仿宋"/>
          <w:color w:val="000000" w:themeColor="text1"/>
          <w:sz w:val="32"/>
          <w:szCs w:val="32"/>
          <w:lang w:val="en-US" w:eastAsia="zh-CN"/>
        </w:rPr>
        <w:t>310.42</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一般公共服务支出</w:t>
      </w:r>
      <w:r>
        <w:rPr>
          <w:rFonts w:hint="eastAsia" w:ascii="仿宋" w:hAnsi="仿宋" w:eastAsia="仿宋"/>
          <w:color w:val="000000" w:themeColor="text1"/>
          <w:sz w:val="32"/>
          <w:szCs w:val="32"/>
          <w:lang w:val="en-US" w:eastAsia="zh-CN"/>
        </w:rPr>
        <w:t>254.76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82.07</w:t>
      </w:r>
      <w:r>
        <w:rPr>
          <w:rFonts w:ascii="仿宋" w:hAnsi="仿宋" w:eastAsia="仿宋"/>
          <w:color w:val="000000" w:themeColor="text1"/>
          <w:sz w:val="32"/>
          <w:szCs w:val="32"/>
        </w:rPr>
        <w:t>%</w:t>
      </w:r>
      <w:r>
        <w:rPr>
          <w:rFonts w:hint="eastAsia" w:ascii="仿宋" w:hAnsi="仿宋" w:eastAsia="仿宋"/>
          <w:color w:val="000000" w:themeColor="text1"/>
          <w:sz w:val="32"/>
          <w:szCs w:val="32"/>
        </w:rPr>
        <w:t>；社会保障和就业支出</w:t>
      </w:r>
      <w:r>
        <w:rPr>
          <w:rFonts w:hint="eastAsia" w:ascii="仿宋" w:hAnsi="仿宋" w:eastAsia="仿宋"/>
          <w:color w:val="000000" w:themeColor="text1"/>
          <w:sz w:val="32"/>
          <w:szCs w:val="32"/>
          <w:lang w:val="en-US" w:eastAsia="zh-CN"/>
        </w:rPr>
        <w:t>24.28</w:t>
      </w:r>
      <w:r>
        <w:rPr>
          <w:rFonts w:hint="eastAsia" w:ascii="仿宋" w:hAnsi="仿宋" w:eastAsia="仿宋"/>
          <w:color w:val="000000" w:themeColor="text1"/>
          <w:sz w:val="32"/>
          <w:szCs w:val="32"/>
        </w:rPr>
        <w:t>万元，占7.</w:t>
      </w:r>
      <w:r>
        <w:rPr>
          <w:rFonts w:hint="eastAsia" w:ascii="仿宋" w:hAnsi="仿宋" w:eastAsia="仿宋"/>
          <w:color w:val="000000" w:themeColor="text1"/>
          <w:sz w:val="32"/>
          <w:szCs w:val="32"/>
          <w:lang w:val="en-US" w:eastAsia="zh-CN"/>
        </w:rPr>
        <w:t>82</w:t>
      </w:r>
      <w:r>
        <w:rPr>
          <w:rFonts w:ascii="仿宋" w:hAnsi="仿宋" w:eastAsia="仿宋"/>
          <w:color w:val="000000" w:themeColor="text1"/>
          <w:sz w:val="32"/>
          <w:szCs w:val="32"/>
        </w:rPr>
        <w:t>%</w:t>
      </w:r>
      <w:r>
        <w:rPr>
          <w:rFonts w:hint="eastAsia" w:ascii="仿宋" w:hAnsi="仿宋" w:eastAsia="仿宋"/>
          <w:color w:val="000000" w:themeColor="text1"/>
          <w:sz w:val="32"/>
          <w:szCs w:val="32"/>
        </w:rPr>
        <w:t>；卫生健康支出</w:t>
      </w:r>
      <w:r>
        <w:rPr>
          <w:rFonts w:hint="eastAsia" w:ascii="仿宋" w:hAnsi="仿宋" w:eastAsia="仿宋"/>
          <w:color w:val="000000" w:themeColor="text1"/>
          <w:sz w:val="32"/>
          <w:szCs w:val="32"/>
          <w:lang w:val="en-US" w:eastAsia="zh-CN"/>
        </w:rPr>
        <w:t>9.93</w:t>
      </w:r>
      <w:r>
        <w:rPr>
          <w:rFonts w:hint="eastAsia" w:ascii="仿宋" w:hAnsi="仿宋" w:eastAsia="仿宋"/>
          <w:color w:val="000000" w:themeColor="text1"/>
          <w:sz w:val="32"/>
          <w:szCs w:val="32"/>
        </w:rPr>
        <w:t>万元，占3.</w:t>
      </w:r>
      <w:r>
        <w:rPr>
          <w:rFonts w:hint="eastAsia" w:ascii="仿宋" w:hAnsi="仿宋" w:eastAsia="仿宋"/>
          <w:color w:val="000000" w:themeColor="text1"/>
          <w:sz w:val="32"/>
          <w:szCs w:val="32"/>
          <w:lang w:val="en-US" w:eastAsia="zh-CN"/>
        </w:rPr>
        <w:t>20</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21.45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6.91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ascii="仿宋" w:hAnsi="仿宋" w:eastAsia="仿宋"/>
          <w:color w:val="000000" w:themeColor="text1"/>
          <w:sz w:val="32"/>
          <w:szCs w:val="32"/>
        </w:rPr>
        <w:t xml:space="preserve"> </w:t>
      </w:r>
      <w:r>
        <w:rPr>
          <w:rFonts w:ascii="仿宋" w:hAnsi="仿宋" w:eastAsia="仿宋"/>
          <w:color w:val="000000" w:themeColor="text1"/>
          <w:sz w:val="32"/>
          <w:szCs w:val="32"/>
        </w:rPr>
        <w:drawing>
          <wp:inline distT="0" distB="0" distL="0" distR="0">
            <wp:extent cx="5274310" cy="3076575"/>
            <wp:effectExtent l="38100" t="0" r="254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rPr>
          <w:rFonts w:ascii="仿宋" w:hAnsi="仿宋" w:eastAsia="仿宋"/>
          <w:color w:val="000000" w:themeColor="text1"/>
          <w:sz w:val="32"/>
          <w:szCs w:val="32"/>
        </w:rPr>
      </w:pPr>
    </w:p>
    <w:p>
      <w:pPr>
        <w:spacing w:line="600" w:lineRule="exact"/>
        <w:ind w:firstLine="472" w:firstLineChars="147"/>
        <w:outlineLvl w:val="2"/>
        <w:rPr>
          <w:rFonts w:ascii="仿宋" w:hAnsi="仿宋" w:eastAsia="仿宋"/>
          <w:b/>
          <w:color w:val="000000"/>
          <w:sz w:val="32"/>
          <w:szCs w:val="32"/>
        </w:rPr>
      </w:pPr>
      <w:bookmarkStart w:id="49" w:name="_Toc15377212"/>
      <w:r>
        <w:rPr>
          <w:rFonts w:hint="eastAsia" w:ascii="仿宋" w:hAnsi="仿宋" w:eastAsia="仿宋"/>
          <w:b/>
          <w:color w:val="000000"/>
          <w:sz w:val="32"/>
          <w:szCs w:val="32"/>
        </w:rPr>
        <w:t>（三）一般公共预算财政拨款支出决算具体情况</w:t>
      </w:r>
      <w:bookmarkEnd w:id="49"/>
    </w:p>
    <w:p>
      <w:pPr>
        <w:spacing w:line="600" w:lineRule="exact"/>
        <w:ind w:firstLine="643" w:firstLineChars="200"/>
        <w:outlineLvl w:val="2"/>
        <w:rPr>
          <w:rFonts w:ascii="仿宋" w:hAnsi="仿宋" w:eastAsia="仿宋"/>
          <w:color w:val="FF0000"/>
          <w:sz w:val="32"/>
          <w:szCs w:val="32"/>
        </w:rPr>
      </w:pPr>
      <w:bookmarkStart w:id="50" w:name="_Toc15377213"/>
      <w:bookmarkStart w:id="51" w:name="_Toc15377444"/>
      <w:bookmarkStart w:id="52" w:name="_Toc15378460"/>
      <w:r>
        <w:rPr>
          <w:rFonts w:hint="eastAsia" w:ascii="仿宋" w:hAnsi="仿宋" w:eastAsia="仿宋"/>
          <w:b/>
          <w:color w:val="000000" w:themeColor="text1"/>
          <w:sz w:val="32"/>
          <w:szCs w:val="32"/>
        </w:rPr>
        <w:t>20</w:t>
      </w:r>
      <w:r>
        <w:rPr>
          <w:rFonts w:hint="eastAsia" w:ascii="仿宋" w:hAnsi="仿宋" w:eastAsia="仿宋"/>
          <w:b/>
          <w:color w:val="000000" w:themeColor="text1"/>
          <w:sz w:val="32"/>
          <w:szCs w:val="32"/>
          <w:lang w:val="en-US" w:eastAsia="zh-CN"/>
        </w:rPr>
        <w:t>20</w:t>
      </w:r>
      <w:r>
        <w:rPr>
          <w:rFonts w:hint="eastAsia" w:ascii="仿宋" w:hAnsi="仿宋" w:eastAsia="仿宋"/>
          <w:b/>
          <w:color w:val="000000" w:themeColor="text1"/>
          <w:sz w:val="32"/>
          <w:szCs w:val="32"/>
        </w:rPr>
        <w:t>年一般公共预算支出决算数</w:t>
      </w:r>
      <w:r>
        <w:rPr>
          <w:rFonts w:hint="eastAsia" w:ascii="仿宋" w:hAnsi="仿宋" w:eastAsia="仿宋"/>
          <w:b/>
          <w:color w:val="000000" w:themeColor="text1"/>
          <w:sz w:val="32"/>
          <w:szCs w:val="32"/>
          <w:lang w:val="en-US" w:eastAsia="zh-CN"/>
        </w:rPr>
        <w:t>310.42，</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98.40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50"/>
      <w:bookmarkEnd w:id="51"/>
      <w:bookmarkEnd w:id="52"/>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一般公共服务支出：</w:t>
      </w:r>
      <w:r>
        <w:rPr>
          <w:rStyle w:val="14"/>
          <w:rFonts w:hint="eastAsia" w:ascii="仿宋" w:hAnsi="仿宋" w:eastAsia="仿宋"/>
          <w:b w:val="0"/>
          <w:bCs/>
          <w:color w:val="000000"/>
          <w:sz w:val="32"/>
          <w:szCs w:val="32"/>
        </w:rPr>
        <w:t>事业运行支出决算</w:t>
      </w:r>
      <w:r>
        <w:rPr>
          <w:rStyle w:val="14"/>
          <w:rFonts w:hint="eastAsia" w:ascii="仿宋" w:hAnsi="仿宋" w:eastAsia="仿宋"/>
          <w:b w:val="0"/>
          <w:bCs/>
          <w:color w:val="000000"/>
          <w:sz w:val="32"/>
          <w:szCs w:val="32"/>
          <w:lang w:val="en-US" w:eastAsia="zh-CN"/>
        </w:rPr>
        <w:t>245.81</w:t>
      </w:r>
      <w:r>
        <w:rPr>
          <w:rStyle w:val="14"/>
          <w:rFonts w:hint="eastAsia" w:ascii="仿宋" w:hAnsi="仿宋" w:eastAsia="仿宋"/>
          <w:b w:val="0"/>
          <w:bCs/>
          <w:color w:val="000000"/>
          <w:sz w:val="32"/>
          <w:szCs w:val="32"/>
        </w:rPr>
        <w:t>万元，完成预算数</w:t>
      </w:r>
      <w:r>
        <w:rPr>
          <w:rStyle w:val="14"/>
          <w:rFonts w:hint="eastAsia" w:ascii="仿宋" w:hAnsi="仿宋" w:eastAsia="仿宋"/>
          <w:b w:val="0"/>
          <w:bCs/>
          <w:color w:val="000000"/>
          <w:sz w:val="32"/>
          <w:szCs w:val="32"/>
          <w:lang w:val="en-US" w:eastAsia="zh-CN"/>
        </w:rPr>
        <w:t>96.92</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；一般行政管理事务支出决算数</w:t>
      </w:r>
      <w:r>
        <w:rPr>
          <w:rStyle w:val="14"/>
          <w:rFonts w:hint="eastAsia" w:ascii="仿宋" w:hAnsi="仿宋" w:eastAsia="仿宋"/>
          <w:b w:val="0"/>
          <w:bCs/>
          <w:color w:val="000000"/>
          <w:sz w:val="32"/>
          <w:szCs w:val="32"/>
          <w:lang w:val="en-US" w:eastAsia="zh-CN"/>
        </w:rPr>
        <w:t>8.95万元，完成预算数70.20%，</w:t>
      </w:r>
      <w:r>
        <w:rPr>
          <w:rStyle w:val="14"/>
          <w:rFonts w:hint="eastAsia" w:ascii="仿宋" w:hAnsi="仿宋" w:eastAsia="仿宋"/>
          <w:b w:val="0"/>
          <w:bCs/>
          <w:color w:val="000000"/>
          <w:sz w:val="32"/>
          <w:szCs w:val="32"/>
        </w:rPr>
        <w:t>决算数小于预算数的主要原因是办公经费等支出减少。</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社会保障和就业支出</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机关事业单位基本养老保险缴费支出决算为</w:t>
      </w:r>
      <w:r>
        <w:rPr>
          <w:rStyle w:val="14"/>
          <w:rFonts w:hint="eastAsia" w:ascii="仿宋" w:hAnsi="仿宋" w:eastAsia="仿宋"/>
          <w:b w:val="0"/>
          <w:bCs/>
          <w:color w:val="000000"/>
          <w:sz w:val="32"/>
          <w:szCs w:val="32"/>
          <w:lang w:val="en-US" w:eastAsia="zh-CN"/>
        </w:rPr>
        <w:t>22.47</w:t>
      </w:r>
      <w:r>
        <w:rPr>
          <w:rStyle w:val="14"/>
          <w:rFonts w:hint="eastAsia" w:ascii="仿宋" w:hAnsi="仿宋" w:eastAsia="仿宋"/>
          <w:b w:val="0"/>
          <w:bCs/>
          <w:color w:val="000000"/>
          <w:sz w:val="32"/>
          <w:szCs w:val="32"/>
        </w:rPr>
        <w:t>万元，完成预算数100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；其他社会保障和就业支出决算为</w:t>
      </w:r>
      <w:r>
        <w:rPr>
          <w:rStyle w:val="14"/>
          <w:rFonts w:hint="eastAsia" w:ascii="仿宋" w:hAnsi="仿宋" w:eastAsia="仿宋"/>
          <w:b w:val="0"/>
          <w:bCs/>
          <w:color w:val="000000"/>
          <w:sz w:val="32"/>
          <w:szCs w:val="32"/>
          <w:lang w:val="en-US" w:eastAsia="zh-CN"/>
        </w:rPr>
        <w:t>1.81</w:t>
      </w:r>
      <w:r>
        <w:rPr>
          <w:rStyle w:val="14"/>
          <w:rFonts w:hint="eastAsia" w:ascii="仿宋" w:hAnsi="仿宋" w:eastAsia="仿宋"/>
          <w:b w:val="0"/>
          <w:bCs/>
          <w:color w:val="000000"/>
          <w:sz w:val="32"/>
          <w:szCs w:val="32"/>
        </w:rPr>
        <w:t>万元，完成预算数100%。</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 xml:space="preserve"> 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卫生健康支出</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事业单位医疗支出决算为</w:t>
      </w:r>
      <w:r>
        <w:rPr>
          <w:rStyle w:val="14"/>
          <w:rFonts w:hint="eastAsia" w:ascii="仿宋" w:hAnsi="仿宋" w:eastAsia="仿宋"/>
          <w:b w:val="0"/>
          <w:bCs/>
          <w:color w:val="000000"/>
          <w:sz w:val="32"/>
          <w:szCs w:val="32"/>
          <w:lang w:val="en-US" w:eastAsia="zh-CN"/>
        </w:rPr>
        <w:t>8.68</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；公务员医疗补助支出决算数为1.</w:t>
      </w:r>
      <w:r>
        <w:rPr>
          <w:rStyle w:val="14"/>
          <w:rFonts w:hint="eastAsia" w:ascii="仿宋" w:hAnsi="仿宋" w:eastAsia="仿宋"/>
          <w:b w:val="0"/>
          <w:bCs/>
          <w:color w:val="000000"/>
          <w:sz w:val="32"/>
          <w:szCs w:val="32"/>
          <w:lang w:val="en-US" w:eastAsia="zh-CN"/>
        </w:rPr>
        <w:t>24</w:t>
      </w:r>
      <w:r>
        <w:rPr>
          <w:rStyle w:val="14"/>
          <w:rFonts w:hint="eastAsia" w:ascii="仿宋" w:hAnsi="仿宋" w:eastAsia="仿宋"/>
          <w:b w:val="0"/>
          <w:bCs/>
          <w:color w:val="000000"/>
          <w:sz w:val="32"/>
          <w:szCs w:val="32"/>
        </w:rPr>
        <w:t>万元，完成预算数100%。</w:t>
      </w:r>
    </w:p>
    <w:p>
      <w:pPr>
        <w:spacing w:line="600" w:lineRule="exact"/>
        <w:ind w:firstLine="960" w:firstLineChars="300"/>
        <w:rPr>
          <w:rStyle w:val="14"/>
          <w:rFonts w:hint="eastAsia"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rPr>
        <w:t>4、住房保障支出：住房公积金支出</w:t>
      </w:r>
      <w:r>
        <w:rPr>
          <w:rStyle w:val="14"/>
          <w:rFonts w:hint="eastAsia" w:ascii="仿宋" w:hAnsi="仿宋" w:eastAsia="仿宋"/>
          <w:b w:val="0"/>
          <w:bCs/>
          <w:color w:val="000000"/>
          <w:sz w:val="32"/>
          <w:szCs w:val="32"/>
          <w:lang w:val="en-US" w:eastAsia="zh-CN"/>
        </w:rPr>
        <w:t>21.45</w:t>
      </w:r>
      <w:r>
        <w:rPr>
          <w:rStyle w:val="14"/>
          <w:rFonts w:hint="eastAsia" w:ascii="仿宋" w:hAnsi="仿宋" w:eastAsia="仿宋"/>
          <w:b w:val="0"/>
          <w:bCs/>
          <w:color w:val="000000"/>
          <w:sz w:val="32"/>
          <w:szCs w:val="32"/>
        </w:rPr>
        <w:t>万元，完成预算数</w:t>
      </w:r>
      <w:r>
        <w:rPr>
          <w:rStyle w:val="14"/>
          <w:rFonts w:hint="eastAsia" w:ascii="仿宋" w:hAnsi="仿宋" w:eastAsia="仿宋"/>
          <w:b w:val="0"/>
          <w:bCs/>
          <w:color w:val="000000"/>
          <w:sz w:val="32"/>
          <w:szCs w:val="32"/>
          <w:lang w:val="en-US" w:eastAsia="zh-CN"/>
        </w:rPr>
        <w:t>100</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27" w:firstLineChars="196"/>
        <w:outlineLvl w:val="1"/>
        <w:rPr>
          <w:rStyle w:val="25"/>
        </w:rPr>
      </w:pPr>
      <w:bookmarkStart w:id="53" w:name="_Toc17103559"/>
      <w:bookmarkStart w:id="54" w:name="_Toc15377214"/>
      <w:bookmarkStart w:id="55" w:name="_Toc5071"/>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53"/>
      <w:bookmarkEnd w:id="54"/>
      <w:bookmarkEnd w:id="5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301.47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285.83</w:t>
      </w:r>
      <w:r>
        <w:rPr>
          <w:rFonts w:hint="eastAsia" w:ascii="仿宋" w:hAnsi="仿宋" w:eastAsia="仿宋"/>
          <w:color w:val="000000"/>
          <w:sz w:val="32"/>
          <w:szCs w:val="32"/>
        </w:rPr>
        <w:t>万元，主要包括：基本工资、津贴补贴、奖金、绩效工资、机关事业单位基本养老保险缴费、职业年金缴费、其他社会保障缴费、其他工资福利支出、医疗费、住房公积金等。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24.52</w:t>
      </w:r>
      <w:r>
        <w:rPr>
          <w:rFonts w:hint="eastAsia" w:ascii="仿宋" w:hAnsi="仿宋" w:eastAsia="仿宋"/>
          <w:color w:val="000000"/>
          <w:sz w:val="32"/>
          <w:szCs w:val="32"/>
        </w:rPr>
        <w:t>万元，主要包括：办公费、印刷费、水费、电费、邮电费、差旅费、维修（护）费、租赁费、会议费、培训费、公务接待费、工会经费、福利费、公务用车运行维护费、其他商品和服务支出等。</w:t>
      </w:r>
    </w:p>
    <w:p>
      <w:pPr>
        <w:spacing w:line="600" w:lineRule="exact"/>
        <w:ind w:firstLine="640"/>
        <w:rPr>
          <w:rFonts w:hint="eastAsia" w:ascii="仿宋" w:hAnsi="仿宋" w:eastAsia="仿宋"/>
          <w:b/>
          <w:color w:val="000000" w:themeColor="text1"/>
          <w:sz w:val="32"/>
          <w:szCs w:val="32"/>
        </w:rPr>
      </w:pPr>
      <w:r>
        <w:rPr>
          <w:rFonts w:hint="eastAsia" w:ascii="仿宋" w:hAnsi="仿宋" w:eastAsia="仿宋"/>
          <w:b/>
          <w:color w:val="000000" w:themeColor="text1"/>
          <w:sz w:val="32"/>
          <w:szCs w:val="32"/>
        </w:rPr>
        <w:t>（数据来源财决</w:t>
      </w:r>
      <w:r>
        <w:rPr>
          <w:rFonts w:ascii="仿宋" w:hAnsi="仿宋" w:eastAsia="仿宋"/>
          <w:b/>
          <w:color w:val="000000" w:themeColor="text1"/>
          <w:sz w:val="32"/>
          <w:szCs w:val="32"/>
        </w:rPr>
        <w:t>0</w:t>
      </w:r>
      <w:r>
        <w:rPr>
          <w:rFonts w:hint="eastAsia" w:ascii="仿宋" w:hAnsi="仿宋" w:eastAsia="仿宋"/>
          <w:b/>
          <w:color w:val="000000" w:themeColor="text1"/>
          <w:sz w:val="32"/>
          <w:szCs w:val="32"/>
        </w:rPr>
        <w:t>7表，根据本部门实际支出情况罗列全部经济分类科目。）</w:t>
      </w:r>
      <w:bookmarkStart w:id="56" w:name="_Toc17103560"/>
      <w:bookmarkStart w:id="57" w:name="_Toc15377215"/>
    </w:p>
    <w:p>
      <w:pPr>
        <w:spacing w:line="600" w:lineRule="exact"/>
        <w:ind w:firstLine="640"/>
        <w:rPr>
          <w:rStyle w:val="25"/>
          <w:rFonts w:ascii="仿宋" w:hAnsi="仿宋" w:eastAsia="仿宋" w:cs="Times New Roman"/>
          <w:bCs w:val="0"/>
          <w:color w:val="000000" w:themeColor="text1"/>
        </w:rPr>
      </w:pPr>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6"/>
      <w:bookmarkEnd w:id="57"/>
    </w:p>
    <w:p>
      <w:pPr>
        <w:spacing w:line="600" w:lineRule="exact"/>
        <w:ind w:firstLine="472" w:firstLineChars="147"/>
        <w:outlineLvl w:val="2"/>
        <w:rPr>
          <w:rFonts w:ascii="仿宋" w:hAnsi="仿宋" w:eastAsia="仿宋"/>
          <w:b/>
          <w:color w:val="000000"/>
          <w:sz w:val="32"/>
          <w:szCs w:val="32"/>
        </w:rPr>
      </w:pPr>
      <w:bookmarkStart w:id="58" w:name="_Toc15377216"/>
      <w:r>
        <w:rPr>
          <w:rFonts w:hint="eastAsia" w:ascii="仿宋" w:hAnsi="仿宋" w:eastAsia="仿宋"/>
          <w:b/>
          <w:color w:val="000000"/>
          <w:sz w:val="32"/>
          <w:szCs w:val="32"/>
        </w:rPr>
        <w:t>（一）“三公”经费财政拨款支出决算总体情况说明</w:t>
      </w:r>
      <w:bookmarkEnd w:id="58"/>
    </w:p>
    <w:p>
      <w:pPr>
        <w:ind w:firstLine="641"/>
        <w:jc w:val="left"/>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2.56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59.53</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，决算数小于预算数的主要原因是节约公务接待费、公务车运行维护费。</w:t>
      </w:r>
      <w:r>
        <w:rPr>
          <w:rFonts w:ascii="仿宋" w:hAnsi="仿宋" w:eastAsia="仿宋"/>
          <w:color w:val="000000"/>
          <w:sz w:val="32"/>
          <w:szCs w:val="32"/>
        </w:rPr>
        <w:drawing>
          <wp:inline distT="0" distB="0" distL="0" distR="0">
            <wp:extent cx="5274310" cy="307657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160" w:firstLineChars="50"/>
        <w:rPr>
          <w:rFonts w:ascii="仿宋" w:hAnsi="仿宋" w:eastAsia="仿宋"/>
          <w:color w:val="000000"/>
          <w:sz w:val="32"/>
          <w:szCs w:val="32"/>
        </w:rPr>
      </w:pPr>
      <w:r>
        <w:rPr>
          <w:rFonts w:hint="eastAsia" w:ascii="仿宋" w:hAnsi="仿宋" w:eastAsia="仿宋"/>
          <w:color w:val="000000"/>
          <w:sz w:val="32"/>
          <w:szCs w:val="32"/>
        </w:rPr>
        <w:t>（图7：“三公”经费财政拨款预、决算支出结构）（柱状图）</w:t>
      </w:r>
    </w:p>
    <w:p>
      <w:pPr>
        <w:spacing w:line="600" w:lineRule="exact"/>
        <w:ind w:firstLine="472" w:firstLineChars="147"/>
        <w:outlineLvl w:val="2"/>
        <w:rPr>
          <w:rFonts w:ascii="仿宋" w:hAnsi="仿宋" w:eastAsia="仿宋"/>
          <w:b/>
          <w:color w:val="000000"/>
          <w:sz w:val="32"/>
          <w:szCs w:val="32"/>
        </w:rPr>
      </w:pPr>
      <w:bookmarkStart w:id="59" w:name="_Toc15377217"/>
      <w:r>
        <w:rPr>
          <w:rFonts w:hint="eastAsia" w:ascii="仿宋" w:hAnsi="仿宋" w:eastAsia="仿宋"/>
          <w:b/>
          <w:color w:val="000000"/>
          <w:sz w:val="32"/>
          <w:szCs w:val="32"/>
        </w:rPr>
        <w:t>（二）“三公”经费财政拨款支出决算具体情况说明</w:t>
      </w:r>
      <w:bookmarkEnd w:id="59"/>
    </w:p>
    <w:p>
      <w:pPr>
        <w:ind w:firstLine="641"/>
        <w:jc w:val="left"/>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年“三公”经费财政拨款支出决算中，无因公出国（境）费支出；公务用车购置及运行维护费支出决算</w:t>
      </w:r>
      <w:r>
        <w:rPr>
          <w:rFonts w:hint="eastAsia" w:ascii="仿宋" w:hAnsi="仿宋" w:eastAsia="仿宋"/>
          <w:color w:val="000000"/>
          <w:sz w:val="32"/>
          <w:szCs w:val="32"/>
          <w:lang w:val="en-US" w:eastAsia="zh-CN"/>
        </w:rPr>
        <w:t>2.56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无</w:t>
      </w:r>
      <w:r>
        <w:rPr>
          <w:rFonts w:hint="eastAsia" w:ascii="仿宋" w:hAnsi="仿宋" w:eastAsia="仿宋"/>
          <w:color w:val="000000"/>
          <w:sz w:val="32"/>
          <w:szCs w:val="32"/>
        </w:rPr>
        <w:t>公务接待费支出。具体情况如下：</w:t>
      </w:r>
      <w:r>
        <w:rPr>
          <w:rFonts w:ascii="仿宋" w:hAnsi="仿宋" w:eastAsia="仿宋"/>
          <w:color w:val="000000"/>
          <w:sz w:val="32"/>
          <w:szCs w:val="32"/>
        </w:rPr>
        <w:drawing>
          <wp:inline distT="0" distB="0" distL="0" distR="0">
            <wp:extent cx="5274310" cy="3076575"/>
            <wp:effectExtent l="38100" t="0" r="254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无因公出国（境）经费支出</w:t>
      </w:r>
      <w:r>
        <w:rPr>
          <w:rFonts w:hint="eastAsia" w:ascii="仿宋_GB2312" w:eastAsia="仿宋_GB2312"/>
          <w:color w:val="000000"/>
          <w:sz w:val="32"/>
          <w:szCs w:val="32"/>
        </w:rPr>
        <w:t>。</w:t>
      </w:r>
    </w:p>
    <w:p>
      <w:pPr>
        <w:spacing w:line="600" w:lineRule="exact"/>
        <w:ind w:firstLine="640"/>
        <w:rPr>
          <w:rFonts w:hint="default" w:ascii="仿宋_GB2312" w:eastAsia="仿宋_GB2312"/>
          <w:b/>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2.56</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73.14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30.61</w:t>
      </w:r>
      <w:r>
        <w:rPr>
          <w:rFonts w:ascii="仿宋_GB2312" w:eastAsia="仿宋_GB2312"/>
          <w:color w:val="000000"/>
          <w:sz w:val="32"/>
          <w:szCs w:val="32"/>
        </w:rPr>
        <w:t>%</w:t>
      </w:r>
      <w:r>
        <w:rPr>
          <w:rFonts w:hint="eastAsia" w:ascii="仿宋_GB2312" w:eastAsia="仿宋_GB2312"/>
          <w:color w:val="000000"/>
          <w:sz w:val="32"/>
          <w:szCs w:val="32"/>
        </w:rPr>
        <w:t>。主要原因是由于公务用车</w:t>
      </w:r>
      <w:r>
        <w:rPr>
          <w:rFonts w:hint="eastAsia" w:ascii="仿宋_GB2312" w:eastAsia="仿宋_GB2312"/>
          <w:color w:val="000000"/>
          <w:sz w:val="32"/>
          <w:szCs w:val="32"/>
          <w:lang w:eastAsia="zh-CN"/>
        </w:rPr>
        <w:t>增加</w:t>
      </w:r>
      <w:r>
        <w:rPr>
          <w:rFonts w:hint="eastAsia" w:ascii="仿宋_GB2312" w:eastAsia="仿宋_GB2312"/>
          <w:color w:val="000000"/>
          <w:sz w:val="32"/>
          <w:szCs w:val="32"/>
        </w:rPr>
        <w:t>2辆。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2.56</w:t>
      </w:r>
      <w:r>
        <w:rPr>
          <w:rFonts w:hint="eastAsia" w:ascii="仿宋_GB2312" w:eastAsia="仿宋_GB2312"/>
          <w:color w:val="000000"/>
          <w:sz w:val="32"/>
          <w:szCs w:val="32"/>
        </w:rPr>
        <w:t>万元。主要用于房屋征收工作所需的公务用车燃料费、维修费、过路过桥费、保险费等支出。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lang w:eastAsia="zh-CN"/>
        </w:rPr>
        <w:t>无</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w:t>
      </w:r>
    </w:p>
    <w:p>
      <w:pPr>
        <w:spacing w:line="600" w:lineRule="exact"/>
        <w:ind w:firstLine="640" w:firstLineChars="200"/>
        <w:outlineLvl w:val="1"/>
        <w:rPr>
          <w:rStyle w:val="25"/>
          <w:rFonts w:ascii="黑体" w:hAnsi="黑体" w:eastAsia="黑体"/>
        </w:rPr>
      </w:pPr>
      <w:bookmarkStart w:id="60" w:name="_Toc15377218"/>
      <w:bookmarkStart w:id="61" w:name="_Toc17103561"/>
      <w:bookmarkStart w:id="62" w:name="_Toc21912"/>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60"/>
      <w:bookmarkEnd w:id="61"/>
      <w:bookmarkEnd w:id="6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年无政府性基金预算拨款收支出，年初结转结余10万元。</w:t>
      </w:r>
    </w:p>
    <w:p>
      <w:pPr>
        <w:spacing w:line="600" w:lineRule="exact"/>
        <w:ind w:firstLine="643" w:firstLineChars="200"/>
        <w:outlineLvl w:val="1"/>
        <w:rPr>
          <w:rStyle w:val="25"/>
          <w:rFonts w:ascii="黑体" w:hAnsi="黑体" w:eastAsia="黑体"/>
          <w:b w:val="0"/>
        </w:rPr>
      </w:pPr>
      <w:bookmarkStart w:id="63" w:name="_Toc15377219"/>
      <w:bookmarkStart w:id="64" w:name="_Toc17103562"/>
      <w:bookmarkStart w:id="65" w:name="_Toc14711"/>
      <w:r>
        <w:rPr>
          <w:rFonts w:hint="eastAsia" w:ascii="黑体" w:hAnsi="黑体" w:eastAsia="黑体"/>
          <w:b/>
          <w:color w:val="000000"/>
          <w:sz w:val="32"/>
          <w:szCs w:val="32"/>
        </w:rPr>
        <w:t>九、</w:t>
      </w:r>
      <w:r>
        <w:rPr>
          <w:rStyle w:val="25"/>
          <w:rFonts w:hint="eastAsia" w:ascii="黑体" w:hAnsi="黑体" w:eastAsia="黑体"/>
          <w:b w:val="0"/>
        </w:rPr>
        <w:t>国有资本经营预算支出决算情况说明</w:t>
      </w:r>
      <w:bookmarkEnd w:id="63"/>
      <w:bookmarkEnd w:id="64"/>
      <w:bookmarkEnd w:id="6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年没有国有资本经营预算拨款支出。</w:t>
      </w:r>
    </w:p>
    <w:p>
      <w:pPr>
        <w:pStyle w:val="23"/>
        <w:numPr>
          <w:ilvl w:val="0"/>
          <w:numId w:val="2"/>
        </w:numPr>
        <w:spacing w:line="580" w:lineRule="exact"/>
        <w:ind w:firstLineChars="0"/>
        <w:rPr>
          <w:rStyle w:val="25"/>
          <w:rFonts w:ascii="黑体" w:hAnsi="黑体" w:eastAsia="黑体"/>
          <w:b w:val="0"/>
        </w:rPr>
      </w:pPr>
      <w:bookmarkStart w:id="66" w:name="_Toc17103563"/>
      <w:bookmarkStart w:id="67" w:name="_Toc17241"/>
      <w:r>
        <w:rPr>
          <w:rStyle w:val="25"/>
          <w:rFonts w:hint="eastAsia" w:ascii="黑体" w:hAnsi="黑体" w:eastAsia="黑体"/>
          <w:b w:val="0"/>
        </w:rPr>
        <w:t>预算绩效情况说明</w:t>
      </w:r>
      <w:bookmarkEnd w:id="66"/>
    </w:p>
    <w:bookmarkEnd w:id="67"/>
    <w:p>
      <w:pPr>
        <w:numPr>
          <w:ilvl w:val="0"/>
          <w:numId w:val="3"/>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根据预算绩效管理要求，本单位在年初预算编制，预算执行方面开展了绩效目标执行情况梳理，通过加强预算收支管理，健全内部管理制度，单位整体支出管理情况等到提升。20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年支出总额控制在预算总额内，“三公”经费财政拨款预算数</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万元，支出决算数</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59.53</w:t>
      </w:r>
      <w:r>
        <w:rPr>
          <w:rFonts w:hint="eastAsia" w:ascii="仿宋_GB2312" w:hAnsi="仿宋_GB2312" w:eastAsia="仿宋_GB2312" w:cs="仿宋_GB2312"/>
          <w:sz w:val="32"/>
          <w:szCs w:val="32"/>
        </w:rPr>
        <w:t>%。</w:t>
      </w:r>
    </w:p>
    <w:p>
      <w:pPr>
        <w:spacing w:line="580" w:lineRule="exact"/>
        <w:ind w:firstLine="640" w:firstLineChars="200"/>
        <w:rPr>
          <w:rFonts w:hint="eastAsia" w:ascii="仿宋" w:hAnsi="仿宋" w:eastAsia="仿宋"/>
          <w:bCs/>
          <w:color w:val="000000"/>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 xml:space="preserve">年部门整体支出开展绩效自评，从评价情况来看预算执行情况较好，制度执行总体较为有效。                                  </w:t>
      </w:r>
      <w:r>
        <w:rPr>
          <w:rFonts w:hint="eastAsia" w:ascii="仿宋" w:hAnsi="仿宋" w:eastAsia="仿宋"/>
          <w:b/>
          <w:bCs/>
          <w:color w:val="000000"/>
          <w:sz w:val="32"/>
          <w:szCs w:val="32"/>
        </w:rPr>
        <w:t>完成预算100%</w:t>
      </w:r>
      <w:r>
        <w:rPr>
          <w:rFonts w:hint="eastAsia" w:ascii="仿宋" w:hAnsi="仿宋" w:eastAsia="仿宋"/>
          <w:bCs/>
          <w:color w:val="000000"/>
          <w:sz w:val="32"/>
          <w:szCs w:val="32"/>
        </w:rPr>
        <w:t>。</w:t>
      </w:r>
    </w:p>
    <w:p>
      <w:pPr>
        <w:spacing w:line="580" w:lineRule="exact"/>
        <w:ind w:firstLine="803" w:firstLineChars="250"/>
        <w:rPr>
          <w:rFonts w:ascii="仿宋_GB2312" w:hAnsi="仿宋_GB2312" w:eastAsia="仿宋_GB2312" w:cs="仿宋_GB2312"/>
          <w:sz w:val="32"/>
          <w:szCs w:val="32"/>
        </w:rPr>
      </w:pPr>
      <w:r>
        <w:rPr>
          <w:rFonts w:hint="eastAsia" w:ascii="仿宋" w:hAnsi="仿宋" w:eastAsia="仿宋"/>
          <w:b/>
          <w:bCs/>
          <w:color w:val="000000"/>
          <w:sz w:val="32"/>
          <w:szCs w:val="32"/>
        </w:rPr>
        <w:t>（二）</w:t>
      </w:r>
      <w:r>
        <w:rPr>
          <w:rFonts w:hint="eastAsia" w:ascii="仿宋" w:hAnsi="仿宋" w:eastAsia="仿宋" w:cs="楷体_GB2312"/>
          <w:b/>
          <w:bCs/>
          <w:sz w:val="32"/>
          <w:szCs w:val="32"/>
        </w:rPr>
        <w:t>项目绩效目标完成情况。</w:t>
      </w:r>
      <w:r>
        <w:rPr>
          <w:rFonts w:hint="eastAsia" w:ascii="仿宋_GB2312" w:hAnsi="仿宋_GB2312" w:eastAsia="仿宋_GB2312" w:cs="仿宋_GB2312"/>
          <w:sz w:val="32"/>
          <w:szCs w:val="32"/>
        </w:rPr>
        <w:t xml:space="preserve">    </w:t>
      </w:r>
    </w:p>
    <w:p>
      <w:pPr>
        <w:spacing w:line="580" w:lineRule="exact"/>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年度无50万以上项目。</w:t>
      </w:r>
    </w:p>
    <w:p>
      <w:pPr>
        <w:spacing w:line="580" w:lineRule="exact"/>
        <w:ind w:left="643"/>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0" w:type="auto"/>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spacing w:line="580" w:lineRule="exact"/>
        <w:ind w:firstLine="315" w:firstLineChars="98"/>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年部门整体支出绩效评价情况开展自评，《雁江区房屋征收局20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w:t>
      </w:r>
    </w:p>
    <w:p>
      <w:pPr>
        <w:spacing w:line="600" w:lineRule="exact"/>
        <w:ind w:firstLine="640" w:firstLineChars="200"/>
        <w:outlineLvl w:val="1"/>
        <w:rPr>
          <w:rStyle w:val="25"/>
          <w:rFonts w:ascii="黑体" w:hAnsi="黑体" w:eastAsia="黑体"/>
        </w:rPr>
      </w:pPr>
      <w:bookmarkStart w:id="68" w:name="_Toc15377221"/>
      <w:bookmarkStart w:id="69" w:name="_Toc17103564"/>
      <w:bookmarkStart w:id="70" w:name="_Toc12705"/>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68"/>
      <w:bookmarkEnd w:id="69"/>
      <w:bookmarkEnd w:id="70"/>
    </w:p>
    <w:p>
      <w:pPr>
        <w:spacing w:line="600" w:lineRule="exact"/>
        <w:ind w:firstLine="643" w:firstLineChars="200"/>
        <w:outlineLvl w:val="2"/>
        <w:rPr>
          <w:rFonts w:ascii="仿宋" w:hAnsi="仿宋" w:eastAsia="仿宋"/>
          <w:color w:val="000000"/>
          <w:sz w:val="32"/>
          <w:szCs w:val="32"/>
        </w:rPr>
      </w:pPr>
      <w:bookmarkStart w:id="71" w:name="_Toc15377222"/>
      <w:r>
        <w:rPr>
          <w:rFonts w:hint="eastAsia" w:ascii="仿宋" w:hAnsi="仿宋" w:eastAsia="仿宋"/>
          <w:b/>
          <w:color w:val="000000"/>
          <w:sz w:val="32"/>
          <w:szCs w:val="32"/>
        </w:rPr>
        <w:t>（一）机关运行经费支出情况</w:t>
      </w:r>
      <w:bookmarkEnd w:id="71"/>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年，雁江区房屋征收局机关运行经费支出</w:t>
      </w:r>
      <w:r>
        <w:rPr>
          <w:rFonts w:hint="eastAsia" w:ascii="仿宋_GB2312" w:eastAsia="仿宋_GB2312"/>
          <w:color w:val="000000"/>
          <w:sz w:val="32"/>
          <w:szCs w:val="32"/>
          <w:lang w:val="en-US" w:eastAsia="zh-CN"/>
        </w:rPr>
        <w:t>15.56</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10.21</w:t>
      </w:r>
      <w:r>
        <w:rPr>
          <w:rFonts w:hint="eastAsia" w:ascii="仿宋_GB2312" w:eastAsia="仿宋_GB2312"/>
          <w:color w:val="000000"/>
          <w:sz w:val="32"/>
          <w:szCs w:val="32"/>
        </w:rPr>
        <w:t>万元，减少</w:t>
      </w:r>
      <w:r>
        <w:rPr>
          <w:rFonts w:hint="eastAsia" w:ascii="仿宋_GB2312" w:eastAsia="仿宋_GB2312"/>
          <w:color w:val="000000"/>
          <w:sz w:val="32"/>
          <w:szCs w:val="32"/>
          <w:lang w:val="en-US" w:eastAsia="zh-CN"/>
        </w:rPr>
        <w:t>39.62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主要原因是公车改革，</w:t>
      </w:r>
      <w:r>
        <w:rPr>
          <w:rFonts w:hint="eastAsia" w:ascii="仿宋_GB2312" w:eastAsia="仿宋_GB2312"/>
          <w:color w:val="000000" w:themeColor="text1"/>
          <w:sz w:val="32"/>
          <w:szCs w:val="32"/>
          <w:lang w:eastAsia="zh-CN"/>
        </w:rPr>
        <w:t>增加</w:t>
      </w:r>
      <w:r>
        <w:rPr>
          <w:rFonts w:hint="eastAsia" w:ascii="仿宋_GB2312" w:eastAsia="仿宋_GB2312"/>
          <w:color w:val="000000" w:themeColor="text1"/>
          <w:sz w:val="32"/>
          <w:szCs w:val="32"/>
        </w:rPr>
        <w:t>公务用车2辆；减少办公费用及公务接待费用。</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2" w:name="_Toc15377223"/>
      <w:r>
        <w:rPr>
          <w:rFonts w:hint="eastAsia" w:ascii="仿宋" w:hAnsi="仿宋" w:eastAsia="仿宋"/>
          <w:b/>
          <w:color w:val="000000"/>
          <w:sz w:val="32"/>
          <w:szCs w:val="32"/>
        </w:rPr>
        <w:t>（二）政府采购支出情况</w:t>
      </w:r>
      <w:bookmarkEnd w:id="7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年，无政府采购支出。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3" w:name="_Toc15377224"/>
      <w:r>
        <w:rPr>
          <w:rFonts w:hint="eastAsia" w:ascii="仿宋" w:hAnsi="仿宋" w:eastAsia="仿宋"/>
          <w:b/>
          <w:color w:val="000000"/>
          <w:sz w:val="32"/>
          <w:szCs w:val="32"/>
        </w:rPr>
        <w:t>（三）国有资产占有使用情况</w:t>
      </w:r>
      <w:bookmarkEnd w:id="73"/>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日，雁江区房屋征收局共有车辆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辆，属于一般公务用车，单价均在50万元以下。</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autoSpaceDE w:val="0"/>
        <w:autoSpaceDN w:val="0"/>
        <w:adjustRightInd w:val="0"/>
        <w:spacing w:line="600" w:lineRule="exact"/>
        <w:jc w:val="left"/>
        <w:outlineLvl w:val="2"/>
        <w:rPr>
          <w:rFonts w:ascii="仿宋" w:hAnsi="仿宋" w:eastAsia="仿宋"/>
          <w:b/>
          <w:color w:val="000000"/>
          <w:sz w:val="32"/>
          <w:szCs w:val="32"/>
        </w:rPr>
      </w:pPr>
    </w:p>
    <w:p>
      <w:pPr>
        <w:numPr>
          <w:ilvl w:val="0"/>
          <w:numId w:val="4"/>
        </w:numPr>
        <w:spacing w:line="600" w:lineRule="exact"/>
        <w:ind w:firstLine="663" w:firstLineChars="150"/>
        <w:outlineLvl w:val="0"/>
        <w:rPr>
          <w:rStyle w:val="24"/>
          <w:rFonts w:ascii="黑体" w:hAnsi="黑体" w:eastAsia="黑体"/>
          <w:b w:val="0"/>
        </w:rPr>
      </w:pPr>
      <w:bookmarkStart w:id="74" w:name="_Toc15377225"/>
      <w:bookmarkStart w:id="75" w:name="_Toc17103565"/>
      <w:bookmarkStart w:id="76" w:name="_Toc32174"/>
      <w:r>
        <w:rPr>
          <w:rFonts w:hint="eastAsia" w:ascii="黑体" w:hAnsi="黑体" w:eastAsia="黑体"/>
          <w:b/>
          <w:color w:val="000000"/>
          <w:sz w:val="44"/>
          <w:szCs w:val="44"/>
        </w:rPr>
        <w:t>名</w:t>
      </w:r>
      <w:r>
        <w:rPr>
          <w:rStyle w:val="24"/>
          <w:rFonts w:hint="eastAsia" w:ascii="黑体" w:hAnsi="黑体" w:eastAsia="黑体"/>
          <w:b w:val="0"/>
        </w:rPr>
        <w:t>词解释</w:t>
      </w:r>
      <w:bookmarkEnd w:id="74"/>
      <w:bookmarkEnd w:id="75"/>
      <w:bookmarkEnd w:id="7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一般公共服务（类）政府办公厅（室）及相关机构事务（款）：一般行政管理事务（项）：指反映行政单位（包括实行公务员管理的事业单位）未单独设置项级科目的其他项目支出；事业运行（项）：指反映事业单位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社会保障和就业（类）行政事业单位离退休（款）：机关事业单位基本养老保险缴费支出（项）：指反映机关事业单位实施养老保险制度有单位缴纳的基本养老保险费支出；机关事业单位职业年金缴费支出（项）：指反映机关事业单位实施养老保险制度有单位缴纳的职业年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医疗卫生与计划生育（类）行政事业单位医疗（款）：事业单位医疗（项）：指反映财政部门安排的事业单位基本医疗保险缴费经费，为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节能环保（类）污染防治（款）水体（项）：指反映政府在排水、污水处理、水污染防治、湖库生态环境保护、水源地保护、国土江河综合整治、河流治理与保护、地下水修复与保护等方面的支出。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住房保障（类）住房改革支出（款）住房公积金（项）：指反映行政事业单位按人力资源和社会保障部、财政部规定的基本工资和津贴补贴以及规定比例为职工缴纳的住房公积金。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outlineLvl w:val="0"/>
        <w:rPr>
          <w:rFonts w:hint="eastAsia" w:ascii="黑体" w:hAnsi="黑体" w:eastAsia="黑体"/>
          <w:color w:val="000000"/>
          <w:sz w:val="44"/>
          <w:szCs w:val="44"/>
        </w:rPr>
      </w:pPr>
      <w:bookmarkStart w:id="77" w:name="_Toc17103566"/>
      <w:bookmarkStart w:id="78" w:name="_Toc15377226"/>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outlineLvl w:val="0"/>
        <w:rPr>
          <w:rStyle w:val="24"/>
          <w:rFonts w:ascii="黑体" w:hAnsi="黑体" w:eastAsia="黑体"/>
          <w:b w:val="0"/>
        </w:rPr>
      </w:pPr>
      <w:bookmarkStart w:id="79" w:name="_Toc25806"/>
      <w:r>
        <w:rPr>
          <w:rFonts w:hint="eastAsia" w:ascii="黑体" w:hAnsi="黑体" w:eastAsia="黑体"/>
          <w:color w:val="000000"/>
          <w:sz w:val="44"/>
          <w:szCs w:val="44"/>
        </w:rPr>
        <w:t>第</w:t>
      </w:r>
      <w:r>
        <w:rPr>
          <w:rStyle w:val="24"/>
          <w:rFonts w:hint="eastAsia" w:ascii="黑体" w:hAnsi="黑体" w:eastAsia="黑体"/>
          <w:b w:val="0"/>
        </w:rPr>
        <w:t>四部分 附件</w:t>
      </w:r>
      <w:bookmarkEnd w:id="77"/>
      <w:bookmarkEnd w:id="79"/>
    </w:p>
    <w:p>
      <w:pPr>
        <w:spacing w:line="600" w:lineRule="exact"/>
        <w:jc w:val="center"/>
        <w:outlineLvl w:val="0"/>
        <w:rPr>
          <w:rStyle w:val="24"/>
        </w:rPr>
      </w:pPr>
    </w:p>
    <w:p>
      <w:pPr>
        <w:pStyle w:val="3"/>
        <w:rPr>
          <w:rStyle w:val="24"/>
          <w:rFonts w:ascii="仿宋" w:hAnsi="仿宋" w:eastAsia="仿宋"/>
          <w:b w:val="0"/>
          <w:bCs w:val="0"/>
          <w:sz w:val="32"/>
          <w:szCs w:val="32"/>
        </w:rPr>
      </w:pPr>
      <w:bookmarkStart w:id="80" w:name="_Toc17103567"/>
      <w:bookmarkStart w:id="81" w:name="_Toc24010"/>
      <w:r>
        <w:rPr>
          <w:rStyle w:val="24"/>
          <w:rFonts w:hint="eastAsia" w:ascii="仿宋" w:hAnsi="仿宋" w:eastAsia="仿宋"/>
          <w:b w:val="0"/>
          <w:bCs w:val="0"/>
          <w:sz w:val="32"/>
          <w:szCs w:val="32"/>
        </w:rPr>
        <w:t>附件1</w:t>
      </w:r>
      <w:bookmarkEnd w:id="80"/>
      <w:bookmarkEnd w:id="81"/>
    </w:p>
    <w:p>
      <w:pPr>
        <w:spacing w:line="600" w:lineRule="exact"/>
        <w:jc w:val="center"/>
        <w:outlineLvl w:val="0"/>
        <w:rPr>
          <w:rFonts w:ascii="黑体" w:hAnsi="黑体" w:eastAsia="黑体" w:cs="方正小标宋简体"/>
          <w:sz w:val="36"/>
          <w:szCs w:val="36"/>
        </w:rPr>
      </w:pPr>
      <w:bookmarkStart w:id="82" w:name="_Toc30511"/>
      <w:bookmarkStart w:id="83" w:name="_Toc15396616"/>
      <w:bookmarkStart w:id="84" w:name="_Toc17103568"/>
      <w:r>
        <w:rPr>
          <w:rFonts w:hint="eastAsia" w:ascii="黑体" w:hAnsi="黑体" w:eastAsia="黑体" w:cs="方正小标宋简体"/>
          <w:sz w:val="36"/>
          <w:szCs w:val="36"/>
        </w:rPr>
        <w:t>雁江区房屋征收局20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w:t>
      </w:r>
      <w:bookmarkEnd w:id="82"/>
    </w:p>
    <w:p>
      <w:pPr>
        <w:spacing w:line="600" w:lineRule="exact"/>
        <w:jc w:val="center"/>
        <w:outlineLvl w:val="0"/>
        <w:rPr>
          <w:rFonts w:ascii="黑体" w:hAnsi="黑体" w:eastAsia="黑体" w:cs="方正小标宋简体"/>
          <w:sz w:val="36"/>
          <w:szCs w:val="36"/>
        </w:rPr>
      </w:pPr>
      <w:bookmarkStart w:id="85" w:name="_Toc12199"/>
      <w:r>
        <w:rPr>
          <w:rFonts w:hint="eastAsia" w:ascii="黑体" w:hAnsi="黑体" w:eastAsia="黑体" w:cs="方正小标宋简体"/>
          <w:sz w:val="36"/>
          <w:szCs w:val="36"/>
        </w:rPr>
        <w:t>绩效评价报告</w:t>
      </w:r>
      <w:bookmarkEnd w:id="83"/>
      <w:bookmarkEnd w:id="84"/>
      <w:bookmarkEnd w:id="85"/>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600" w:lineRule="exact"/>
        <w:ind w:firstLine="640" w:firstLineChars="200"/>
        <w:rPr>
          <w:rFonts w:ascii="方正仿宋简体" w:hAnsi="方正仿宋简体" w:eastAsia="方正仿宋简体" w:cs="方正仿宋简体"/>
          <w:color w:val="333333"/>
          <w:sz w:val="32"/>
          <w:szCs w:val="32"/>
        </w:rPr>
      </w:pPr>
      <w:r>
        <w:rPr>
          <w:rFonts w:ascii="仿宋" w:hAnsi="仿宋" w:eastAsia="仿宋" w:cs="仿宋_GB2312"/>
          <w:sz w:val="32"/>
          <w:szCs w:val="32"/>
        </w:rPr>
        <w:t>（一）机构组成。</w:t>
      </w:r>
      <w:r>
        <w:rPr>
          <w:rFonts w:hint="eastAsia" w:ascii="仿宋_GB2312" w:hAnsi="仿宋" w:eastAsia="仿宋_GB2312" w:cs="仿宋"/>
          <w:bCs/>
          <w:color w:val="000000"/>
          <w:sz w:val="32"/>
          <w:szCs w:val="32"/>
        </w:rPr>
        <w:t>本单位为资阳市雁江区房屋征收局，所属一级</w:t>
      </w:r>
      <w:r>
        <w:rPr>
          <w:rFonts w:hint="eastAsia" w:ascii="仿宋_GB2312" w:hAnsi="仿宋" w:eastAsia="仿宋_GB2312" w:cs="仿宋"/>
          <w:bCs/>
          <w:color w:val="000000"/>
          <w:spacing w:val="14"/>
          <w:sz w:val="32"/>
          <w:szCs w:val="32"/>
        </w:rPr>
        <w:t>预算单位，单位性质</w:t>
      </w:r>
      <w:r>
        <w:rPr>
          <w:rFonts w:hint="eastAsia" w:ascii="仿宋_GB2312" w:hAnsi="仿宋" w:eastAsia="仿宋_GB2312" w:cs="仿宋"/>
          <w:bCs/>
          <w:color w:val="000000"/>
          <w:sz w:val="32"/>
          <w:szCs w:val="32"/>
        </w:rPr>
        <w:t>为财政补助事业单位，</w:t>
      </w:r>
      <w:r>
        <w:rPr>
          <w:rFonts w:hint="eastAsia" w:ascii="方正仿宋简体" w:hAnsi="方正仿宋简体" w:eastAsia="方正仿宋简体" w:cs="方正仿宋简体"/>
          <w:color w:val="333333"/>
          <w:sz w:val="32"/>
          <w:szCs w:val="32"/>
        </w:rPr>
        <w:t>下设综合股、征收安置股、政策法规股和财务审计股等四个股室；</w:t>
      </w:r>
    </w:p>
    <w:p>
      <w:pPr>
        <w:spacing w:line="600" w:lineRule="exact"/>
        <w:ind w:firstLine="800" w:firstLineChars="250"/>
        <w:rPr>
          <w:rFonts w:ascii="仿宋" w:hAnsi="仿宋" w:eastAsia="仿宋"/>
          <w:sz w:val="32"/>
          <w:szCs w:val="32"/>
        </w:rPr>
      </w:pPr>
      <w:r>
        <w:rPr>
          <w:rFonts w:hint="eastAsia" w:ascii="仿宋_GB2312" w:hAnsi="仿宋" w:eastAsia="仿宋_GB2312" w:cs="仿宋"/>
          <w:bCs/>
          <w:color w:val="000000"/>
          <w:sz w:val="32"/>
          <w:szCs w:val="32"/>
        </w:rPr>
        <w:t>（二）</w:t>
      </w:r>
      <w:r>
        <w:rPr>
          <w:rFonts w:ascii="仿宋" w:hAnsi="仿宋" w:eastAsia="仿宋" w:cs="仿宋_GB2312"/>
          <w:sz w:val="32"/>
          <w:szCs w:val="32"/>
        </w:rPr>
        <w:t>机构职能。</w:t>
      </w:r>
      <w:r>
        <w:rPr>
          <w:rFonts w:ascii="仿宋" w:hAnsi="仿宋" w:eastAsia="仿宋"/>
          <w:sz w:val="32"/>
          <w:szCs w:val="32"/>
        </w:rPr>
        <w:t xml:space="preserve">资阳市雁江区房屋征收局是宣传、贯彻和执行国家、省、市、区关于房屋征收的有关法律、法规和政策；组织实施本行政区域内的房屋征收与补偿工作；对委托房屋征收实施单位承担房屋征收与补偿的具体行为进行监督的雁江区政府组成部门。 </w:t>
      </w:r>
      <w:r>
        <w:rPr>
          <w:rFonts w:ascii="仿宋" w:hAnsi="仿宋" w:eastAsia="仿宋"/>
          <w:sz w:val="32"/>
          <w:szCs w:val="32"/>
        </w:rPr>
        <w:br w:type="textWrapping"/>
      </w:r>
      <w:r>
        <w:rPr>
          <w:rFonts w:hint="eastAsia" w:ascii="仿宋" w:hAnsi="仿宋" w:eastAsia="仿宋" w:cs="仿宋_GB2312"/>
          <w:sz w:val="32"/>
          <w:szCs w:val="32"/>
        </w:rPr>
        <w:t xml:space="preserve">    </w:t>
      </w:r>
      <w:r>
        <w:rPr>
          <w:rFonts w:ascii="仿宋" w:hAnsi="仿宋" w:eastAsia="仿宋" w:cs="仿宋_GB2312"/>
          <w:sz w:val="32"/>
          <w:szCs w:val="32"/>
        </w:rPr>
        <w:t>（</w:t>
      </w:r>
      <w:r>
        <w:rPr>
          <w:rFonts w:ascii="仿宋" w:hAnsi="仿宋" w:eastAsia="仿宋"/>
          <w:sz w:val="32"/>
          <w:szCs w:val="32"/>
        </w:rPr>
        <w:t>三）人员概况。</w:t>
      </w:r>
      <w:r>
        <w:rPr>
          <w:rFonts w:hint="eastAsia" w:ascii="仿宋" w:hAnsi="仿宋" w:eastAsia="仿宋"/>
          <w:sz w:val="32"/>
          <w:szCs w:val="32"/>
        </w:rPr>
        <w:t>单位编制数</w:t>
      </w:r>
      <w:r>
        <w:rPr>
          <w:rFonts w:hint="eastAsia" w:ascii="仿宋" w:hAnsi="仿宋" w:eastAsia="仿宋"/>
          <w:sz w:val="32"/>
          <w:szCs w:val="32"/>
          <w:lang w:val="en-US" w:eastAsia="zh-CN"/>
        </w:rPr>
        <w:t>20</w:t>
      </w:r>
      <w:r>
        <w:rPr>
          <w:rFonts w:hint="eastAsia" w:ascii="仿宋" w:hAnsi="仿宋" w:eastAsia="仿宋"/>
          <w:sz w:val="32"/>
          <w:szCs w:val="32"/>
        </w:rPr>
        <w:t>个，实有人数2</w:t>
      </w:r>
      <w:r>
        <w:rPr>
          <w:rFonts w:hint="eastAsia" w:ascii="仿宋" w:hAnsi="仿宋" w:eastAsia="仿宋"/>
          <w:sz w:val="32"/>
          <w:szCs w:val="32"/>
          <w:lang w:val="en-US" w:eastAsia="zh-CN"/>
        </w:rPr>
        <w:t>3</w:t>
      </w:r>
      <w:r>
        <w:rPr>
          <w:rFonts w:hint="eastAsia" w:ascii="仿宋" w:hAnsi="仿宋" w:eastAsia="仿宋"/>
          <w:sz w:val="32"/>
          <w:szCs w:val="32"/>
        </w:rPr>
        <w:t>人，其中：临聘人员</w:t>
      </w:r>
      <w:r>
        <w:rPr>
          <w:rFonts w:hint="eastAsia" w:ascii="仿宋" w:hAnsi="仿宋" w:eastAsia="仿宋"/>
          <w:sz w:val="32"/>
          <w:szCs w:val="32"/>
          <w:lang w:val="en-US" w:eastAsia="zh-CN"/>
        </w:rPr>
        <w:t>3</w:t>
      </w:r>
      <w:r>
        <w:rPr>
          <w:rFonts w:hint="eastAsia" w:ascii="仿宋" w:hAnsi="仿宋" w:eastAsia="仿宋"/>
          <w:sz w:val="32"/>
          <w:szCs w:val="32"/>
        </w:rPr>
        <w:t>人。</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年度本年收入</w:t>
      </w:r>
      <w:r>
        <w:rPr>
          <w:rFonts w:hint="eastAsia" w:ascii="仿宋" w:hAnsi="仿宋" w:eastAsia="仿宋" w:cs="仿宋_GB2312"/>
          <w:sz w:val="32"/>
          <w:szCs w:val="32"/>
          <w:lang w:val="en-US" w:eastAsia="zh-CN"/>
        </w:rPr>
        <w:t>315.48</w:t>
      </w:r>
      <w:r>
        <w:rPr>
          <w:rFonts w:hint="eastAsia" w:ascii="仿宋" w:hAnsi="仿宋" w:eastAsia="仿宋" w:cs="仿宋_GB2312"/>
          <w:sz w:val="32"/>
          <w:szCs w:val="32"/>
        </w:rPr>
        <w:t>万元，其中：财政拨款收入</w:t>
      </w:r>
      <w:r>
        <w:rPr>
          <w:rFonts w:hint="eastAsia" w:ascii="仿宋" w:hAnsi="仿宋" w:eastAsia="仿宋" w:cs="仿宋_GB2312"/>
          <w:sz w:val="32"/>
          <w:szCs w:val="32"/>
          <w:lang w:val="en-US" w:eastAsia="zh-CN"/>
        </w:rPr>
        <w:t>315.48</w:t>
      </w:r>
      <w:r>
        <w:rPr>
          <w:rFonts w:hint="eastAsia" w:ascii="仿宋" w:hAnsi="仿宋" w:eastAsia="仿宋" w:cs="仿宋_GB2312"/>
          <w:sz w:val="32"/>
          <w:szCs w:val="32"/>
        </w:rPr>
        <w:t>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年度本年支出</w:t>
      </w:r>
      <w:r>
        <w:rPr>
          <w:rFonts w:hint="eastAsia" w:ascii="仿宋" w:hAnsi="仿宋" w:eastAsia="仿宋" w:cs="仿宋_GB2312"/>
          <w:sz w:val="32"/>
          <w:szCs w:val="32"/>
          <w:lang w:val="en-US" w:eastAsia="zh-CN"/>
        </w:rPr>
        <w:t>310.42</w:t>
      </w:r>
      <w:r>
        <w:rPr>
          <w:rFonts w:hint="eastAsia" w:ascii="仿宋" w:hAnsi="仿宋" w:eastAsia="仿宋" w:cs="仿宋_GB2312"/>
          <w:sz w:val="32"/>
          <w:szCs w:val="32"/>
        </w:rPr>
        <w:t>万元，其中：基本支出</w:t>
      </w:r>
      <w:r>
        <w:rPr>
          <w:rFonts w:hint="eastAsia" w:ascii="仿宋" w:hAnsi="仿宋" w:eastAsia="仿宋" w:cs="仿宋_GB2312"/>
          <w:sz w:val="32"/>
          <w:szCs w:val="32"/>
          <w:lang w:val="en-US" w:eastAsia="zh-CN"/>
        </w:rPr>
        <w:t>301.47</w:t>
      </w:r>
      <w:r>
        <w:rPr>
          <w:rFonts w:hint="eastAsia" w:ascii="仿宋" w:hAnsi="仿宋" w:eastAsia="仿宋" w:cs="仿宋_GB2312"/>
          <w:sz w:val="32"/>
          <w:szCs w:val="32"/>
        </w:rPr>
        <w:t>万元，项目支出</w:t>
      </w:r>
      <w:r>
        <w:rPr>
          <w:rFonts w:hint="eastAsia" w:ascii="仿宋" w:hAnsi="仿宋" w:eastAsia="仿宋" w:cs="仿宋_GB2312"/>
          <w:sz w:val="32"/>
          <w:szCs w:val="32"/>
          <w:lang w:val="en-US" w:eastAsia="zh-CN"/>
        </w:rPr>
        <w:t>8.95</w:t>
      </w:r>
      <w:r>
        <w:rPr>
          <w:rFonts w:hint="eastAsia" w:ascii="仿宋" w:hAnsi="仿宋" w:eastAsia="仿宋" w:cs="仿宋_GB2312"/>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年初编制部门预算，并进行了部门预算公开，20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年度支出控制在预算以内，严格执行各项法律法规，厉行节约，严格审批程序，取得了良好效果，20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年度“三公”经费完成预算</w:t>
      </w:r>
      <w:r>
        <w:rPr>
          <w:rFonts w:hint="eastAsia" w:ascii="仿宋" w:hAnsi="仿宋" w:eastAsia="仿宋" w:cs="仿宋_GB2312"/>
          <w:sz w:val="32"/>
          <w:szCs w:val="32"/>
          <w:lang w:val="en-US" w:eastAsia="zh-CN"/>
        </w:rPr>
        <w:t>59.53</w:t>
      </w:r>
      <w:r>
        <w:rPr>
          <w:rFonts w:hint="eastAsia" w:ascii="仿宋" w:hAnsi="仿宋" w:eastAsia="仿宋" w:cs="仿宋_GB2312"/>
          <w:sz w:val="32"/>
          <w:szCs w:val="32"/>
        </w:rPr>
        <w:t>%，其他办公经费严格控制在预算内。认真抓好内部审计工作，认真部署，扎实开展内部审计工作和接受相关部门检查，为发现违规违纪行为。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二</w:t>
      </w:r>
      <w:r>
        <w:rPr>
          <w:rFonts w:ascii="仿宋" w:hAnsi="仿宋" w:eastAsia="仿宋" w:cs="仿宋_GB2312"/>
          <w:sz w:val="32"/>
          <w:szCs w:val="32"/>
        </w:rPr>
        <w:t>）结果应用情况。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绩效自评结果良好，整体完成了年初制定的绩效目标。</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rPr>
        <w:t>整体评价良好，完成了年初制定的绩效目标</w:t>
      </w:r>
      <w:r>
        <w:rPr>
          <w:rFonts w:hint="eastAsia" w:ascii="仿宋" w:hAnsi="仿宋" w:eastAsia="仿宋" w:cs="仿宋_GB2312"/>
          <w:sz w:val="32"/>
          <w:szCs w:val="32"/>
          <w:lang w:eastAsia="zh-CN"/>
        </w:rPr>
        <w:t>，按照相关规定编制预算，资金管理规范，会计信息完整，及时公开预决算；建立健全资产管理内部制度，加强资产配置、使用、处理管理，做到账实相符</w:t>
      </w:r>
      <w:r>
        <w:rPr>
          <w:rFonts w:hint="eastAsia" w:ascii="仿宋" w:hAnsi="仿宋" w:eastAsia="仿宋" w:cs="仿宋_GB2312"/>
          <w:sz w:val="32"/>
          <w:szCs w:val="32"/>
        </w:rPr>
        <w:t>。</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（二）存在问题。</w:t>
      </w:r>
      <w:r>
        <w:rPr>
          <w:rFonts w:hint="eastAsia" w:ascii="仿宋" w:hAnsi="仿宋" w:eastAsia="仿宋" w:cs="仿宋_GB2312"/>
          <w:sz w:val="32"/>
          <w:szCs w:val="32"/>
          <w:lang w:eastAsia="zh-CN"/>
        </w:rPr>
        <w:t>预算执行不到位，预算管理有待提高。</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（三）改进建议。</w:t>
      </w:r>
      <w:r>
        <w:rPr>
          <w:rFonts w:hint="eastAsia" w:ascii="仿宋" w:hAnsi="仿宋" w:eastAsia="仿宋" w:cs="仿宋_GB2312"/>
          <w:sz w:val="32"/>
          <w:szCs w:val="32"/>
        </w:rPr>
        <w:t>规范部门收支核算，严格执行预算，落实预算执行分析，切实提高部门预算收支管理水平；</w:t>
      </w:r>
      <w:r>
        <w:rPr>
          <w:rFonts w:hint="eastAsia" w:ascii="仿宋" w:hAnsi="仿宋" w:eastAsia="仿宋" w:cs="仿宋_GB2312"/>
          <w:sz w:val="32"/>
          <w:szCs w:val="32"/>
          <w:lang w:eastAsia="zh-CN"/>
        </w:rPr>
        <w:t>进一步</w:t>
      </w:r>
      <w:r>
        <w:rPr>
          <w:rFonts w:hint="eastAsia" w:ascii="仿宋" w:hAnsi="仿宋" w:eastAsia="仿宋" w:cs="仿宋_GB2312"/>
          <w:sz w:val="32"/>
          <w:szCs w:val="32"/>
        </w:rPr>
        <w:t>加强固定资产管理，及时登记、更新固定资产台账，进行全面盘点，做到账实相符、账账相符；加强资金管理，完善财务制度，确保单位资产安全和完整。</w:t>
      </w:r>
      <w:r>
        <w:rPr>
          <w:rFonts w:hint="eastAsia" w:ascii="仿宋" w:hAnsi="仿宋" w:eastAsia="仿宋" w:cs="仿宋_GB2312"/>
          <w:sz w:val="32"/>
          <w:szCs w:val="32"/>
          <w:lang w:eastAsia="zh-CN"/>
        </w:rPr>
        <w:t>加强完善财务管理制度，加大房屋征收政策宣传力度，增强群众满意度。</w:t>
      </w:r>
    </w:p>
    <w:p>
      <w:pPr>
        <w:widowControl/>
        <w:jc w:val="left"/>
        <w:rPr>
          <w:rFonts w:ascii="仿宋_GB2312" w:hAnsi="仿宋_GB2312" w:eastAsia="仿宋_GB2312" w:cs="仿宋_GB2312"/>
          <w:sz w:val="32"/>
          <w:szCs w:val="32"/>
        </w:rPr>
      </w:pPr>
    </w:p>
    <w:p>
      <w:pPr>
        <w:pStyle w:val="3"/>
        <w:rPr>
          <w:rStyle w:val="24"/>
          <w:rFonts w:ascii="仿宋" w:hAnsi="仿宋" w:eastAsia="仿宋"/>
          <w:b w:val="0"/>
          <w:bCs w:val="0"/>
          <w:sz w:val="32"/>
          <w:szCs w:val="32"/>
        </w:rPr>
      </w:pPr>
      <w:bookmarkStart w:id="86" w:name="_Toc17103569"/>
      <w:bookmarkStart w:id="87" w:name="_Toc828"/>
      <w:r>
        <w:rPr>
          <w:rStyle w:val="24"/>
          <w:rFonts w:hint="eastAsia" w:ascii="仿宋" w:hAnsi="仿宋" w:eastAsia="仿宋"/>
          <w:b w:val="0"/>
          <w:bCs w:val="0"/>
          <w:sz w:val="32"/>
          <w:szCs w:val="32"/>
        </w:rPr>
        <w:t>附件2</w:t>
      </w:r>
      <w:bookmarkEnd w:id="86"/>
      <w:bookmarkEnd w:id="87"/>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年项目支出绩效评价报告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年度无50万以上项目。</w:t>
      </w:r>
    </w:p>
    <w:p>
      <w:pPr>
        <w:spacing w:line="600" w:lineRule="exact"/>
        <w:jc w:val="center"/>
        <w:outlineLvl w:val="0"/>
        <w:rPr>
          <w:rFonts w:ascii="仿宋" w:hAnsi="仿宋" w:eastAsia="仿宋" w:cs="仿宋_GB2312"/>
          <w:sz w:val="32"/>
          <w:szCs w:val="32"/>
        </w:rPr>
      </w:pPr>
      <w:bookmarkStart w:id="88" w:name="_Toc17103570"/>
    </w:p>
    <w:p>
      <w:pPr>
        <w:spacing w:line="600" w:lineRule="exact"/>
        <w:jc w:val="center"/>
        <w:outlineLvl w:val="0"/>
        <w:rPr>
          <w:rFonts w:ascii="仿宋" w:hAnsi="仿宋" w:eastAsia="仿宋" w:cs="仿宋_GB2312"/>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bookmarkStart w:id="89" w:name="_Toc12466"/>
      <w:r>
        <w:rPr>
          <w:rFonts w:hint="eastAsia" w:ascii="黑体" w:hAnsi="黑体" w:eastAsia="黑体"/>
          <w:color w:val="000000"/>
          <w:sz w:val="44"/>
          <w:szCs w:val="44"/>
        </w:rPr>
        <w:t>第</w:t>
      </w:r>
      <w:r>
        <w:rPr>
          <w:rStyle w:val="24"/>
          <w:rFonts w:hint="eastAsia" w:ascii="黑体" w:hAnsi="黑体" w:eastAsia="黑体"/>
          <w:b w:val="0"/>
        </w:rPr>
        <w:t>五部分 附表</w:t>
      </w:r>
      <w:bookmarkEnd w:id="78"/>
      <w:bookmarkEnd w:id="88"/>
      <w:bookmarkEnd w:id="89"/>
    </w:p>
    <w:p>
      <w:pPr>
        <w:pStyle w:val="3"/>
        <w:rPr>
          <w:rFonts w:ascii="仿宋" w:hAnsi="仿宋" w:eastAsia="仿宋"/>
          <w:color w:val="000000"/>
        </w:rPr>
      </w:pPr>
      <w:bookmarkStart w:id="90" w:name="_Toc17103571"/>
      <w:bookmarkStart w:id="91" w:name="_Toc4640"/>
      <w:r>
        <w:rPr>
          <w:rFonts w:hint="eastAsia" w:ascii="仿宋" w:hAnsi="仿宋" w:eastAsia="仿宋"/>
          <w:b w:val="0"/>
          <w:color w:val="000000"/>
        </w:rPr>
        <w:t>一、收</w:t>
      </w:r>
      <w:r>
        <w:rPr>
          <w:rStyle w:val="25"/>
          <w:rFonts w:hint="eastAsia" w:ascii="仿宋" w:hAnsi="仿宋" w:eastAsia="仿宋"/>
          <w:b w:val="0"/>
          <w:bCs w:val="0"/>
        </w:rPr>
        <w:t>入支出决算总表</w:t>
      </w:r>
      <w:bookmarkEnd w:id="90"/>
      <w:bookmarkEnd w:id="91"/>
    </w:p>
    <w:p>
      <w:pPr>
        <w:pStyle w:val="3"/>
        <w:rPr>
          <w:rFonts w:ascii="仿宋" w:hAnsi="仿宋" w:eastAsia="仿宋"/>
          <w:color w:val="000000"/>
        </w:rPr>
      </w:pPr>
      <w:bookmarkStart w:id="92" w:name="_Toc17103572"/>
      <w:bookmarkStart w:id="93" w:name="_Toc18714"/>
      <w:r>
        <w:rPr>
          <w:rFonts w:hint="eastAsia" w:ascii="仿宋" w:hAnsi="仿宋" w:eastAsia="仿宋"/>
          <w:b w:val="0"/>
          <w:color w:val="000000"/>
        </w:rPr>
        <w:t>二、收</w:t>
      </w:r>
      <w:r>
        <w:rPr>
          <w:rStyle w:val="25"/>
          <w:rFonts w:hint="eastAsia" w:ascii="仿宋" w:hAnsi="仿宋" w:eastAsia="仿宋"/>
          <w:b w:val="0"/>
          <w:bCs w:val="0"/>
        </w:rPr>
        <w:t>入</w:t>
      </w:r>
      <w:r>
        <w:rPr>
          <w:rStyle w:val="25"/>
          <w:rFonts w:hint="eastAsia" w:ascii="仿宋" w:hAnsi="仿宋" w:eastAsia="仿宋"/>
          <w:b w:val="0"/>
          <w:bCs w:val="0"/>
          <w:lang w:eastAsia="zh-CN"/>
        </w:rPr>
        <w:t>决算</w:t>
      </w:r>
      <w:r>
        <w:rPr>
          <w:rStyle w:val="25"/>
          <w:rFonts w:hint="eastAsia" w:ascii="仿宋" w:hAnsi="仿宋" w:eastAsia="仿宋"/>
          <w:b w:val="0"/>
          <w:bCs w:val="0"/>
        </w:rPr>
        <w:t>表</w:t>
      </w:r>
      <w:bookmarkEnd w:id="92"/>
      <w:bookmarkEnd w:id="93"/>
    </w:p>
    <w:p>
      <w:pPr>
        <w:pStyle w:val="3"/>
        <w:rPr>
          <w:rFonts w:ascii="仿宋" w:hAnsi="仿宋" w:eastAsia="仿宋"/>
          <w:color w:val="000000"/>
        </w:rPr>
      </w:pPr>
      <w:bookmarkStart w:id="94" w:name="_Toc17103573"/>
      <w:bookmarkStart w:id="95" w:name="_Toc2125"/>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w:t>
      </w:r>
      <w:r>
        <w:rPr>
          <w:rStyle w:val="25"/>
          <w:rFonts w:hint="eastAsia" w:ascii="仿宋" w:hAnsi="仿宋" w:eastAsia="仿宋"/>
          <w:b w:val="0"/>
          <w:bCs w:val="0"/>
          <w:lang w:eastAsia="zh-CN"/>
        </w:rPr>
        <w:t>决算</w:t>
      </w:r>
      <w:r>
        <w:rPr>
          <w:rStyle w:val="25"/>
          <w:rFonts w:hint="eastAsia" w:ascii="仿宋" w:hAnsi="仿宋" w:eastAsia="仿宋"/>
          <w:b w:val="0"/>
          <w:bCs w:val="0"/>
        </w:rPr>
        <w:t>表</w:t>
      </w:r>
      <w:bookmarkEnd w:id="94"/>
      <w:bookmarkEnd w:id="95"/>
    </w:p>
    <w:p>
      <w:pPr>
        <w:pStyle w:val="3"/>
        <w:rPr>
          <w:rFonts w:ascii="仿宋" w:hAnsi="仿宋" w:eastAsia="仿宋"/>
          <w:b w:val="0"/>
          <w:color w:val="000000"/>
        </w:rPr>
      </w:pPr>
      <w:bookmarkStart w:id="96" w:name="_Toc17103574"/>
      <w:bookmarkStart w:id="97" w:name="_Toc31870"/>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96"/>
      <w:bookmarkEnd w:id="97"/>
    </w:p>
    <w:p>
      <w:pPr>
        <w:pStyle w:val="3"/>
        <w:rPr>
          <w:rFonts w:ascii="仿宋" w:hAnsi="仿宋" w:eastAsia="仿宋"/>
          <w:color w:val="000000"/>
        </w:rPr>
      </w:pPr>
      <w:bookmarkStart w:id="98" w:name="_Toc17103575"/>
      <w:bookmarkStart w:id="99" w:name="_Toc12284"/>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98"/>
      <w:bookmarkEnd w:id="99"/>
    </w:p>
    <w:p>
      <w:pPr>
        <w:pStyle w:val="3"/>
        <w:rPr>
          <w:rFonts w:ascii="仿宋" w:hAnsi="仿宋" w:eastAsia="仿宋"/>
          <w:color w:val="000000"/>
        </w:rPr>
      </w:pPr>
      <w:bookmarkStart w:id="100" w:name="_Toc17103576"/>
      <w:bookmarkStart w:id="101" w:name="_Toc13568"/>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00"/>
      <w:bookmarkEnd w:id="101"/>
    </w:p>
    <w:p>
      <w:pPr>
        <w:pStyle w:val="3"/>
        <w:rPr>
          <w:rFonts w:ascii="仿宋" w:hAnsi="仿宋" w:eastAsia="仿宋"/>
          <w:color w:val="000000"/>
        </w:rPr>
      </w:pPr>
      <w:bookmarkStart w:id="102" w:name="_Toc17103577"/>
      <w:bookmarkStart w:id="103" w:name="_Toc6246"/>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02"/>
      <w:bookmarkEnd w:id="103"/>
    </w:p>
    <w:p>
      <w:pPr>
        <w:pStyle w:val="3"/>
        <w:rPr>
          <w:rFonts w:ascii="仿宋" w:hAnsi="仿宋" w:eastAsia="仿宋"/>
          <w:color w:val="000000"/>
        </w:rPr>
      </w:pPr>
      <w:bookmarkStart w:id="104" w:name="_Toc17103578"/>
      <w:bookmarkStart w:id="105" w:name="_Toc2561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04"/>
      <w:bookmarkEnd w:id="105"/>
    </w:p>
    <w:p>
      <w:pPr>
        <w:pStyle w:val="3"/>
        <w:rPr>
          <w:rFonts w:ascii="仿宋" w:hAnsi="仿宋" w:eastAsia="仿宋"/>
          <w:color w:val="000000"/>
        </w:rPr>
      </w:pPr>
      <w:bookmarkStart w:id="106" w:name="_Toc17103579"/>
      <w:bookmarkStart w:id="107" w:name="_Toc30703"/>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06"/>
      <w:bookmarkEnd w:id="107"/>
    </w:p>
    <w:p>
      <w:pPr>
        <w:pStyle w:val="3"/>
        <w:rPr>
          <w:rFonts w:ascii="仿宋" w:hAnsi="仿宋" w:eastAsia="仿宋"/>
          <w:color w:val="000000"/>
        </w:rPr>
      </w:pPr>
      <w:bookmarkStart w:id="108" w:name="_Toc17103580"/>
      <w:bookmarkStart w:id="109" w:name="_Toc3689"/>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08"/>
      <w:bookmarkEnd w:id="109"/>
    </w:p>
    <w:p>
      <w:pPr>
        <w:pStyle w:val="3"/>
        <w:rPr>
          <w:rFonts w:ascii="仿宋" w:hAnsi="仿宋" w:eastAsia="仿宋"/>
          <w:color w:val="000000"/>
        </w:rPr>
      </w:pPr>
      <w:bookmarkStart w:id="110" w:name="_Toc17103581"/>
      <w:bookmarkStart w:id="111" w:name="_Toc28840"/>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10"/>
      <w:bookmarkEnd w:id="111"/>
    </w:p>
    <w:p>
      <w:pPr>
        <w:pStyle w:val="3"/>
        <w:rPr>
          <w:rFonts w:ascii="仿宋" w:hAnsi="仿宋" w:eastAsia="仿宋"/>
          <w:color w:val="000000"/>
        </w:rPr>
      </w:pPr>
      <w:bookmarkStart w:id="112" w:name="_Toc17103582"/>
      <w:bookmarkStart w:id="113" w:name="_Toc17683"/>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12"/>
      <w:bookmarkEnd w:id="113"/>
    </w:p>
    <w:p>
      <w:pPr>
        <w:pStyle w:val="3"/>
        <w:rPr>
          <w:rStyle w:val="25"/>
          <w:rFonts w:hint="eastAsia" w:ascii="仿宋" w:hAnsi="仿宋" w:eastAsia="仿宋"/>
          <w:b w:val="0"/>
          <w:bCs w:val="0"/>
        </w:rPr>
      </w:pPr>
      <w:bookmarkStart w:id="114" w:name="_Toc17103583"/>
      <w:bookmarkStart w:id="115" w:name="_Toc20938"/>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w:t>
      </w:r>
      <w:r>
        <w:rPr>
          <w:rStyle w:val="25"/>
          <w:rFonts w:hint="eastAsia" w:ascii="仿宋" w:hAnsi="仿宋" w:eastAsia="仿宋"/>
          <w:b w:val="0"/>
          <w:bCs w:val="0"/>
          <w:lang w:eastAsia="zh-CN"/>
        </w:rPr>
        <w:t>收入</w:t>
      </w:r>
      <w:r>
        <w:rPr>
          <w:rStyle w:val="25"/>
          <w:rFonts w:hint="eastAsia" w:ascii="仿宋" w:hAnsi="仿宋" w:eastAsia="仿宋"/>
          <w:b w:val="0"/>
          <w:bCs w:val="0"/>
        </w:rPr>
        <w:t>支出决算表</w:t>
      </w:r>
      <w:bookmarkEnd w:id="114"/>
      <w:bookmarkEnd w:id="115"/>
    </w:p>
    <w:p>
      <w:pPr>
        <w:pStyle w:val="3"/>
        <w:rPr>
          <w:rStyle w:val="25"/>
          <w:rFonts w:hint="eastAsia" w:ascii="仿宋" w:hAnsi="仿宋" w:eastAsia="仿宋"/>
          <w:b w:val="0"/>
          <w:bCs w:val="0"/>
          <w:lang w:eastAsia="zh-CN"/>
        </w:rPr>
      </w:pPr>
      <w:bookmarkStart w:id="116" w:name="_Toc23406"/>
      <w:r>
        <w:rPr>
          <w:rStyle w:val="25"/>
          <w:rFonts w:hint="eastAsia" w:ascii="仿宋" w:hAnsi="仿宋" w:eastAsia="仿宋"/>
          <w:b w:val="0"/>
          <w:bCs w:val="0"/>
          <w:lang w:eastAsia="zh-CN"/>
        </w:rPr>
        <w:t>十四、</w:t>
      </w:r>
      <w:r>
        <w:rPr>
          <w:rStyle w:val="25"/>
          <w:rFonts w:hint="eastAsia" w:ascii="仿宋" w:hAnsi="仿宋" w:eastAsia="仿宋"/>
          <w:b w:val="0"/>
          <w:bCs w:val="0"/>
        </w:rPr>
        <w:t>国有资本经营预算支出决算表</w:t>
      </w:r>
      <w:bookmarkEnd w:id="11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41B0"/>
    <w:rsid w:val="000222C6"/>
    <w:rsid w:val="0002549F"/>
    <w:rsid w:val="0003385C"/>
    <w:rsid w:val="0003785C"/>
    <w:rsid w:val="00046DB1"/>
    <w:rsid w:val="0004722D"/>
    <w:rsid w:val="0006487A"/>
    <w:rsid w:val="00065F8F"/>
    <w:rsid w:val="000740F7"/>
    <w:rsid w:val="000750DA"/>
    <w:rsid w:val="000768F2"/>
    <w:rsid w:val="0009184B"/>
    <w:rsid w:val="0009593C"/>
    <w:rsid w:val="000A20EA"/>
    <w:rsid w:val="000B047F"/>
    <w:rsid w:val="000B0F36"/>
    <w:rsid w:val="000B5923"/>
    <w:rsid w:val="000B5A48"/>
    <w:rsid w:val="000B6FF3"/>
    <w:rsid w:val="000C3106"/>
    <w:rsid w:val="000C3467"/>
    <w:rsid w:val="000C3CA6"/>
    <w:rsid w:val="000D1267"/>
    <w:rsid w:val="000D1D50"/>
    <w:rsid w:val="000D5782"/>
    <w:rsid w:val="000D796D"/>
    <w:rsid w:val="000E03AC"/>
    <w:rsid w:val="000E2DBF"/>
    <w:rsid w:val="000E6613"/>
    <w:rsid w:val="000E7119"/>
    <w:rsid w:val="000F0960"/>
    <w:rsid w:val="000F49BD"/>
    <w:rsid w:val="001012A4"/>
    <w:rsid w:val="00114626"/>
    <w:rsid w:val="00114E9B"/>
    <w:rsid w:val="0014729F"/>
    <w:rsid w:val="00153F26"/>
    <w:rsid w:val="00157BAB"/>
    <w:rsid w:val="001654D1"/>
    <w:rsid w:val="00165EDD"/>
    <w:rsid w:val="00174761"/>
    <w:rsid w:val="0017655E"/>
    <w:rsid w:val="0018106D"/>
    <w:rsid w:val="001877A7"/>
    <w:rsid w:val="00191536"/>
    <w:rsid w:val="00193DDE"/>
    <w:rsid w:val="00196055"/>
    <w:rsid w:val="00196687"/>
    <w:rsid w:val="001A7127"/>
    <w:rsid w:val="001B4EA9"/>
    <w:rsid w:val="001C0962"/>
    <w:rsid w:val="001D7531"/>
    <w:rsid w:val="001E737D"/>
    <w:rsid w:val="001F02D2"/>
    <w:rsid w:val="001F0336"/>
    <w:rsid w:val="001F0592"/>
    <w:rsid w:val="001F6662"/>
    <w:rsid w:val="001F7506"/>
    <w:rsid w:val="002006CD"/>
    <w:rsid w:val="00202B36"/>
    <w:rsid w:val="00204B7A"/>
    <w:rsid w:val="0021101A"/>
    <w:rsid w:val="00211521"/>
    <w:rsid w:val="00214F5A"/>
    <w:rsid w:val="00217C3B"/>
    <w:rsid w:val="00220536"/>
    <w:rsid w:val="00232A1E"/>
    <w:rsid w:val="00235629"/>
    <w:rsid w:val="0025229B"/>
    <w:rsid w:val="00260C38"/>
    <w:rsid w:val="002616C0"/>
    <w:rsid w:val="002662AA"/>
    <w:rsid w:val="00280496"/>
    <w:rsid w:val="00290ACA"/>
    <w:rsid w:val="00295495"/>
    <w:rsid w:val="002A07AC"/>
    <w:rsid w:val="002A75F7"/>
    <w:rsid w:val="002B2613"/>
    <w:rsid w:val="002C4CF5"/>
    <w:rsid w:val="002C4E4C"/>
    <w:rsid w:val="002D43D6"/>
    <w:rsid w:val="002E3BA4"/>
    <w:rsid w:val="002F1818"/>
    <w:rsid w:val="002F567B"/>
    <w:rsid w:val="00312452"/>
    <w:rsid w:val="003216A9"/>
    <w:rsid w:val="00324AFF"/>
    <w:rsid w:val="00337F92"/>
    <w:rsid w:val="0037013F"/>
    <w:rsid w:val="00380C92"/>
    <w:rsid w:val="003823FB"/>
    <w:rsid w:val="00391823"/>
    <w:rsid w:val="00393818"/>
    <w:rsid w:val="003A484F"/>
    <w:rsid w:val="003B0BE0"/>
    <w:rsid w:val="003B0C1B"/>
    <w:rsid w:val="003B688C"/>
    <w:rsid w:val="003C0291"/>
    <w:rsid w:val="003C39AE"/>
    <w:rsid w:val="003C7B60"/>
    <w:rsid w:val="003D1109"/>
    <w:rsid w:val="003D1764"/>
    <w:rsid w:val="003D1FB2"/>
    <w:rsid w:val="003D66DA"/>
    <w:rsid w:val="003E1310"/>
    <w:rsid w:val="003E2D56"/>
    <w:rsid w:val="003E6F55"/>
    <w:rsid w:val="003F51C6"/>
    <w:rsid w:val="00406254"/>
    <w:rsid w:val="004223DE"/>
    <w:rsid w:val="00434489"/>
    <w:rsid w:val="00437085"/>
    <w:rsid w:val="00443032"/>
    <w:rsid w:val="00443880"/>
    <w:rsid w:val="004464F4"/>
    <w:rsid w:val="00446E76"/>
    <w:rsid w:val="00471401"/>
    <w:rsid w:val="00473F31"/>
    <w:rsid w:val="004822D1"/>
    <w:rsid w:val="0048263A"/>
    <w:rsid w:val="00483D7F"/>
    <w:rsid w:val="00487E5D"/>
    <w:rsid w:val="004A1C66"/>
    <w:rsid w:val="004A3CED"/>
    <w:rsid w:val="004A711F"/>
    <w:rsid w:val="004B199D"/>
    <w:rsid w:val="004B4690"/>
    <w:rsid w:val="004E0A2D"/>
    <w:rsid w:val="004E206B"/>
    <w:rsid w:val="004E4FD4"/>
    <w:rsid w:val="004E6DF7"/>
    <w:rsid w:val="004F0FBD"/>
    <w:rsid w:val="0050199A"/>
    <w:rsid w:val="00505A47"/>
    <w:rsid w:val="00512FDA"/>
    <w:rsid w:val="005175D1"/>
    <w:rsid w:val="00520DA0"/>
    <w:rsid w:val="0052318D"/>
    <w:rsid w:val="00540C0F"/>
    <w:rsid w:val="00540F7A"/>
    <w:rsid w:val="005529E6"/>
    <w:rsid w:val="00556167"/>
    <w:rsid w:val="005664BB"/>
    <w:rsid w:val="0057481D"/>
    <w:rsid w:val="005771DA"/>
    <w:rsid w:val="005823DC"/>
    <w:rsid w:val="0058486E"/>
    <w:rsid w:val="00597639"/>
    <w:rsid w:val="005A01FA"/>
    <w:rsid w:val="005A0D7A"/>
    <w:rsid w:val="005A7835"/>
    <w:rsid w:val="005C0261"/>
    <w:rsid w:val="005C1A32"/>
    <w:rsid w:val="005C4127"/>
    <w:rsid w:val="005C43CF"/>
    <w:rsid w:val="005D1C8B"/>
    <w:rsid w:val="005D5CED"/>
    <w:rsid w:val="005F1A4C"/>
    <w:rsid w:val="005F1AAA"/>
    <w:rsid w:val="00605688"/>
    <w:rsid w:val="006070AF"/>
    <w:rsid w:val="00607E6C"/>
    <w:rsid w:val="006101B1"/>
    <w:rsid w:val="006112D3"/>
    <w:rsid w:val="00614E44"/>
    <w:rsid w:val="00615BED"/>
    <w:rsid w:val="00622830"/>
    <w:rsid w:val="00630AEF"/>
    <w:rsid w:val="006325F8"/>
    <w:rsid w:val="00634C9A"/>
    <w:rsid w:val="00642968"/>
    <w:rsid w:val="006440E4"/>
    <w:rsid w:val="00650CAF"/>
    <w:rsid w:val="0066343B"/>
    <w:rsid w:val="00664777"/>
    <w:rsid w:val="00667EFA"/>
    <w:rsid w:val="006748A4"/>
    <w:rsid w:val="00682044"/>
    <w:rsid w:val="00683E73"/>
    <w:rsid w:val="00683ED9"/>
    <w:rsid w:val="006970F0"/>
    <w:rsid w:val="006A0F4F"/>
    <w:rsid w:val="006A3141"/>
    <w:rsid w:val="006A46DA"/>
    <w:rsid w:val="006A5E34"/>
    <w:rsid w:val="006A6491"/>
    <w:rsid w:val="006A6AAA"/>
    <w:rsid w:val="006A74A2"/>
    <w:rsid w:val="006B040A"/>
    <w:rsid w:val="006B2422"/>
    <w:rsid w:val="006B2B9A"/>
    <w:rsid w:val="006B6B1F"/>
    <w:rsid w:val="006C1937"/>
    <w:rsid w:val="006C1B4D"/>
    <w:rsid w:val="006D0763"/>
    <w:rsid w:val="006D1173"/>
    <w:rsid w:val="006F020C"/>
    <w:rsid w:val="006F0BC0"/>
    <w:rsid w:val="007127B7"/>
    <w:rsid w:val="00733FEA"/>
    <w:rsid w:val="007416B6"/>
    <w:rsid w:val="00746F48"/>
    <w:rsid w:val="0075404D"/>
    <w:rsid w:val="0076182A"/>
    <w:rsid w:val="007679C8"/>
    <w:rsid w:val="00767B7E"/>
    <w:rsid w:val="007770C3"/>
    <w:rsid w:val="00784D24"/>
    <w:rsid w:val="00785FBA"/>
    <w:rsid w:val="00786E4A"/>
    <w:rsid w:val="007875EB"/>
    <w:rsid w:val="0079426B"/>
    <w:rsid w:val="007B4822"/>
    <w:rsid w:val="007D312A"/>
    <w:rsid w:val="007D3F19"/>
    <w:rsid w:val="007E1F4A"/>
    <w:rsid w:val="007E23B0"/>
    <w:rsid w:val="007E6A10"/>
    <w:rsid w:val="007E71A6"/>
    <w:rsid w:val="007F1032"/>
    <w:rsid w:val="007F1991"/>
    <w:rsid w:val="007F2C2F"/>
    <w:rsid w:val="007F55FC"/>
    <w:rsid w:val="007F5665"/>
    <w:rsid w:val="00800112"/>
    <w:rsid w:val="008076A0"/>
    <w:rsid w:val="008253BB"/>
    <w:rsid w:val="0083706E"/>
    <w:rsid w:val="008423A5"/>
    <w:rsid w:val="008425B3"/>
    <w:rsid w:val="00850625"/>
    <w:rsid w:val="00852AD1"/>
    <w:rsid w:val="00853718"/>
    <w:rsid w:val="00855221"/>
    <w:rsid w:val="00860645"/>
    <w:rsid w:val="00871F71"/>
    <w:rsid w:val="00884847"/>
    <w:rsid w:val="00885AF4"/>
    <w:rsid w:val="008939CD"/>
    <w:rsid w:val="008B47D9"/>
    <w:rsid w:val="008B71F9"/>
    <w:rsid w:val="008B768C"/>
    <w:rsid w:val="008C3492"/>
    <w:rsid w:val="008C40D5"/>
    <w:rsid w:val="008C4DB1"/>
    <w:rsid w:val="008C4EAF"/>
    <w:rsid w:val="008C5176"/>
    <w:rsid w:val="008C7FD0"/>
    <w:rsid w:val="008E1DE7"/>
    <w:rsid w:val="008E5809"/>
    <w:rsid w:val="008E600F"/>
    <w:rsid w:val="008E707C"/>
    <w:rsid w:val="00900B08"/>
    <w:rsid w:val="00902155"/>
    <w:rsid w:val="00902262"/>
    <w:rsid w:val="00902FA3"/>
    <w:rsid w:val="00903B7F"/>
    <w:rsid w:val="00923564"/>
    <w:rsid w:val="0092392E"/>
    <w:rsid w:val="00927BD6"/>
    <w:rsid w:val="009315F9"/>
    <w:rsid w:val="00941C22"/>
    <w:rsid w:val="00941E49"/>
    <w:rsid w:val="00943149"/>
    <w:rsid w:val="00946945"/>
    <w:rsid w:val="00951248"/>
    <w:rsid w:val="0095152F"/>
    <w:rsid w:val="00954C49"/>
    <w:rsid w:val="00962745"/>
    <w:rsid w:val="009650C9"/>
    <w:rsid w:val="0097099F"/>
    <w:rsid w:val="00971997"/>
    <w:rsid w:val="00971FFC"/>
    <w:rsid w:val="009733E5"/>
    <w:rsid w:val="0098660A"/>
    <w:rsid w:val="009931C3"/>
    <w:rsid w:val="009B2C43"/>
    <w:rsid w:val="009B4EAE"/>
    <w:rsid w:val="009B7573"/>
    <w:rsid w:val="009C22F4"/>
    <w:rsid w:val="009C2E98"/>
    <w:rsid w:val="009D3447"/>
    <w:rsid w:val="009D4711"/>
    <w:rsid w:val="009E36F4"/>
    <w:rsid w:val="009F1185"/>
    <w:rsid w:val="009F18CD"/>
    <w:rsid w:val="009F2A13"/>
    <w:rsid w:val="00A04EB0"/>
    <w:rsid w:val="00A10D51"/>
    <w:rsid w:val="00A13CC1"/>
    <w:rsid w:val="00A16847"/>
    <w:rsid w:val="00A16E00"/>
    <w:rsid w:val="00A237D8"/>
    <w:rsid w:val="00A268C4"/>
    <w:rsid w:val="00A307CD"/>
    <w:rsid w:val="00A40A00"/>
    <w:rsid w:val="00A4142F"/>
    <w:rsid w:val="00A50E3B"/>
    <w:rsid w:val="00A53D61"/>
    <w:rsid w:val="00A56DF2"/>
    <w:rsid w:val="00A60DB6"/>
    <w:rsid w:val="00A67AB5"/>
    <w:rsid w:val="00A91760"/>
    <w:rsid w:val="00A93B00"/>
    <w:rsid w:val="00A93C21"/>
    <w:rsid w:val="00AA1E5D"/>
    <w:rsid w:val="00AC2460"/>
    <w:rsid w:val="00AC3C6A"/>
    <w:rsid w:val="00AD5620"/>
    <w:rsid w:val="00AD7C1B"/>
    <w:rsid w:val="00AE16BA"/>
    <w:rsid w:val="00AE1EBE"/>
    <w:rsid w:val="00AE2A1C"/>
    <w:rsid w:val="00AE4002"/>
    <w:rsid w:val="00AE534D"/>
    <w:rsid w:val="00B03C9D"/>
    <w:rsid w:val="00B060AE"/>
    <w:rsid w:val="00B10517"/>
    <w:rsid w:val="00B12368"/>
    <w:rsid w:val="00B14E76"/>
    <w:rsid w:val="00B161B8"/>
    <w:rsid w:val="00B2048C"/>
    <w:rsid w:val="00B310B9"/>
    <w:rsid w:val="00B323A7"/>
    <w:rsid w:val="00B35F3F"/>
    <w:rsid w:val="00B36CBB"/>
    <w:rsid w:val="00B41785"/>
    <w:rsid w:val="00B425E0"/>
    <w:rsid w:val="00B440AA"/>
    <w:rsid w:val="00B44B70"/>
    <w:rsid w:val="00B53C56"/>
    <w:rsid w:val="00B612D7"/>
    <w:rsid w:val="00B77EA6"/>
    <w:rsid w:val="00B81598"/>
    <w:rsid w:val="00B841F1"/>
    <w:rsid w:val="00B944D6"/>
    <w:rsid w:val="00BA3B55"/>
    <w:rsid w:val="00BB4BC9"/>
    <w:rsid w:val="00BB4DF0"/>
    <w:rsid w:val="00BC289F"/>
    <w:rsid w:val="00BC33F7"/>
    <w:rsid w:val="00BC5361"/>
    <w:rsid w:val="00BC5460"/>
    <w:rsid w:val="00BC6B50"/>
    <w:rsid w:val="00BD0E25"/>
    <w:rsid w:val="00BF5BD6"/>
    <w:rsid w:val="00BF7A79"/>
    <w:rsid w:val="00C01D3A"/>
    <w:rsid w:val="00C03E31"/>
    <w:rsid w:val="00C25055"/>
    <w:rsid w:val="00C33E72"/>
    <w:rsid w:val="00C354B2"/>
    <w:rsid w:val="00C35554"/>
    <w:rsid w:val="00C42709"/>
    <w:rsid w:val="00C533CC"/>
    <w:rsid w:val="00C5751C"/>
    <w:rsid w:val="00C61BFC"/>
    <w:rsid w:val="00C61CC4"/>
    <w:rsid w:val="00C62B85"/>
    <w:rsid w:val="00C65438"/>
    <w:rsid w:val="00C91CBB"/>
    <w:rsid w:val="00CA1675"/>
    <w:rsid w:val="00CA72A6"/>
    <w:rsid w:val="00CB50D7"/>
    <w:rsid w:val="00CB6EC8"/>
    <w:rsid w:val="00CC09B6"/>
    <w:rsid w:val="00CC1AEA"/>
    <w:rsid w:val="00CC2BDB"/>
    <w:rsid w:val="00CC666F"/>
    <w:rsid w:val="00CD1E3F"/>
    <w:rsid w:val="00CE312D"/>
    <w:rsid w:val="00CE44F6"/>
    <w:rsid w:val="00CE49DA"/>
    <w:rsid w:val="00CE5731"/>
    <w:rsid w:val="00CE7B61"/>
    <w:rsid w:val="00CF756A"/>
    <w:rsid w:val="00CF78F7"/>
    <w:rsid w:val="00D00095"/>
    <w:rsid w:val="00D02F94"/>
    <w:rsid w:val="00D04588"/>
    <w:rsid w:val="00D0557B"/>
    <w:rsid w:val="00D20620"/>
    <w:rsid w:val="00D21050"/>
    <w:rsid w:val="00D21B64"/>
    <w:rsid w:val="00D26091"/>
    <w:rsid w:val="00D30315"/>
    <w:rsid w:val="00D314EE"/>
    <w:rsid w:val="00D31E6C"/>
    <w:rsid w:val="00D34E7C"/>
    <w:rsid w:val="00D35489"/>
    <w:rsid w:val="00D464A6"/>
    <w:rsid w:val="00D51276"/>
    <w:rsid w:val="00D7035F"/>
    <w:rsid w:val="00D810D3"/>
    <w:rsid w:val="00D84252"/>
    <w:rsid w:val="00D94BD3"/>
    <w:rsid w:val="00D9742E"/>
    <w:rsid w:val="00DA1E8F"/>
    <w:rsid w:val="00DA65AC"/>
    <w:rsid w:val="00DB1913"/>
    <w:rsid w:val="00DB283C"/>
    <w:rsid w:val="00DC410D"/>
    <w:rsid w:val="00DC68CA"/>
    <w:rsid w:val="00DC7CBA"/>
    <w:rsid w:val="00DD4532"/>
    <w:rsid w:val="00DD5FF5"/>
    <w:rsid w:val="00DD73B7"/>
    <w:rsid w:val="00DE00AC"/>
    <w:rsid w:val="00DE532D"/>
    <w:rsid w:val="00DE6B45"/>
    <w:rsid w:val="00DF28BC"/>
    <w:rsid w:val="00DF2E9C"/>
    <w:rsid w:val="00DF34B9"/>
    <w:rsid w:val="00DF6D8B"/>
    <w:rsid w:val="00E01053"/>
    <w:rsid w:val="00E07ACF"/>
    <w:rsid w:val="00E23B3C"/>
    <w:rsid w:val="00E331A1"/>
    <w:rsid w:val="00E33202"/>
    <w:rsid w:val="00E336A9"/>
    <w:rsid w:val="00E339FB"/>
    <w:rsid w:val="00E34BB1"/>
    <w:rsid w:val="00E372A6"/>
    <w:rsid w:val="00E50624"/>
    <w:rsid w:val="00E568DF"/>
    <w:rsid w:val="00E64269"/>
    <w:rsid w:val="00E82267"/>
    <w:rsid w:val="00E84739"/>
    <w:rsid w:val="00E85634"/>
    <w:rsid w:val="00E96DF7"/>
    <w:rsid w:val="00EA010F"/>
    <w:rsid w:val="00EB1BDB"/>
    <w:rsid w:val="00ED1912"/>
    <w:rsid w:val="00ED1B63"/>
    <w:rsid w:val="00ED3C1F"/>
    <w:rsid w:val="00ED4085"/>
    <w:rsid w:val="00ED420E"/>
    <w:rsid w:val="00EE2F57"/>
    <w:rsid w:val="00EE455E"/>
    <w:rsid w:val="00EE73E1"/>
    <w:rsid w:val="00EF4C34"/>
    <w:rsid w:val="00EF77C6"/>
    <w:rsid w:val="00F03905"/>
    <w:rsid w:val="00F05438"/>
    <w:rsid w:val="00F135B6"/>
    <w:rsid w:val="00F1361C"/>
    <w:rsid w:val="00F160C7"/>
    <w:rsid w:val="00F21DF3"/>
    <w:rsid w:val="00F35B11"/>
    <w:rsid w:val="00F36D8F"/>
    <w:rsid w:val="00F417B1"/>
    <w:rsid w:val="00F602DF"/>
    <w:rsid w:val="00F81FD9"/>
    <w:rsid w:val="00F841AA"/>
    <w:rsid w:val="00F8475F"/>
    <w:rsid w:val="00F847F7"/>
    <w:rsid w:val="00FA23E8"/>
    <w:rsid w:val="00FD0DE5"/>
    <w:rsid w:val="00FD3CC1"/>
    <w:rsid w:val="00FE4066"/>
    <w:rsid w:val="00FF1E02"/>
    <w:rsid w:val="00FF30B4"/>
    <w:rsid w:val="01FE5C2B"/>
    <w:rsid w:val="036014BC"/>
    <w:rsid w:val="03CC08C6"/>
    <w:rsid w:val="0BAF49F9"/>
    <w:rsid w:val="0C144F94"/>
    <w:rsid w:val="0D2626D4"/>
    <w:rsid w:val="0D79263B"/>
    <w:rsid w:val="0DE23420"/>
    <w:rsid w:val="10AC6562"/>
    <w:rsid w:val="10B40089"/>
    <w:rsid w:val="10C055FF"/>
    <w:rsid w:val="151326EC"/>
    <w:rsid w:val="154C4367"/>
    <w:rsid w:val="16BB723D"/>
    <w:rsid w:val="19951433"/>
    <w:rsid w:val="1CA96E09"/>
    <w:rsid w:val="20034454"/>
    <w:rsid w:val="240371BF"/>
    <w:rsid w:val="25C43703"/>
    <w:rsid w:val="266D25B0"/>
    <w:rsid w:val="29FD04D3"/>
    <w:rsid w:val="2C6F4794"/>
    <w:rsid w:val="2CAB10DC"/>
    <w:rsid w:val="319F7F4E"/>
    <w:rsid w:val="32E62145"/>
    <w:rsid w:val="33ED3EEE"/>
    <w:rsid w:val="33F20C16"/>
    <w:rsid w:val="342F2DBB"/>
    <w:rsid w:val="358A24BC"/>
    <w:rsid w:val="37FE670B"/>
    <w:rsid w:val="38B125C0"/>
    <w:rsid w:val="3C3B33E1"/>
    <w:rsid w:val="3C6333B4"/>
    <w:rsid w:val="3E154932"/>
    <w:rsid w:val="3E215413"/>
    <w:rsid w:val="3E827BE9"/>
    <w:rsid w:val="424A41A3"/>
    <w:rsid w:val="42A3664D"/>
    <w:rsid w:val="43AC0981"/>
    <w:rsid w:val="4535343D"/>
    <w:rsid w:val="49AE712B"/>
    <w:rsid w:val="49C32EF0"/>
    <w:rsid w:val="49E345FE"/>
    <w:rsid w:val="49F8245A"/>
    <w:rsid w:val="4A2B13CD"/>
    <w:rsid w:val="4B420A67"/>
    <w:rsid w:val="4E1F5CA1"/>
    <w:rsid w:val="4F277848"/>
    <w:rsid w:val="4F9A06C7"/>
    <w:rsid w:val="50A94BA4"/>
    <w:rsid w:val="54255E74"/>
    <w:rsid w:val="5475259F"/>
    <w:rsid w:val="57DB6C79"/>
    <w:rsid w:val="59C9728E"/>
    <w:rsid w:val="5D4D4AC2"/>
    <w:rsid w:val="5E21030C"/>
    <w:rsid w:val="5F145BFD"/>
    <w:rsid w:val="5FFE693F"/>
    <w:rsid w:val="65BA2DD0"/>
    <w:rsid w:val="65C75FD4"/>
    <w:rsid w:val="6903059D"/>
    <w:rsid w:val="69AB2E5F"/>
    <w:rsid w:val="6AA40BA4"/>
    <w:rsid w:val="6D194F77"/>
    <w:rsid w:val="6D25627B"/>
    <w:rsid w:val="6EA771D0"/>
    <w:rsid w:val="72434D3B"/>
    <w:rsid w:val="73FD6E7A"/>
    <w:rsid w:val="744C3600"/>
    <w:rsid w:val="762D3726"/>
    <w:rsid w:val="765B45F8"/>
    <w:rsid w:val="77FA1D02"/>
    <w:rsid w:val="784B7557"/>
    <w:rsid w:val="7A265AF8"/>
    <w:rsid w:val="7AA353D7"/>
    <w:rsid w:val="7AAF0601"/>
    <w:rsid w:val="7D4C3A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a:t>
            </a:r>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收入支出决算</c:v>
                </c:pt>
              </c:strCache>
            </c:strRef>
          </c:tx>
          <c:spPr>
            <a:solidFill>
              <a:schemeClr val="accent1"/>
            </a:solidFill>
            <a:ln>
              <a:noFill/>
            </a:ln>
            <a:effectLst/>
          </c:spPr>
          <c:invertIfNegative val="0"/>
          <c:dLbls>
            <c:delete val="1"/>
          </c:dLbls>
          <c:cat>
            <c:multiLvlStrRef>
              <c:f>Sheet1!$A$2:$B$3</c:f>
              <c:multiLvlStrCache>
                <c:ptCount val="2"/>
                <c:lvl>
                  <c:pt idx="0">
                    <c:v>297.6</c:v>
                  </c:pt>
                  <c:pt idx="1">
                    <c:v>339.63</c:v>
                  </c:pt>
                </c:lvl>
                <c:lvl>
                  <c:pt idx="0">
                    <c:v>2019年</c:v>
                  </c:pt>
                  <c:pt idx="1">
                    <c:v>2020年</c:v>
                  </c:pt>
                </c:lvl>
              </c:multiLvlStrCache>
            </c:multiLvlStrRef>
          </c:cat>
          <c:val>
            <c:numRef>
              <c:f>Sheet1!$B$2:$B$3</c:f>
              <c:numCache>
                <c:formatCode>General</c:formatCode>
                <c:ptCount val="2"/>
                <c:pt idx="0">
                  <c:v>297.6</c:v>
                </c:pt>
                <c:pt idx="1">
                  <c:v>339.63</c:v>
                </c:pt>
              </c:numCache>
            </c:numRef>
          </c:val>
        </c:ser>
        <c:dLbls>
          <c:showLegendKey val="0"/>
          <c:showVal val="0"/>
          <c:showCatName val="0"/>
          <c:showSerName val="0"/>
          <c:showPercent val="0"/>
          <c:showBubbleSize val="0"/>
        </c:dLbls>
        <c:gapWidth val="219"/>
        <c:overlap val="100"/>
        <c:axId val="570001185"/>
        <c:axId val="814598622"/>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multiLvlStrRef>
                    <c:extLst>
                      <c:ext uri="{02D57815-91ED-43cb-92C2-25804820EDAC}">
                        <c15:fullRef>
                          <c15:sqref/>
                        </c15:fullRef>
                        <c15:formulaRef>
                          <c15:sqref>Sheet1!$A$2:$B$3</c15:sqref>
                        </c15:formulaRef>
                      </c:ext>
                    </c:extLst>
                    <c:multiLvlStrCache>
                      <c:ptCount val="2"/>
                      <c:lvl>
                        <c:pt idx="0">
                          <c:v>297.6</c:v>
                        </c:pt>
                        <c:pt idx="1">
                          <c:v>339.63</c:v>
                        </c:pt>
                      </c:lvl>
                      <c:lvl>
                        <c:pt idx="0">
                          <c:v>2019年</c:v>
                        </c:pt>
                        <c:pt idx="1">
                          <c:v>2020年</c:v>
                        </c:pt>
                      </c:lvl>
                    </c:multiLvlStrCache>
                  </c:multiLvl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multiLvlStrRef>
                    <c:extLst>
                      <c:ext uri="{02D57815-91ED-43cb-92C2-25804820EDAC}">
                        <c15:fullRef>
                          <c15:sqref/>
                        </c15:fullRef>
                        <c15:formulaRef>
                          <c15:sqref>Sheet1!$A$2:$B$3</c15:sqref>
                        </c15:formulaRef>
                      </c:ext>
                    </c:extLst>
                    <c:multiLvlStrCache>
                      <c:ptCount val="2"/>
                      <c:lvl>
                        <c:pt idx="0">
                          <c:v>297.6</c:v>
                        </c:pt>
                        <c:pt idx="1">
                          <c:v>339.63</c:v>
                        </c:pt>
                      </c:lvl>
                      <c:lvl>
                        <c:pt idx="0">
                          <c:v>2019年</c:v>
                        </c:pt>
                        <c:pt idx="1">
                          <c:v>2020年</c:v>
                        </c:pt>
                      </c:lvl>
                    </c:multiLvlStrCache>
                  </c:multiLvl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70001185"/>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598622"/>
        <c:crosses val="autoZero"/>
        <c:auto val="1"/>
        <c:lblAlgn val="ctr"/>
        <c:lblOffset val="100"/>
        <c:noMultiLvlLbl val="0"/>
      </c:catAx>
      <c:valAx>
        <c:axId val="81459862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0001185"/>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cap="all" spc="150" baseline="0">
              <a:solidFill>
                <a:schemeClr val="tx1">
                  <a:lumMod val="50000"/>
                  <a:lumOff val="50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系列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elete val="1"/>
          </c:dLbls>
          <c:cat>
            <c:strRef>
              <c:f>Sheet1!$A$2:$A$5</c:f>
              <c:strCache>
                <c:ptCount val="4"/>
                <c:pt idx="0">
                  <c:v>类别1</c:v>
                </c:pt>
                <c:pt idx="1">
                  <c:v>类别2</c:v>
                </c:pt>
                <c:pt idx="2">
                  <c:v>类别3</c:v>
                </c:pt>
                <c:pt idx="3">
                  <c:v>类别4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elete val="1"/>
          </c:dLbls>
          <c:cat>
            <c:strRef>
              <c:f>Sheet1!$A$2:$A$5</c:f>
              <c:strCache>
                <c:ptCount val="4"/>
                <c:pt idx="0">
                  <c:v>类别1</c:v>
                </c:pt>
                <c:pt idx="1">
                  <c:v>类别2</c:v>
                </c:pt>
                <c:pt idx="2">
                  <c:v>类别3</c:v>
                </c:pt>
                <c:pt idx="3">
                  <c:v>类别4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系列 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elete val="1"/>
          </c:dLbls>
          <c:cat>
            <c:strRef>
              <c:f>Sheet1!$A$2:$A$5</c:f>
              <c:strCache>
                <c:ptCount val="4"/>
                <c:pt idx="0">
                  <c:v>类别1</c:v>
                </c:pt>
                <c:pt idx="1">
                  <c:v>类别2</c:v>
                </c:pt>
                <c:pt idx="2">
                  <c:v>类别3</c:v>
                </c:pt>
                <c:pt idx="3">
                  <c:v>类别4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64"/>
        <c:overlap val="-22"/>
        <c:axId val="885464875"/>
        <c:axId val="892639263"/>
      </c:barChart>
      <c:catAx>
        <c:axId val="885464875"/>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2639263"/>
        <c:crosses val="autoZero"/>
        <c:auto val="1"/>
        <c:lblAlgn val="ctr"/>
        <c:lblOffset val="100"/>
        <c:noMultiLvlLbl val="0"/>
      </c:catAx>
      <c:valAx>
        <c:axId val="892639263"/>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5464875"/>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年本年支出</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2020年本年支出</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301.47</c:v>
                </c:pt>
                <c:pt idx="1">
                  <c:v>8.95</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财政拨款收支决算</a:t>
            </a:r>
          </a:p>
        </c:rich>
      </c:tx>
      <c:layout/>
      <c:overlay val="0"/>
    </c:title>
    <c:autoTitleDeleted val="0"/>
    <c:plotArea>
      <c:layout/>
      <c:barChart>
        <c:barDir val="col"/>
        <c:grouping val="clustered"/>
        <c:varyColors val="0"/>
        <c:ser>
          <c:idx val="0"/>
          <c:order val="0"/>
          <c:tx>
            <c:strRef>
              <c:f>Sheet1!$B$2</c:f>
              <c:strCache>
                <c:ptCount val="1"/>
                <c:pt idx="0">
                  <c:v>财政拨款收入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Sheet1!$A$3:$A$4</c:f>
              <c:strCache>
                <c:ptCount val="2"/>
                <c:pt idx="0">
                  <c:v>2019年</c:v>
                </c:pt>
                <c:pt idx="1">
                  <c:v>2020年</c:v>
                </c:pt>
              </c:strCache>
            </c:strRef>
          </c:cat>
          <c:val>
            <c:numRef>
              <c:f>Sheet1!$B$3:$B$4</c:f>
              <c:numCache>
                <c:formatCode>General</c:formatCode>
                <c:ptCount val="2"/>
                <c:pt idx="0">
                  <c:v>271.99</c:v>
                </c:pt>
                <c:pt idx="1">
                  <c:v>315.48</c:v>
                </c:pt>
              </c:numCache>
            </c:numRef>
          </c:val>
        </c:ser>
        <c:ser>
          <c:idx val="1"/>
          <c:order val="1"/>
          <c:tx>
            <c:strRef>
              <c:f>Sheet1!$C$2</c:f>
              <c:strCache>
                <c:ptCount val="1"/>
                <c:pt idx="0">
                  <c:v>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Sheet1!$A$3:$A$4</c:f>
              <c:strCache>
                <c:ptCount val="2"/>
                <c:pt idx="0">
                  <c:v>2019年</c:v>
                </c:pt>
                <c:pt idx="1">
                  <c:v>2020年</c:v>
                </c:pt>
              </c:strCache>
            </c:strRef>
          </c:cat>
          <c:val>
            <c:numRef>
              <c:f>Sheet1!$C$3:$C$4</c:f>
              <c:numCache>
                <c:formatCode>General</c:formatCode>
                <c:ptCount val="2"/>
                <c:pt idx="0">
                  <c:v>263.44</c:v>
                </c:pt>
                <c:pt idx="1">
                  <c:v>310.42</c:v>
                </c:pt>
              </c:numCache>
            </c:numRef>
          </c:val>
        </c:ser>
        <c:dLbls>
          <c:showLegendKey val="0"/>
          <c:showVal val="1"/>
          <c:showCatName val="0"/>
          <c:showSerName val="0"/>
          <c:showPercent val="0"/>
          <c:showBubbleSize val="0"/>
        </c:dLbls>
        <c:gapWidth val="150"/>
        <c:axId val="129214720"/>
        <c:axId val="140251136"/>
      </c:barChart>
      <c:catAx>
        <c:axId val="1292147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251136"/>
        <c:crosses val="autoZero"/>
        <c:auto val="1"/>
        <c:lblAlgn val="ctr"/>
        <c:lblOffset val="100"/>
        <c:noMultiLvlLbl val="0"/>
      </c:catAx>
      <c:valAx>
        <c:axId val="140251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921472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Sheet1!$A$2:$A$3</c:f>
              <c:strCache>
                <c:ptCount val="2"/>
                <c:pt idx="0">
                  <c:v>2019年</c:v>
                </c:pt>
                <c:pt idx="1">
                  <c:v>2020年</c:v>
                </c:pt>
              </c:strCache>
            </c:strRef>
          </c:cat>
          <c:val>
            <c:numRef>
              <c:f>Sheet1!$B$2:$B$3</c:f>
              <c:numCache>
                <c:formatCode>General</c:formatCode>
                <c:ptCount val="2"/>
                <c:pt idx="0">
                  <c:v>263.44</c:v>
                </c:pt>
                <c:pt idx="1">
                  <c:v>310.42</c:v>
                </c:pt>
              </c:numCache>
            </c:numRef>
          </c:val>
        </c:ser>
        <c:dLbls>
          <c:showLegendKey val="0"/>
          <c:showVal val="1"/>
          <c:showCatName val="0"/>
          <c:showSerName val="0"/>
          <c:showPercent val="0"/>
          <c:showBubbleSize val="0"/>
        </c:dLbls>
        <c:gapWidth val="150"/>
        <c:overlap val="100"/>
        <c:axId val="188243968"/>
        <c:axId val="188245504"/>
      </c:barChart>
      <c:catAx>
        <c:axId val="1882439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8245504"/>
        <c:crosses val="autoZero"/>
        <c:auto val="1"/>
        <c:lblAlgn val="ctr"/>
        <c:lblOffset val="100"/>
        <c:noMultiLvlLbl val="0"/>
      </c:catAx>
      <c:valAx>
        <c:axId val="1882455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824396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254.76</c:v>
                </c:pt>
                <c:pt idx="1">
                  <c:v>24.28</c:v>
                </c:pt>
                <c:pt idx="2">
                  <c:v>9.93</c:v>
                </c:pt>
                <c:pt idx="3">
                  <c:v>21.45</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“三公”经费财政拨款支出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Sheet1!$A$2:$A$3</c:f>
              <c:strCache>
                <c:ptCount val="2"/>
                <c:pt idx="0">
                  <c:v>2020年预算</c:v>
                </c:pt>
                <c:pt idx="1">
                  <c:v>2020年决算</c:v>
                </c:pt>
              </c:strCache>
            </c:strRef>
          </c:cat>
          <c:val>
            <c:numRef>
              <c:f>Sheet1!$B$2:$B$3</c:f>
              <c:numCache>
                <c:formatCode>General</c:formatCode>
                <c:ptCount val="2"/>
                <c:pt idx="0">
                  <c:v>4.3</c:v>
                </c:pt>
                <c:pt idx="1">
                  <c:v>2.56</c:v>
                </c:pt>
              </c:numCache>
            </c:numRef>
          </c:val>
        </c:ser>
        <c:dLbls>
          <c:showLegendKey val="0"/>
          <c:showVal val="0"/>
          <c:showCatName val="0"/>
          <c:showSerName val="0"/>
          <c:showPercent val="0"/>
          <c:showBubbleSize val="0"/>
        </c:dLbls>
        <c:gapWidth val="150"/>
        <c:overlap val="100"/>
        <c:axId val="188310272"/>
        <c:axId val="188311808"/>
      </c:barChart>
      <c:catAx>
        <c:axId val="1883102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8311808"/>
        <c:crosses val="autoZero"/>
        <c:auto val="1"/>
        <c:lblAlgn val="ctr"/>
        <c:lblOffset val="100"/>
        <c:noMultiLvlLbl val="0"/>
      </c:catAx>
      <c:valAx>
        <c:axId val="1883118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831027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“三公”经费财政拨款支出</c:v>
                </c:pt>
              </c:strCache>
            </c:strRef>
          </c:tx>
          <c:explosion val="0"/>
          <c:dPt>
            <c:idx val="0"/>
            <c:bubble3D val="0"/>
          </c:dPt>
          <c:dLbls>
            <c:dLbl>
              <c:idx val="0"/>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公务用车购置及运行维护费</c:v>
                </c:pt>
              </c:strCache>
            </c:strRef>
          </c:cat>
          <c:val>
            <c:numRef>
              <c:f>Sheet1!$B$2</c:f>
              <c:numCache>
                <c:formatCode>General</c:formatCode>
                <c:ptCount val="1"/>
                <c:pt idx="0">
                  <c:v>2.56</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DCA8F-E5E9-44D6-85E5-D1F1524A99C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1242</Words>
  <Characters>7085</Characters>
  <Lines>59</Lines>
  <Paragraphs>16</Paragraphs>
  <TotalTime>4</TotalTime>
  <ScaleCrop>false</ScaleCrop>
  <LinksUpToDate>false</LinksUpToDate>
  <CharactersWithSpaces>8311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Administrator</cp:lastModifiedBy>
  <cp:lastPrinted>2021-08-24T07:07:00Z</cp:lastPrinted>
  <dcterms:modified xsi:type="dcterms:W3CDTF">2021-08-25T03:24:10Z</dcterms:modified>
  <dc:title>四川省***</dc:title>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6877F18A5CA24540BFBCC644F50A615A</vt:lpwstr>
  </property>
</Properties>
</file>