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宋体" w:hAnsi="宋体" w:eastAsia="方正仿宋简体"/>
          <w:color w:val="000000"/>
          <w:sz w:val="32"/>
          <w:szCs w:val="32"/>
        </w:rPr>
      </w:pPr>
      <w:bookmarkStart w:id="0" w:name="_Toc15306267"/>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spacing w:line="600" w:lineRule="exact"/>
        <w:jc w:val="center"/>
        <w:outlineLvl w:val="9"/>
        <w:rPr>
          <w:rFonts w:ascii="宋体" w:hAnsi="宋体" w:eastAsia="方正仿宋简体"/>
          <w:color w:val="000000"/>
          <w:sz w:val="32"/>
          <w:szCs w:val="32"/>
        </w:rPr>
      </w:pPr>
    </w:p>
    <w:p>
      <w:pPr>
        <w:adjustRightInd w:val="0"/>
        <w:snapToGrid w:val="0"/>
        <w:spacing w:line="660" w:lineRule="exact"/>
        <w:jc w:val="center"/>
        <w:rPr>
          <w:rFonts w:ascii="宋体" w:hAnsi="宋体" w:eastAsia="方正小标宋简体" w:cs="方正小标宋简体"/>
          <w:color w:val="000000"/>
          <w:sz w:val="44"/>
          <w:szCs w:val="44"/>
        </w:rPr>
      </w:pPr>
      <w:bookmarkStart w:id="1" w:name="_Toc15396597"/>
      <w:bookmarkStart w:id="2" w:name="_Toc15378441"/>
      <w:bookmarkStart w:id="3" w:name="_Toc49502702"/>
      <w:bookmarkStart w:id="4" w:name="_Toc15377193"/>
      <w:bookmarkStart w:id="5" w:name="_Toc15396475"/>
      <w:bookmarkStart w:id="6" w:name="_Toc17103546"/>
      <w:bookmarkStart w:id="7" w:name="_Toc15377425"/>
      <w:r>
        <w:rPr>
          <w:rFonts w:hint="eastAsia" w:ascii="宋体" w:hAnsi="宋体" w:eastAsia="方正小标宋简体" w:cs="方正小标宋简体"/>
          <w:color w:val="000000"/>
          <w:sz w:val="44"/>
          <w:szCs w:val="44"/>
        </w:rPr>
        <w:t>四川省资阳市雁江区文化市场综合执法</w:t>
      </w:r>
    </w:p>
    <w:p>
      <w:pPr>
        <w:adjustRightInd w:val="0"/>
        <w:snapToGrid w:val="0"/>
        <w:spacing w:line="6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大队2020年</w:t>
      </w:r>
      <w:bookmarkEnd w:id="0"/>
      <w:bookmarkEnd w:id="1"/>
      <w:bookmarkEnd w:id="2"/>
      <w:bookmarkEnd w:id="3"/>
      <w:bookmarkEnd w:id="4"/>
      <w:bookmarkEnd w:id="5"/>
      <w:bookmarkEnd w:id="6"/>
      <w:bookmarkEnd w:id="7"/>
      <w:bookmarkStart w:id="8" w:name="_Toc17103547"/>
      <w:bookmarkStart w:id="9" w:name="_Toc15377194"/>
      <w:bookmarkStart w:id="10" w:name="_Toc15377426"/>
      <w:bookmarkStart w:id="11" w:name="_Toc15396598"/>
      <w:bookmarkStart w:id="12" w:name="_Toc15396476"/>
      <w:bookmarkStart w:id="13" w:name="_Toc15378442"/>
      <w:bookmarkStart w:id="14" w:name="_Toc15306268"/>
      <w:bookmarkStart w:id="15" w:name="_Toc49502703"/>
      <w:r>
        <w:rPr>
          <w:rFonts w:hint="eastAsia" w:ascii="宋体" w:hAnsi="宋体" w:eastAsia="方正小标宋简体" w:cs="方正小标宋简体"/>
          <w:color w:val="000000"/>
          <w:sz w:val="44"/>
          <w:szCs w:val="44"/>
        </w:rPr>
        <w:t>部门决算</w:t>
      </w:r>
      <w:bookmarkEnd w:id="8"/>
      <w:bookmarkEnd w:id="9"/>
      <w:bookmarkEnd w:id="10"/>
      <w:bookmarkEnd w:id="11"/>
      <w:bookmarkEnd w:id="12"/>
      <w:bookmarkEnd w:id="13"/>
      <w:bookmarkEnd w:id="14"/>
      <w:r>
        <w:rPr>
          <w:rFonts w:hint="eastAsia" w:ascii="宋体" w:hAnsi="宋体" w:eastAsia="方正小标宋简体" w:cs="方正小标宋简体"/>
          <w:color w:val="000000"/>
          <w:sz w:val="44"/>
          <w:szCs w:val="44"/>
        </w:rPr>
        <w:t>公开说明</w:t>
      </w:r>
      <w:bookmarkEnd w:id="15"/>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hint="eastAsia" w:ascii="宋体" w:hAnsi="宋体" w:eastAsia="方正小标宋简体" w:cs="方正小标宋简体"/>
          <w:color w:val="000000"/>
          <w:sz w:val="32"/>
          <w:szCs w:val="32"/>
        </w:rPr>
      </w:pPr>
    </w:p>
    <w:p>
      <w:pPr>
        <w:widowControl/>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32"/>
          <w:szCs w:val="32"/>
        </w:rPr>
        <w:t>公开时间：</w:t>
      </w:r>
      <w:r>
        <w:rPr>
          <w:rFonts w:ascii="宋体" w:hAnsi="宋体" w:eastAsia="方正小标宋简体" w:cs="方正小标宋简体"/>
          <w:color w:val="000000"/>
          <w:sz w:val="32"/>
          <w:szCs w:val="32"/>
        </w:rPr>
        <w:t>2021</w:t>
      </w:r>
      <w:r>
        <w:rPr>
          <w:rFonts w:hint="eastAsia" w:ascii="宋体" w:hAnsi="宋体" w:eastAsia="方正小标宋简体" w:cs="方正小标宋简体"/>
          <w:color w:val="000000"/>
          <w:sz w:val="32"/>
          <w:szCs w:val="32"/>
        </w:rPr>
        <w:t>年8 月31 日</w:t>
      </w:r>
      <w:bookmarkStart w:id="138" w:name="_GoBack"/>
      <w:bookmarkEnd w:id="138"/>
      <w:r>
        <w:rPr>
          <w:rFonts w:hint="eastAsia" w:ascii="宋体" w:hAnsi="宋体" w:eastAsia="方正仿宋简体"/>
          <w:color w:val="000000"/>
          <w:sz w:val="32"/>
          <w:szCs w:val="32"/>
        </w:rPr>
        <w:br w:type="page"/>
      </w:r>
      <w:bookmarkStart w:id="16" w:name="_Toc15377196"/>
    </w:p>
    <w:sdt>
      <w:sdtPr>
        <w:rPr>
          <w:rFonts w:ascii="宋体" w:hAnsi="宋体" w:eastAsia="宋体" w:cs="Times New Roman"/>
          <w:kern w:val="2"/>
          <w:sz w:val="21"/>
          <w:szCs w:val="24"/>
          <w:lang w:val="en-US" w:eastAsia="zh-CN" w:bidi="ar-SA"/>
        </w:rPr>
        <w:id w:val="147452631"/>
        <w15:color w:val="DBDBDB"/>
        <w:docPartObj>
          <w:docPartGallery w:val="Table of Contents"/>
          <w:docPartUnique/>
        </w:docPartObj>
      </w:sdtPr>
      <w:sdtEndPr>
        <w:rPr>
          <w:rFonts w:ascii="宋体" w:hAnsi="宋体" w:eastAsia="方正小标宋简体" w:cs="方正小标宋简体"/>
          <w:color w:val="000000"/>
          <w:kern w:val="2"/>
          <w:sz w:val="21"/>
          <w:szCs w:val="32"/>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10"/>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color w:val="000000"/>
              <w:sz w:val="32"/>
              <w:szCs w:val="32"/>
            </w:rPr>
            <w:instrText xml:space="preserve">TOC \o "1-3" \h \u </w:instrText>
          </w:r>
          <w:r>
            <w:rPr>
              <w:rFonts w:hint="eastAsia" w:ascii="Times New Roman" w:hAnsi="Times New Roman" w:eastAsia="方正仿宋简体" w:cs="方正仿宋简体"/>
              <w:color w:val="000000"/>
              <w:sz w:val="32"/>
              <w:szCs w:val="32"/>
            </w:rPr>
            <w:fldChar w:fldCharType="separate"/>
          </w: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_Toc17068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第一部分 部门概况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_Toc17068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_Toc28380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一、基本职能及主要工作</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_Toc28380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_Toc15637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（一）主要职能</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_Toc15637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_Toc1853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（二）2020年重点工作完成情况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_Toc1853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_Toc17082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二、机构设置</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_Toc17082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_Toc22801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（一）机构情况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_Toc22801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_Toc14225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（二）人员情况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_Toc14225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_Toc946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第二部分2020年度部门决算情况说明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_Toc946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3</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_Toc17376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一、收入支出决算总体情况说明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_Toc17376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3</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_Toc17240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二、收入决算情况说明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_Toc17240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3</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_Toc15325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三、支出决算情况说明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_Toc15325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4</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_Toc2230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四、财政拨款收入支出决算总体情况说明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_Toc2230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5</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_Toc28001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五、一般公共预算财政拨款支出决算情况说明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_Toc28001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5</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_Toc21102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（一）一般公共预算财政拨款支出决算总体情况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_Toc21102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5</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_Toc19464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（二）一般公共预算财政拨款支出决算结构情况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_Toc19464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6</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_Toc32551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（三）一般公共预算财政拨款支出决算具体情况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_Toc32551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7</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_Toc30580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六、一般公共预算财政拨款基本支出决算情况说明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_Toc30580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8</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_Toc17735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七、“三公”经费财政拨款支出决算情况说明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_Toc17735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9</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_Toc13454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（一）“三公”经费财政拨款支出决算总体情况说明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_Toc13454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9</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_Toc9640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（二）“三公”经费财政拨款支出决算具体情况说明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_Toc9640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9</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_Toc31231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八、政府性基金预算支出决算情况说明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_Toc31231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_Toc6331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九、国有资本经营预算支出决算情况说明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_Toc6331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_Toc28979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十、预算绩效情况说明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_Toc28979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_Toc29172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（一）预算绩效管理工作开展情况。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_Toc29172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11</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_Toc6306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（二）项目绩效目标完成情况。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_Toc6306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12</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_Toc4988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（三）部门开展绩效评价结果。部门开展绩效评价结果。</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_Toc4988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17</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_Toc22834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十一、其他重要事项的情况说明</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_Toc22834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17</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_Toc7282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（一）机关运行经费支出情况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_Toc7282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17</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_Toc12279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（二）政府采购支出情况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_Toc12279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18</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6"/>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_Toc20043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sz w:val="32"/>
              <w:szCs w:val="32"/>
            </w:rPr>
            <w:t>（三）国有资产占有使用情况</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_Toc20043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18</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_Toc22167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第三部分 名词解释</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_Toc22167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19</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_Toc2570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第四部分 附件</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_Toc2570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23</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_Toc26648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val="0"/>
              <w:sz w:val="32"/>
              <w:szCs w:val="32"/>
            </w:rPr>
            <w:t>附件1：</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_Toc26648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23</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1"/>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_Toc3179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bCs w:val="0"/>
              <w:sz w:val="32"/>
              <w:szCs w:val="32"/>
            </w:rPr>
            <w:t>附件2：</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_Toc3179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27</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pStyle w:val="10"/>
            <w:keepNext w:val="0"/>
            <w:keepLines w:val="0"/>
            <w:pageBreakBefore w:val="0"/>
            <w:tabs>
              <w:tab w:val="right" w:leader="dot" w:pos="8306"/>
              <w:tab w:val="clear" w:pos="8296"/>
            </w:tabs>
            <w:kinsoku/>
            <w:wordWrap/>
            <w:overflowPunct/>
            <w:topLinePunct w:val="0"/>
            <w:autoSpaceDE/>
            <w:autoSpaceDN/>
            <w:bidi w:val="0"/>
            <w:spacing w:line="600" w:lineRule="exact"/>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color w:val="000000"/>
              <w:sz w:val="32"/>
              <w:szCs w:val="32"/>
            </w:rPr>
            <w:fldChar w:fldCharType="begin"/>
          </w:r>
          <w:r>
            <w:rPr>
              <w:rFonts w:hint="eastAsia" w:ascii="Times New Roman" w:hAnsi="Times New Roman" w:eastAsia="方正仿宋简体" w:cs="方正仿宋简体"/>
              <w:sz w:val="32"/>
              <w:szCs w:val="32"/>
            </w:rPr>
            <w:instrText xml:space="preserve"> HYPERLINK \l _Toc11498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第五部分 附表</w:t>
          </w:r>
          <w:r>
            <w:rPr>
              <w:rFonts w:hint="eastAsia" w:ascii="Times New Roman" w:hAnsi="Times New Roman" w:eastAsia="方正仿宋简体" w:cs="方正仿宋简体"/>
              <w:sz w:val="32"/>
              <w:szCs w:val="32"/>
            </w:rPr>
            <w:tab/>
          </w:r>
          <w:r>
            <w:rPr>
              <w:rFonts w:hint="eastAsia" w:ascii="Times New Roman" w:hAnsi="Times New Roman" w:eastAsia="方正仿宋简体" w:cs="方正仿宋简体"/>
              <w:sz w:val="32"/>
              <w:szCs w:val="32"/>
            </w:rPr>
            <w:fldChar w:fldCharType="begin"/>
          </w:r>
          <w:r>
            <w:rPr>
              <w:rFonts w:hint="eastAsia" w:ascii="Times New Roman" w:hAnsi="Times New Roman" w:eastAsia="方正仿宋简体" w:cs="方正仿宋简体"/>
              <w:sz w:val="32"/>
              <w:szCs w:val="32"/>
            </w:rPr>
            <w:instrText xml:space="preserve"> PAGEREF _Toc11498 \h </w:instrText>
          </w:r>
          <w:r>
            <w:rPr>
              <w:rFonts w:hint="eastAsia" w:ascii="Times New Roman" w:hAnsi="Times New Roman" w:eastAsia="方正仿宋简体" w:cs="方正仿宋简体"/>
              <w:sz w:val="32"/>
              <w:szCs w:val="32"/>
            </w:rPr>
            <w:fldChar w:fldCharType="separate"/>
          </w:r>
          <w:r>
            <w:rPr>
              <w:rFonts w:hint="eastAsia" w:ascii="Times New Roman" w:hAnsi="Times New Roman" w:eastAsia="方正仿宋简体" w:cs="方正仿宋简体"/>
              <w:sz w:val="32"/>
              <w:szCs w:val="32"/>
            </w:rPr>
            <w:t>29</w:t>
          </w:r>
          <w:r>
            <w:rPr>
              <w:rFonts w:hint="eastAsia" w:ascii="Times New Roman" w:hAnsi="Times New Roman" w:eastAsia="方正仿宋简体" w:cs="方正仿宋简体"/>
              <w:sz w:val="32"/>
              <w:szCs w:val="32"/>
            </w:rPr>
            <w:fldChar w:fldCharType="end"/>
          </w:r>
          <w:r>
            <w:rPr>
              <w:rFonts w:hint="eastAsia" w:ascii="Times New Roman" w:hAnsi="Times New Roman" w:eastAsia="方正仿宋简体" w:cs="方正仿宋简体"/>
              <w:color w:val="000000"/>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宋体" w:hAnsi="宋体" w:eastAsia="方正小标宋简体"/>
              <w:sz w:val="32"/>
              <w:szCs w:val="32"/>
            </w:rPr>
            <w:sectPr>
              <w:headerReference r:id="rId3" w:type="default"/>
              <w:pgSz w:w="11906" w:h="16838"/>
              <w:pgMar w:top="1440" w:right="1800" w:bottom="1440" w:left="1800" w:header="851" w:footer="992" w:gutter="0"/>
              <w:pgNumType w:start="1"/>
              <w:cols w:space="425" w:num="1"/>
              <w:titlePg/>
              <w:docGrid w:type="lines" w:linePitch="312" w:charSpace="0"/>
            </w:sectPr>
          </w:pPr>
          <w:r>
            <w:rPr>
              <w:rFonts w:hint="eastAsia" w:ascii="Times New Roman" w:hAnsi="Times New Roman" w:eastAsia="方正仿宋简体" w:cs="方正仿宋简体"/>
              <w:color w:val="000000"/>
              <w:sz w:val="32"/>
              <w:szCs w:val="32"/>
            </w:rPr>
            <w:fldChar w:fldCharType="end"/>
          </w:r>
          <w:bookmarkStart w:id="17" w:name="_Toc17103549"/>
        </w:p>
      </w:sdtContent>
    </w:sdt>
    <w:p>
      <w:pPr>
        <w:jc w:val="center"/>
        <w:outlineLvl w:val="0"/>
        <w:rPr>
          <w:rStyle w:val="24"/>
          <w:rFonts w:ascii="宋体" w:hAnsi="宋体" w:eastAsia="方正小标宋简体"/>
        </w:rPr>
      </w:pPr>
      <w:bookmarkStart w:id="18" w:name="_Toc22557"/>
      <w:bookmarkStart w:id="19" w:name="_Toc17068"/>
      <w:r>
        <w:rPr>
          <w:rFonts w:hint="eastAsia" w:ascii="宋体" w:hAnsi="宋体" w:eastAsia="方正小标宋简体"/>
          <w:sz w:val="44"/>
          <w:szCs w:val="44"/>
        </w:rPr>
        <w:t xml:space="preserve">第一部分 </w:t>
      </w:r>
      <w:r>
        <w:rPr>
          <w:rStyle w:val="24"/>
          <w:rFonts w:hint="eastAsia" w:ascii="宋体" w:hAnsi="宋体" w:eastAsia="方正小标宋简体"/>
        </w:rPr>
        <w:t>部门概况</w:t>
      </w:r>
      <w:bookmarkEnd w:id="16"/>
      <w:bookmarkEnd w:id="17"/>
      <w:bookmarkEnd w:id="18"/>
      <w:bookmarkEnd w:id="19"/>
      <w:bookmarkStart w:id="20" w:name="_Toc15378445"/>
      <w:bookmarkStart w:id="21" w:name="_Toc15377198"/>
    </w:p>
    <w:p>
      <w:pPr>
        <w:ind w:firstLine="640" w:firstLineChars="200"/>
        <w:rPr>
          <w:rFonts w:ascii="宋体" w:hAnsi="宋体" w:eastAsia="黑体"/>
          <w:sz w:val="32"/>
          <w:szCs w:val="32"/>
        </w:rPr>
      </w:pPr>
    </w:p>
    <w:p>
      <w:pPr>
        <w:spacing w:line="580" w:lineRule="exact"/>
        <w:ind w:firstLine="640" w:firstLineChars="200"/>
        <w:outlineLvl w:val="1"/>
        <w:rPr>
          <w:rFonts w:ascii="宋体" w:hAnsi="宋体" w:eastAsia="方正黑体简体" w:cs="方正黑体简体"/>
          <w:sz w:val="32"/>
          <w:szCs w:val="32"/>
        </w:rPr>
      </w:pPr>
      <w:bookmarkStart w:id="22" w:name="_Toc23073"/>
      <w:bookmarkStart w:id="23" w:name="_Toc28380"/>
      <w:r>
        <w:rPr>
          <w:rFonts w:hint="eastAsia" w:ascii="宋体" w:hAnsi="宋体" w:eastAsia="方正黑体简体" w:cs="方正黑体简体"/>
          <w:sz w:val="32"/>
          <w:szCs w:val="32"/>
        </w:rPr>
        <w:t>一、基本职能及主要工作</w:t>
      </w:r>
      <w:bookmarkEnd w:id="22"/>
      <w:bookmarkEnd w:id="23"/>
    </w:p>
    <w:p>
      <w:pPr>
        <w:spacing w:line="580" w:lineRule="exact"/>
        <w:ind w:firstLine="643" w:firstLineChars="200"/>
        <w:outlineLvl w:val="2"/>
        <w:rPr>
          <w:rFonts w:ascii="宋体" w:hAnsi="宋体" w:eastAsia="方正楷体简体" w:cs="方正楷体简体"/>
          <w:b/>
          <w:bCs/>
          <w:color w:val="000000"/>
          <w:sz w:val="32"/>
          <w:szCs w:val="32"/>
        </w:rPr>
      </w:pPr>
      <w:bookmarkStart w:id="24" w:name="_Toc15637"/>
      <w:r>
        <w:rPr>
          <w:rFonts w:hint="eastAsia" w:ascii="宋体" w:hAnsi="宋体" w:eastAsia="方正楷体简体" w:cs="方正楷体简体"/>
          <w:b/>
          <w:bCs/>
          <w:color w:val="000000"/>
          <w:sz w:val="32"/>
          <w:szCs w:val="32"/>
        </w:rPr>
        <w:t>（一）主要职能</w:t>
      </w:r>
      <w:bookmarkEnd w:id="20"/>
      <w:bookmarkEnd w:id="21"/>
      <w:bookmarkEnd w:id="24"/>
    </w:p>
    <w:p>
      <w:pPr>
        <w:spacing w:line="580" w:lineRule="exact"/>
        <w:ind w:firstLine="640" w:firstLineChars="200"/>
        <w:rPr>
          <w:rFonts w:ascii="宋体" w:hAnsi="宋体"/>
          <w:kern w:val="44"/>
          <w:sz w:val="44"/>
          <w:szCs w:val="44"/>
        </w:rPr>
      </w:pPr>
      <w:r>
        <w:rPr>
          <w:rFonts w:hint="eastAsia" w:ascii="宋体" w:hAnsi="宋体" w:eastAsia="方正仿宋简体"/>
          <w:sz w:val="32"/>
          <w:szCs w:val="32"/>
        </w:rPr>
        <w:t>本单位依据法律、法规和国务院、省、市、区政府有关规定和程序，行使对文化市场管理的行政处罚权，以及相关的行政强制、监督检查职责。</w:t>
      </w:r>
    </w:p>
    <w:p>
      <w:pPr>
        <w:spacing w:line="580" w:lineRule="exact"/>
        <w:ind w:firstLine="643" w:firstLineChars="200"/>
        <w:outlineLvl w:val="2"/>
        <w:rPr>
          <w:rFonts w:ascii="宋体" w:hAnsi="宋体" w:eastAsia="方正楷体简体" w:cs="方正楷体简体"/>
          <w:b/>
          <w:bCs/>
          <w:color w:val="000000"/>
          <w:sz w:val="32"/>
          <w:szCs w:val="32"/>
        </w:rPr>
      </w:pPr>
      <w:bookmarkStart w:id="25" w:name="_Toc15377199"/>
      <w:bookmarkStart w:id="26" w:name="_Toc15378446"/>
      <w:bookmarkStart w:id="27" w:name="_Toc1853"/>
      <w:r>
        <w:rPr>
          <w:rFonts w:hint="eastAsia" w:ascii="宋体" w:hAnsi="宋体" w:eastAsia="方正楷体简体" w:cs="方正楷体简体"/>
          <w:b/>
          <w:bCs/>
          <w:color w:val="000000"/>
          <w:sz w:val="32"/>
          <w:szCs w:val="32"/>
        </w:rPr>
        <w:t>（二）2020年重点工作完成情况</w:t>
      </w:r>
      <w:bookmarkEnd w:id="25"/>
      <w:bookmarkEnd w:id="26"/>
      <w:bookmarkEnd w:id="27"/>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2020年执法大队在区委、区政府及区文广旅局的正确领导下，在区财政局的大力支持下，我执法大队立足文化市场工作实际，以提升执法队伍综合素质、执法水平、办案能力为重点，强化队伍建设，着力提升行政执法水平，切实履行职责，开展有计划有重点地文化市场日常监管、网吧及全区娱乐场所专项整治行动、出版物市场专项治理、扎实开展扫黄打非专项行动、文物及艺术品市场执法工作得到加强；开展演出市场整治，规范演出活动；特别是双创工作中，部门联动，取得了较好的成绩，在疫情防控方面也取得了较好的成绩，使文化经营场所安全得以上这些工作如果没有政府财政财务的支持，我执法大队就不能有效的整顿和规范文化市场经济秩序，促进我区文化市场健康有序的发展。</w:t>
      </w:r>
      <w:bookmarkStart w:id="28" w:name="_Toc17103551"/>
      <w:bookmarkStart w:id="29" w:name="_Toc15377200"/>
    </w:p>
    <w:p>
      <w:pPr>
        <w:spacing w:line="580" w:lineRule="exact"/>
        <w:ind w:firstLine="640" w:firstLineChars="200"/>
        <w:outlineLvl w:val="1"/>
        <w:rPr>
          <w:rFonts w:ascii="宋体" w:hAnsi="宋体" w:eastAsia="方正黑体简体" w:cs="方正黑体简体"/>
          <w:sz w:val="32"/>
          <w:szCs w:val="32"/>
        </w:rPr>
      </w:pPr>
      <w:bookmarkStart w:id="30" w:name="_Toc6633"/>
      <w:bookmarkStart w:id="31" w:name="_Toc17082"/>
      <w:r>
        <w:rPr>
          <w:rFonts w:hint="eastAsia" w:ascii="宋体" w:hAnsi="宋体" w:eastAsia="方正黑体简体" w:cs="方正黑体简体"/>
          <w:sz w:val="32"/>
          <w:szCs w:val="32"/>
        </w:rPr>
        <w:t>二、机构设置</w:t>
      </w:r>
      <w:bookmarkEnd w:id="28"/>
      <w:bookmarkEnd w:id="29"/>
      <w:bookmarkEnd w:id="30"/>
      <w:bookmarkEnd w:id="31"/>
    </w:p>
    <w:p>
      <w:pPr>
        <w:spacing w:line="580" w:lineRule="exact"/>
        <w:ind w:firstLine="643" w:firstLineChars="200"/>
        <w:outlineLvl w:val="2"/>
        <w:rPr>
          <w:rFonts w:ascii="宋体" w:hAnsi="宋体" w:eastAsia="方正楷体简体" w:cs="方正楷体简体"/>
          <w:b/>
          <w:bCs/>
          <w:color w:val="000000"/>
          <w:sz w:val="32"/>
          <w:szCs w:val="32"/>
        </w:rPr>
      </w:pPr>
      <w:bookmarkStart w:id="32" w:name="_Toc22801"/>
      <w:r>
        <w:rPr>
          <w:rFonts w:hint="eastAsia" w:ascii="宋体" w:hAnsi="宋体" w:eastAsia="方正楷体简体" w:cs="方正楷体简体"/>
          <w:b/>
          <w:bCs/>
          <w:color w:val="000000"/>
          <w:sz w:val="32"/>
          <w:szCs w:val="32"/>
        </w:rPr>
        <w:t>（一）机构情况</w:t>
      </w:r>
      <w:bookmarkEnd w:id="32"/>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本单位属于参公的事业单位，1个机构。</w:t>
      </w:r>
    </w:p>
    <w:p>
      <w:pPr>
        <w:spacing w:line="580" w:lineRule="exact"/>
        <w:ind w:firstLine="643" w:firstLineChars="200"/>
        <w:outlineLvl w:val="2"/>
        <w:rPr>
          <w:rFonts w:ascii="宋体" w:hAnsi="宋体" w:eastAsia="方正楷体简体" w:cs="方正楷体简体"/>
          <w:b/>
          <w:bCs/>
          <w:color w:val="000000"/>
          <w:sz w:val="32"/>
          <w:szCs w:val="32"/>
        </w:rPr>
      </w:pPr>
      <w:bookmarkStart w:id="33" w:name="_Toc14225"/>
      <w:r>
        <w:rPr>
          <w:rFonts w:hint="eastAsia" w:ascii="宋体" w:hAnsi="宋体" w:eastAsia="方正楷体简体" w:cs="方正楷体简体"/>
          <w:b/>
          <w:bCs/>
          <w:color w:val="000000"/>
          <w:sz w:val="32"/>
          <w:szCs w:val="32"/>
        </w:rPr>
        <w:t>（二）人员情况</w:t>
      </w:r>
      <w:bookmarkEnd w:id="33"/>
    </w:p>
    <w:p>
      <w:pPr>
        <w:widowControl/>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本单位编制人数15人，年末实有人数10人。</w:t>
      </w:r>
    </w:p>
    <w:p>
      <w:pPr>
        <w:widowControl/>
        <w:spacing w:line="580" w:lineRule="exact"/>
        <w:jc w:val="center"/>
        <w:outlineLvl w:val="0"/>
        <w:rPr>
          <w:rFonts w:ascii="宋体" w:hAnsi="宋体" w:eastAsia="方正小标宋简体" w:cs="方正小标宋简体"/>
          <w:b/>
          <w:color w:val="000000"/>
          <w:kern w:val="0"/>
          <w:sz w:val="44"/>
          <w:szCs w:val="44"/>
        </w:rPr>
      </w:pPr>
      <w:r>
        <w:rPr>
          <w:rFonts w:hint="eastAsia" w:ascii="宋体" w:hAnsi="宋体" w:eastAsia="方正仿宋简体"/>
          <w:color w:val="000000"/>
          <w:sz w:val="32"/>
          <w:szCs w:val="32"/>
        </w:rPr>
        <w:br w:type="page"/>
      </w:r>
      <w:bookmarkStart w:id="34" w:name="_Toc17103552"/>
      <w:bookmarkStart w:id="35" w:name="_Toc28808"/>
      <w:bookmarkStart w:id="36" w:name="_Toc15377204"/>
      <w:bookmarkStart w:id="37" w:name="_Toc946"/>
      <w:r>
        <w:rPr>
          <w:rFonts w:hint="eastAsia" w:ascii="宋体" w:hAnsi="宋体" w:eastAsia="方正小标宋简体" w:cs="方正小标宋简体"/>
          <w:color w:val="000000"/>
          <w:sz w:val="44"/>
          <w:szCs w:val="44"/>
        </w:rPr>
        <w:t>第二部分</w:t>
      </w:r>
      <w:r>
        <w:rPr>
          <w:rStyle w:val="24"/>
          <w:rFonts w:hint="eastAsia" w:ascii="宋体" w:hAnsi="宋体" w:eastAsia="方正小标宋简体" w:cs="方正小标宋简体"/>
        </w:rPr>
        <w:t>2020年度部门决算情况说明</w:t>
      </w:r>
      <w:bookmarkEnd w:id="34"/>
      <w:bookmarkEnd w:id="35"/>
      <w:bookmarkEnd w:id="36"/>
      <w:bookmarkEnd w:id="37"/>
    </w:p>
    <w:p>
      <w:pPr>
        <w:spacing w:line="600" w:lineRule="exact"/>
        <w:outlineLvl w:val="9"/>
        <w:rPr>
          <w:rFonts w:ascii="宋体" w:hAnsi="宋体" w:eastAsia="黑体"/>
          <w:color w:val="000000"/>
          <w:sz w:val="32"/>
          <w:szCs w:val="32"/>
        </w:rPr>
      </w:pPr>
      <w:bookmarkStart w:id="38" w:name="_Toc15377205"/>
      <w:bookmarkStart w:id="39" w:name="_Toc17103553"/>
    </w:p>
    <w:p>
      <w:pPr>
        <w:spacing w:line="580" w:lineRule="exact"/>
        <w:ind w:firstLine="640" w:firstLineChars="200"/>
        <w:outlineLvl w:val="1"/>
        <w:rPr>
          <w:rFonts w:ascii="宋体" w:hAnsi="宋体" w:eastAsia="方正黑体简体" w:cs="方正黑体简体"/>
          <w:sz w:val="32"/>
          <w:szCs w:val="32"/>
        </w:rPr>
      </w:pPr>
      <w:bookmarkStart w:id="40" w:name="_Toc13431"/>
      <w:bookmarkStart w:id="41" w:name="_Toc17376"/>
      <w:r>
        <w:rPr>
          <w:rFonts w:hint="eastAsia" w:ascii="宋体" w:hAnsi="宋体" w:eastAsia="方正黑体简体" w:cs="方正黑体简体"/>
          <w:sz w:val="32"/>
          <w:szCs w:val="32"/>
        </w:rPr>
        <w:t>一、收入支出决算总体情况说明</w:t>
      </w:r>
      <w:bookmarkEnd w:id="38"/>
      <w:bookmarkEnd w:id="39"/>
      <w:bookmarkEnd w:id="40"/>
      <w:bookmarkEnd w:id="41"/>
    </w:p>
    <w:p>
      <w:pPr>
        <w:spacing w:line="600" w:lineRule="exact"/>
        <w:ind w:firstLine="640" w:firstLineChars="200"/>
        <w:rPr>
          <w:rFonts w:ascii="宋体" w:hAnsi="宋体" w:eastAsia="方正仿宋简体"/>
          <w:sz w:val="32"/>
          <w:szCs w:val="32"/>
        </w:rPr>
      </w:pPr>
      <w:bookmarkStart w:id="42" w:name="_Toc49502709"/>
      <w:r>
        <w:rPr>
          <w:rFonts w:hint="eastAsia" w:ascii="宋体" w:hAnsi="宋体" w:eastAsia="方正仿宋简体"/>
          <w:sz w:val="32"/>
          <w:szCs w:val="32"/>
        </w:rPr>
        <w:t>2020年度收、支总计各193.77万元。</w:t>
      </w:r>
      <w:bookmarkEnd w:id="42"/>
      <w:r>
        <w:rPr>
          <w:rFonts w:hint="eastAsia" w:ascii="宋体" w:hAnsi="宋体" w:eastAsia="方正仿宋简体"/>
          <w:sz w:val="32"/>
          <w:szCs w:val="32"/>
        </w:rPr>
        <w:t>与</w:t>
      </w:r>
      <w:r>
        <w:rPr>
          <w:rFonts w:ascii="宋体" w:hAnsi="宋体" w:eastAsia="方正仿宋简体"/>
          <w:sz w:val="32"/>
          <w:szCs w:val="32"/>
        </w:rPr>
        <w:t>2019</w:t>
      </w:r>
      <w:r>
        <w:rPr>
          <w:rFonts w:hint="eastAsia" w:ascii="宋体" w:hAnsi="宋体" w:eastAsia="方正仿宋简体"/>
          <w:sz w:val="32"/>
          <w:szCs w:val="32"/>
        </w:rPr>
        <w:t>年147.50万元相比，收、支总计各增加46.27万元，增长31</w:t>
      </w:r>
      <w:r>
        <w:rPr>
          <w:rFonts w:ascii="宋体" w:hAnsi="宋体" w:eastAsia="方正仿宋简体"/>
          <w:sz w:val="32"/>
          <w:szCs w:val="32"/>
        </w:rPr>
        <w:t>%</w:t>
      </w:r>
      <w:r>
        <w:rPr>
          <w:rFonts w:hint="eastAsia" w:ascii="宋体" w:hAnsi="宋体" w:eastAsia="方正仿宋简体"/>
          <w:sz w:val="32"/>
          <w:szCs w:val="32"/>
        </w:rPr>
        <w:t>。主要变动原因是职工工资增加。</w:t>
      </w:r>
    </w:p>
    <w:p>
      <w:pPr>
        <w:pStyle w:val="23"/>
        <w:spacing w:line="580" w:lineRule="exact"/>
        <w:ind w:firstLine="640"/>
        <w:rPr>
          <w:rFonts w:ascii="宋体" w:hAnsi="宋体" w:eastAsia="方正仿宋简体" w:cstheme="majorBidi"/>
          <w:bCs/>
          <w:sz w:val="32"/>
          <w:szCs w:val="32"/>
        </w:rPr>
      </w:pPr>
      <w:r>
        <w:rPr>
          <w:rStyle w:val="25"/>
          <w:rFonts w:hint="eastAsia" w:ascii="宋体" w:hAnsi="宋体" w:eastAsia="方正仿宋简体"/>
          <w:b w:val="0"/>
        </w:rPr>
        <w:drawing>
          <wp:anchor distT="0" distB="0" distL="114300" distR="114300" simplePos="0" relativeHeight="251659264" behindDoc="0" locked="0" layoutInCell="1" allowOverlap="1">
            <wp:simplePos x="0" y="0"/>
            <wp:positionH relativeFrom="column">
              <wp:posOffset>525145</wp:posOffset>
            </wp:positionH>
            <wp:positionV relativeFrom="paragraph">
              <wp:posOffset>193040</wp:posOffset>
            </wp:positionV>
            <wp:extent cx="5080000" cy="3810000"/>
            <wp:effectExtent l="19050" t="0" r="2540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宋体" w:hAnsi="宋体" w:eastAsia="方正仿宋简体"/>
          <w:color w:val="000000" w:themeColor="text1"/>
          <w:sz w:val="32"/>
          <w:szCs w:val="32"/>
        </w:rPr>
        <w:t>（图1：收、支决算总计变动情况图）（柱状图）</w:t>
      </w:r>
    </w:p>
    <w:p>
      <w:pPr>
        <w:spacing w:line="580" w:lineRule="exact"/>
        <w:ind w:firstLine="640" w:firstLineChars="200"/>
        <w:outlineLvl w:val="1"/>
        <w:rPr>
          <w:rFonts w:ascii="宋体" w:hAnsi="宋体" w:eastAsia="方正黑体简体" w:cs="方正黑体简体"/>
          <w:sz w:val="32"/>
          <w:szCs w:val="32"/>
        </w:rPr>
      </w:pPr>
      <w:bookmarkStart w:id="43" w:name="_Toc15377206"/>
      <w:bookmarkStart w:id="44" w:name="_Toc17103554"/>
      <w:bookmarkStart w:id="45" w:name="_Toc13367"/>
      <w:bookmarkStart w:id="46" w:name="_Toc17240"/>
      <w:r>
        <w:rPr>
          <w:rFonts w:hint="eastAsia" w:ascii="宋体" w:hAnsi="宋体" w:eastAsia="方正黑体简体" w:cs="方正黑体简体"/>
          <w:sz w:val="32"/>
          <w:szCs w:val="32"/>
        </w:rPr>
        <w:t>二、收入决算情况说明</w:t>
      </w:r>
      <w:bookmarkEnd w:id="43"/>
      <w:bookmarkEnd w:id="44"/>
      <w:bookmarkEnd w:id="45"/>
      <w:bookmarkEnd w:id="46"/>
    </w:p>
    <w:p>
      <w:pPr>
        <w:spacing w:line="600" w:lineRule="exact"/>
        <w:ind w:firstLine="640" w:firstLineChars="200"/>
        <w:outlineLvl w:val="9"/>
        <w:rPr>
          <w:rFonts w:ascii="宋体" w:hAnsi="宋体" w:eastAsia="方正仿宋简体"/>
          <w:sz w:val="32"/>
          <w:szCs w:val="32"/>
        </w:rPr>
      </w:pPr>
      <w:r>
        <w:rPr>
          <w:rFonts w:ascii="宋体" w:hAnsi="宋体" w:eastAsia="方正仿宋简体"/>
          <w:sz w:val="32"/>
          <w:szCs w:val="32"/>
        </w:rPr>
        <w:t>2020</w:t>
      </w:r>
      <w:r>
        <w:rPr>
          <w:rFonts w:hint="eastAsia" w:ascii="宋体" w:hAnsi="宋体" w:eastAsia="方正仿宋简体"/>
          <w:sz w:val="32"/>
          <w:szCs w:val="32"/>
        </w:rPr>
        <w:t>年本年收入合计173.66万元，其中：一般公共预算财政拨款收入173.66万元，占100</w:t>
      </w:r>
      <w:r>
        <w:rPr>
          <w:rFonts w:ascii="宋体" w:hAnsi="宋体" w:eastAsia="方正仿宋简体"/>
          <w:sz w:val="32"/>
          <w:szCs w:val="32"/>
        </w:rPr>
        <w:t>%</w:t>
      </w:r>
      <w:r>
        <w:rPr>
          <w:rFonts w:hint="eastAsia" w:ascii="宋体" w:hAnsi="宋体" w:eastAsia="方正仿宋简体"/>
          <w:sz w:val="32"/>
          <w:szCs w:val="32"/>
        </w:rPr>
        <w:t>；政府性基金预算财政拨款收入0万元，占0</w:t>
      </w:r>
      <w:r>
        <w:rPr>
          <w:rFonts w:ascii="宋体" w:hAnsi="宋体" w:eastAsia="方正仿宋简体"/>
          <w:sz w:val="32"/>
          <w:szCs w:val="32"/>
        </w:rPr>
        <w:t>%</w:t>
      </w:r>
      <w:r>
        <w:rPr>
          <w:rFonts w:hint="eastAsia" w:ascii="宋体" w:hAnsi="宋体" w:eastAsia="方正仿宋简体"/>
          <w:sz w:val="32"/>
          <w:szCs w:val="32"/>
        </w:rPr>
        <w:t>；上级补助收入0万元，占0</w:t>
      </w:r>
      <w:r>
        <w:rPr>
          <w:rFonts w:ascii="宋体" w:hAnsi="宋体" w:eastAsia="方正仿宋简体"/>
          <w:sz w:val="32"/>
          <w:szCs w:val="32"/>
        </w:rPr>
        <w:t>%</w:t>
      </w:r>
      <w:r>
        <w:rPr>
          <w:rFonts w:hint="eastAsia" w:ascii="宋体" w:hAnsi="宋体" w:eastAsia="方正仿宋简体"/>
          <w:sz w:val="32"/>
          <w:szCs w:val="32"/>
        </w:rPr>
        <w:t>；事业收入0万元，占0</w:t>
      </w:r>
      <w:r>
        <w:rPr>
          <w:rFonts w:ascii="宋体" w:hAnsi="宋体" w:eastAsia="方正仿宋简体"/>
          <w:sz w:val="32"/>
          <w:szCs w:val="32"/>
        </w:rPr>
        <w:t>%</w:t>
      </w:r>
      <w:r>
        <w:rPr>
          <w:rFonts w:hint="eastAsia" w:ascii="宋体" w:hAnsi="宋体" w:eastAsia="方正仿宋简体"/>
          <w:sz w:val="32"/>
          <w:szCs w:val="32"/>
        </w:rPr>
        <w:t>；经营收入0万元，占0</w:t>
      </w:r>
      <w:r>
        <w:rPr>
          <w:rFonts w:ascii="宋体" w:hAnsi="宋体" w:eastAsia="方正仿宋简体"/>
          <w:sz w:val="32"/>
          <w:szCs w:val="32"/>
        </w:rPr>
        <w:t>%</w:t>
      </w:r>
      <w:r>
        <w:rPr>
          <w:rFonts w:hint="eastAsia" w:ascii="宋体" w:hAnsi="宋体" w:eastAsia="方正仿宋简体"/>
          <w:sz w:val="32"/>
          <w:szCs w:val="32"/>
        </w:rPr>
        <w:t>；附属单位上缴收入0万元，占0</w:t>
      </w:r>
      <w:r>
        <w:rPr>
          <w:rFonts w:ascii="宋体" w:hAnsi="宋体" w:eastAsia="方正仿宋简体"/>
          <w:sz w:val="32"/>
          <w:szCs w:val="32"/>
        </w:rPr>
        <w:t>%</w:t>
      </w:r>
      <w:r>
        <w:rPr>
          <w:rFonts w:hint="eastAsia" w:ascii="宋体" w:hAnsi="宋体" w:eastAsia="方正仿宋简体"/>
          <w:sz w:val="32"/>
          <w:szCs w:val="32"/>
        </w:rPr>
        <w:t>；其他收入0万元，占0</w:t>
      </w:r>
      <w:r>
        <w:rPr>
          <w:rFonts w:ascii="宋体" w:hAnsi="宋体" w:eastAsia="方正仿宋简体"/>
          <w:sz w:val="32"/>
          <w:szCs w:val="32"/>
        </w:rPr>
        <w:t>%</w:t>
      </w:r>
      <w:r>
        <w:rPr>
          <w:rFonts w:hint="eastAsia" w:ascii="宋体" w:hAnsi="宋体" w:eastAsia="方正仿宋简体"/>
          <w:sz w:val="32"/>
          <w:szCs w:val="32"/>
        </w:rPr>
        <w:t>。</w:t>
      </w:r>
    </w:p>
    <w:p>
      <w:pPr>
        <w:spacing w:line="600" w:lineRule="exact"/>
        <w:ind w:firstLine="640" w:firstLineChars="200"/>
        <w:jc w:val="center"/>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drawing>
          <wp:anchor distT="0" distB="0" distL="114300" distR="114300" simplePos="0" relativeHeight="251660288" behindDoc="0" locked="0" layoutInCell="1" allowOverlap="1">
            <wp:simplePos x="0" y="0"/>
            <wp:positionH relativeFrom="column">
              <wp:posOffset>-8255</wp:posOffset>
            </wp:positionH>
            <wp:positionV relativeFrom="paragraph">
              <wp:posOffset>194945</wp:posOffset>
            </wp:positionV>
            <wp:extent cx="4700905" cy="2439035"/>
            <wp:effectExtent l="19050" t="0" r="23495"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宋体" w:hAnsi="宋体" w:eastAsia="方正仿宋简体"/>
          <w:color w:val="000000" w:themeColor="text1"/>
          <w:sz w:val="32"/>
          <w:szCs w:val="32"/>
        </w:rPr>
        <w:t>（图2：收入决算结构图）（饼状图）</w:t>
      </w:r>
    </w:p>
    <w:p>
      <w:pPr>
        <w:spacing w:line="580" w:lineRule="exact"/>
        <w:ind w:firstLine="640" w:firstLineChars="200"/>
        <w:outlineLvl w:val="1"/>
        <w:rPr>
          <w:rFonts w:ascii="宋体" w:hAnsi="宋体" w:eastAsia="方正黑体简体" w:cs="方正黑体简体"/>
          <w:sz w:val="32"/>
          <w:szCs w:val="32"/>
        </w:rPr>
      </w:pPr>
      <w:bookmarkStart w:id="47" w:name="_Toc17103556"/>
      <w:bookmarkStart w:id="48" w:name="_Toc10625"/>
      <w:bookmarkStart w:id="49" w:name="_Toc15377207"/>
      <w:bookmarkStart w:id="50" w:name="_Toc15325"/>
      <w:r>
        <w:rPr>
          <w:rFonts w:hint="eastAsia" w:ascii="宋体" w:hAnsi="宋体" w:eastAsia="方正黑体简体" w:cs="方正黑体简体"/>
          <w:sz w:val="32"/>
          <w:szCs w:val="32"/>
        </w:rPr>
        <w:t>三、支出决算情况说明</w:t>
      </w:r>
      <w:bookmarkEnd w:id="47"/>
      <w:bookmarkEnd w:id="48"/>
      <w:bookmarkEnd w:id="49"/>
      <w:bookmarkEnd w:id="50"/>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年本年支出合计181.95万元，其中：基本支出173.45万元，占95</w:t>
      </w:r>
      <w:r>
        <w:rPr>
          <w:rFonts w:ascii="仿宋" w:hAnsi="仿宋" w:eastAsia="仿宋"/>
          <w:color w:val="000000"/>
          <w:sz w:val="32"/>
          <w:szCs w:val="32"/>
        </w:rPr>
        <w:t>%</w:t>
      </w:r>
      <w:r>
        <w:rPr>
          <w:rFonts w:hint="eastAsia" w:ascii="仿宋" w:hAnsi="仿宋" w:eastAsia="仿宋"/>
          <w:color w:val="000000"/>
          <w:sz w:val="32"/>
          <w:szCs w:val="32"/>
        </w:rPr>
        <w:t>；项目支出8.5万元，占5</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widowControl/>
        <w:jc w:val="center"/>
        <w:rPr>
          <w:rFonts w:ascii="宋体" w:hAnsi="宋体" w:cs="宋体"/>
          <w:kern w:val="0"/>
          <w:sz w:val="24"/>
        </w:rPr>
      </w:pPr>
      <w:r>
        <w:rPr>
          <w:rFonts w:ascii="宋体" w:hAnsi="宋体" w:cs="宋体"/>
          <w:kern w:val="0"/>
          <w:sz w:val="24"/>
        </w:rPr>
        <w:drawing>
          <wp:inline distT="0" distB="0" distL="0" distR="0">
            <wp:extent cx="4932680" cy="2877185"/>
            <wp:effectExtent l="19050" t="0" r="2032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t>（图3：支出决算结构图）（饼状图）</w:t>
      </w:r>
    </w:p>
    <w:p>
      <w:pPr>
        <w:spacing w:line="580" w:lineRule="exact"/>
        <w:ind w:firstLine="640" w:firstLineChars="200"/>
        <w:outlineLvl w:val="1"/>
        <w:rPr>
          <w:rFonts w:ascii="宋体" w:hAnsi="宋体" w:eastAsia="方正黑体简体" w:cs="方正黑体简体"/>
          <w:sz w:val="32"/>
          <w:szCs w:val="32"/>
        </w:rPr>
      </w:pPr>
      <w:bookmarkStart w:id="51" w:name="_Toc15377208"/>
      <w:bookmarkStart w:id="52" w:name="_Toc17103557"/>
      <w:bookmarkStart w:id="53" w:name="_Toc9839"/>
      <w:bookmarkStart w:id="54" w:name="_Toc2230"/>
      <w:r>
        <w:rPr>
          <w:rFonts w:hint="eastAsia" w:ascii="宋体" w:hAnsi="宋体" w:eastAsia="方正黑体简体" w:cs="方正黑体简体"/>
          <w:sz w:val="32"/>
          <w:szCs w:val="32"/>
        </w:rPr>
        <w:t>四、财政拨款收入支出决算总体情况说明</w:t>
      </w:r>
      <w:bookmarkEnd w:id="51"/>
      <w:bookmarkEnd w:id="52"/>
      <w:bookmarkEnd w:id="53"/>
      <w:bookmarkEnd w:id="54"/>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2020年度收、支总计各193.77万元。与</w:t>
      </w:r>
      <w:r>
        <w:rPr>
          <w:rFonts w:ascii="宋体" w:hAnsi="宋体" w:eastAsia="方正仿宋简体"/>
          <w:sz w:val="32"/>
          <w:szCs w:val="32"/>
        </w:rPr>
        <w:t>2019</w:t>
      </w:r>
      <w:r>
        <w:rPr>
          <w:rFonts w:hint="eastAsia" w:ascii="宋体" w:hAnsi="宋体" w:eastAsia="方正仿宋简体"/>
          <w:sz w:val="32"/>
          <w:szCs w:val="32"/>
        </w:rPr>
        <w:t>年147.50万元相比，收、支总计各增加46.27万元，增长31</w:t>
      </w:r>
      <w:r>
        <w:rPr>
          <w:rFonts w:ascii="宋体" w:hAnsi="宋体" w:eastAsia="方正仿宋简体"/>
          <w:sz w:val="32"/>
          <w:szCs w:val="32"/>
        </w:rPr>
        <w:t>%</w:t>
      </w:r>
      <w:r>
        <w:rPr>
          <w:rFonts w:hint="eastAsia" w:ascii="宋体" w:hAnsi="宋体" w:eastAsia="方正仿宋简体"/>
          <w:sz w:val="32"/>
          <w:szCs w:val="32"/>
        </w:rPr>
        <w:t>。主要变动原因是职工工资增加。</w:t>
      </w:r>
    </w:p>
    <w:p>
      <w:pPr>
        <w:spacing w:line="60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drawing>
          <wp:anchor distT="0" distB="0" distL="114935" distR="114935" simplePos="0" relativeHeight="251663360" behindDoc="0" locked="0" layoutInCell="1" allowOverlap="1">
            <wp:simplePos x="0" y="0"/>
            <wp:positionH relativeFrom="column">
              <wp:posOffset>271145</wp:posOffset>
            </wp:positionH>
            <wp:positionV relativeFrom="paragraph">
              <wp:posOffset>33020</wp:posOffset>
            </wp:positionV>
            <wp:extent cx="4584700" cy="2790825"/>
            <wp:effectExtent l="19050" t="0" r="25400" b="0"/>
            <wp:wrapTopAndBottom/>
            <wp:docPr id="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宋体" w:hAnsi="宋体" w:eastAsia="方正仿宋简体"/>
          <w:color w:val="000000" w:themeColor="text1"/>
          <w:sz w:val="32"/>
          <w:szCs w:val="32"/>
        </w:rPr>
        <w:t>（图4：财政拨款收、支决算总计变动情况）（柱状图）</w:t>
      </w:r>
    </w:p>
    <w:p>
      <w:pPr>
        <w:spacing w:line="580" w:lineRule="exact"/>
        <w:ind w:firstLine="640" w:firstLineChars="200"/>
        <w:outlineLvl w:val="1"/>
        <w:rPr>
          <w:rFonts w:ascii="宋体" w:hAnsi="宋体" w:eastAsia="方正黑体简体" w:cs="方正黑体简体"/>
          <w:sz w:val="32"/>
          <w:szCs w:val="32"/>
        </w:rPr>
      </w:pPr>
      <w:bookmarkStart w:id="55" w:name="_Toc15377209"/>
      <w:bookmarkStart w:id="56" w:name="_Toc10735"/>
      <w:bookmarkStart w:id="57" w:name="_Toc17103558"/>
      <w:bookmarkStart w:id="58" w:name="_Toc28001"/>
      <w:r>
        <w:rPr>
          <w:rFonts w:hint="eastAsia" w:ascii="宋体" w:hAnsi="宋体" w:eastAsia="方正黑体简体" w:cs="方正黑体简体"/>
          <w:sz w:val="32"/>
          <w:szCs w:val="32"/>
        </w:rPr>
        <w:t>五、一般公共预算财政拨款支出决算情况说明</w:t>
      </w:r>
      <w:bookmarkEnd w:id="55"/>
      <w:bookmarkEnd w:id="56"/>
      <w:bookmarkEnd w:id="57"/>
      <w:bookmarkEnd w:id="58"/>
    </w:p>
    <w:p>
      <w:pPr>
        <w:spacing w:line="580" w:lineRule="exact"/>
        <w:ind w:firstLine="643" w:firstLineChars="200"/>
        <w:outlineLvl w:val="2"/>
        <w:rPr>
          <w:rFonts w:ascii="宋体" w:hAnsi="宋体" w:eastAsia="方正楷体简体" w:cs="方正楷体简体"/>
          <w:b/>
          <w:bCs/>
          <w:color w:val="000000"/>
          <w:sz w:val="32"/>
          <w:szCs w:val="32"/>
        </w:rPr>
      </w:pPr>
      <w:bookmarkStart w:id="59" w:name="_Toc15377210"/>
      <w:bookmarkStart w:id="60" w:name="_Toc21102"/>
      <w:r>
        <w:rPr>
          <w:rFonts w:hint="eastAsia" w:ascii="宋体" w:hAnsi="宋体" w:eastAsia="方正楷体简体" w:cs="方正楷体简体"/>
          <w:b/>
          <w:bCs/>
          <w:color w:val="000000"/>
          <w:sz w:val="32"/>
          <w:szCs w:val="32"/>
        </w:rPr>
        <w:t>（一）一般公共预算财政拨款支出决算总体情况</w:t>
      </w:r>
      <w:bookmarkEnd w:id="59"/>
      <w:bookmarkEnd w:id="60"/>
    </w:p>
    <w:p>
      <w:pPr>
        <w:spacing w:line="600" w:lineRule="exact"/>
        <w:ind w:firstLine="640" w:firstLineChars="200"/>
        <w:rPr>
          <w:rFonts w:ascii="宋体" w:hAnsi="宋体" w:eastAsia="方正仿宋简体"/>
          <w:sz w:val="32"/>
          <w:szCs w:val="32"/>
        </w:rPr>
      </w:pPr>
      <w:r>
        <w:rPr>
          <w:rFonts w:hint="eastAsia" w:ascii="宋体" w:hAnsi="宋体" w:eastAsia="方正仿宋简体"/>
          <w:color w:val="000000"/>
          <w:sz w:val="32"/>
          <w:szCs w:val="32"/>
        </w:rPr>
        <w:t>2020年一般公共预算财政拨款支出181.95万元，占本年支出合计的100%。与2019年147.5万元相比，支出总计</w:t>
      </w:r>
      <w:r>
        <w:rPr>
          <w:rFonts w:hint="eastAsia" w:ascii="宋体" w:hAnsi="宋体" w:eastAsia="方正仿宋简体"/>
          <w:sz w:val="32"/>
          <w:szCs w:val="32"/>
        </w:rPr>
        <w:t>增加34.45万元，增长23</w:t>
      </w:r>
      <w:r>
        <w:rPr>
          <w:rFonts w:ascii="宋体" w:hAnsi="宋体" w:eastAsia="方正仿宋简体"/>
          <w:sz w:val="32"/>
          <w:szCs w:val="32"/>
        </w:rPr>
        <w:t>%</w:t>
      </w:r>
      <w:r>
        <w:rPr>
          <w:rFonts w:hint="eastAsia" w:ascii="宋体" w:hAnsi="宋体" w:eastAsia="方正仿宋简体"/>
          <w:sz w:val="32"/>
          <w:szCs w:val="32"/>
        </w:rPr>
        <w:t>。主要变动原因是职工工资增加。</w:t>
      </w:r>
    </w:p>
    <w:p>
      <w:pPr>
        <w:spacing w:line="580" w:lineRule="exact"/>
        <w:ind w:firstLine="640" w:firstLineChars="200"/>
        <w:rPr>
          <w:rFonts w:ascii="宋体" w:hAnsi="宋体" w:eastAsia="方正仿宋简体"/>
          <w:color w:val="000000" w:themeColor="text1"/>
          <w:sz w:val="32"/>
          <w:szCs w:val="32"/>
        </w:rPr>
      </w:pPr>
    </w:p>
    <w:p>
      <w:pPr>
        <w:spacing w:line="580" w:lineRule="exact"/>
        <w:ind w:firstLine="640" w:firstLineChars="200"/>
        <w:rPr>
          <w:rFonts w:ascii="宋体" w:hAnsi="宋体" w:eastAsia="方正仿宋简体"/>
          <w:color w:val="000000" w:themeColor="text1"/>
          <w:sz w:val="32"/>
          <w:szCs w:val="32"/>
        </w:rPr>
      </w:pPr>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themeColor="text1"/>
          <w:sz w:val="32"/>
          <w:szCs w:val="32"/>
        </w:rPr>
        <w:drawing>
          <wp:anchor distT="0" distB="0" distL="114300" distR="114300" simplePos="0" relativeHeight="251664384" behindDoc="0" locked="0" layoutInCell="1" allowOverlap="1">
            <wp:simplePos x="0" y="0"/>
            <wp:positionH relativeFrom="column">
              <wp:posOffset>172720</wp:posOffset>
            </wp:positionH>
            <wp:positionV relativeFrom="paragraph">
              <wp:posOffset>203835</wp:posOffset>
            </wp:positionV>
            <wp:extent cx="5080000" cy="3802380"/>
            <wp:effectExtent l="19050" t="0" r="25400" b="7620"/>
            <wp:wrapTopAndBottom/>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宋体" w:hAnsi="宋体" w:eastAsia="方正仿宋简体"/>
          <w:color w:val="000000" w:themeColor="text1"/>
          <w:sz w:val="32"/>
          <w:szCs w:val="32"/>
        </w:rPr>
        <w:t>（图5：一般公共预算财政拨款支出决算变动情况）（柱状图）</w:t>
      </w:r>
    </w:p>
    <w:p>
      <w:pPr>
        <w:spacing w:line="580" w:lineRule="exact"/>
        <w:ind w:firstLine="643" w:firstLineChars="200"/>
        <w:outlineLvl w:val="2"/>
        <w:rPr>
          <w:rFonts w:ascii="宋体" w:hAnsi="宋体" w:eastAsia="方正楷体简体" w:cs="方正楷体简体"/>
          <w:b/>
          <w:bCs/>
          <w:color w:val="000000"/>
          <w:sz w:val="32"/>
          <w:szCs w:val="32"/>
        </w:rPr>
      </w:pPr>
      <w:bookmarkStart w:id="61" w:name="_Toc15377211"/>
      <w:bookmarkStart w:id="62" w:name="_Toc19464"/>
      <w:r>
        <w:rPr>
          <w:rFonts w:hint="eastAsia" w:ascii="宋体" w:hAnsi="宋体" w:eastAsia="方正楷体简体" w:cs="方正楷体简体"/>
          <w:b/>
          <w:bCs/>
          <w:color w:val="000000"/>
          <w:sz w:val="32"/>
          <w:szCs w:val="32"/>
        </w:rPr>
        <w:t>（二）一般公共预算财政拨款支出决算结构情况</w:t>
      </w:r>
      <w:bookmarkEnd w:id="61"/>
      <w:bookmarkEnd w:id="62"/>
    </w:p>
    <w:p>
      <w:pPr>
        <w:spacing w:line="600" w:lineRule="exact"/>
        <w:ind w:firstLine="640"/>
        <w:rPr>
          <w:rFonts w:ascii="宋体" w:hAnsi="宋体" w:eastAsia="方正仿宋简体"/>
          <w:color w:val="FF0000"/>
          <w:sz w:val="32"/>
          <w:szCs w:val="32"/>
        </w:rPr>
      </w:pPr>
      <w:r>
        <w:rPr>
          <w:rFonts w:hint="eastAsia" w:ascii="宋体" w:hAnsi="宋体" w:eastAsia="方正仿宋简体"/>
          <w:color w:val="000000"/>
          <w:sz w:val="32"/>
          <w:szCs w:val="32"/>
        </w:rPr>
        <w:t>2020年一般公共预算财</w:t>
      </w:r>
      <w:r>
        <w:rPr>
          <w:rFonts w:hint="eastAsia" w:ascii="宋体" w:hAnsi="宋体" w:eastAsia="方正仿宋简体"/>
          <w:color w:val="000000" w:themeColor="text1"/>
          <w:sz w:val="32"/>
          <w:szCs w:val="32"/>
        </w:rPr>
        <w:t>政拨款支出181.95万元，主要用于以下方面:</w:t>
      </w:r>
      <w:r>
        <w:rPr>
          <w:rFonts w:hint="eastAsia" w:ascii="宋体" w:hAnsi="宋体" w:eastAsia="方正仿宋简体"/>
          <w:b/>
          <w:color w:val="000000" w:themeColor="text1"/>
          <w:sz w:val="32"/>
          <w:szCs w:val="32"/>
        </w:rPr>
        <w:t>一般公共服务（类）</w:t>
      </w:r>
      <w:r>
        <w:rPr>
          <w:rFonts w:hint="eastAsia" w:ascii="宋体" w:hAnsi="宋体" w:eastAsia="方正仿宋简体"/>
          <w:color w:val="000000" w:themeColor="text1"/>
          <w:sz w:val="32"/>
          <w:szCs w:val="32"/>
        </w:rPr>
        <w:t>支出154.28万元，占84.79%；（主要有基本工资34.26万元，津贴补贴26.15万元，奖金57.74万元，商品和服务支出36.11万元,</w:t>
      </w:r>
      <w:r>
        <w:rPr>
          <w:rFonts w:hint="eastAsia" w:ascii="宋体" w:hAnsi="宋体" w:eastAsia="方正仿宋简体"/>
          <w:b/>
          <w:color w:val="000000" w:themeColor="text1"/>
          <w:sz w:val="32"/>
          <w:szCs w:val="32"/>
        </w:rPr>
        <w:t>教育支出（类）</w:t>
      </w:r>
      <w:r>
        <w:rPr>
          <w:rFonts w:hint="eastAsia" w:ascii="宋体" w:hAnsi="宋体" w:eastAsia="方正仿宋简体"/>
          <w:color w:val="000000" w:themeColor="text1"/>
          <w:sz w:val="32"/>
          <w:szCs w:val="32"/>
        </w:rPr>
        <w:t>0万元，占0%；</w:t>
      </w:r>
      <w:r>
        <w:rPr>
          <w:rFonts w:hint="eastAsia" w:ascii="宋体" w:hAnsi="宋体" w:eastAsia="方正仿宋简体"/>
          <w:b/>
          <w:color w:val="000000" w:themeColor="text1"/>
          <w:sz w:val="32"/>
          <w:szCs w:val="32"/>
        </w:rPr>
        <w:t>科学技术（类）</w:t>
      </w:r>
      <w:r>
        <w:rPr>
          <w:rFonts w:hint="eastAsia" w:ascii="宋体" w:hAnsi="宋体" w:eastAsia="方正仿宋简体"/>
          <w:color w:val="000000" w:themeColor="text1"/>
          <w:sz w:val="32"/>
          <w:szCs w:val="32"/>
        </w:rPr>
        <w:t>支出0万元，占0%；</w:t>
      </w:r>
      <w:r>
        <w:rPr>
          <w:rFonts w:hint="eastAsia" w:ascii="宋体" w:hAnsi="宋体" w:eastAsia="方正仿宋简体"/>
          <w:b/>
          <w:color w:val="000000" w:themeColor="text1"/>
          <w:sz w:val="32"/>
          <w:szCs w:val="32"/>
        </w:rPr>
        <w:t>社会保障和就业（类）</w:t>
      </w:r>
      <w:r>
        <w:rPr>
          <w:rFonts w:hint="eastAsia" w:ascii="宋体" w:hAnsi="宋体" w:eastAsia="方正仿宋简体"/>
          <w:color w:val="000000" w:themeColor="text1"/>
          <w:sz w:val="32"/>
          <w:szCs w:val="32"/>
        </w:rPr>
        <w:t>支出11.63万元，占6.39%；医疗卫生支出5.93万元，占3.26%；住房保障支出10.11万元，占5.56%；）。</w:t>
      </w:r>
    </w:p>
    <w:p>
      <w:pPr>
        <w:spacing w:line="600" w:lineRule="exact"/>
        <w:rPr>
          <w:rFonts w:ascii="宋体" w:hAnsi="宋体" w:eastAsia="方正仿宋简体"/>
          <w:color w:val="000000"/>
          <w:sz w:val="32"/>
          <w:szCs w:val="32"/>
        </w:rPr>
      </w:pPr>
    </w:p>
    <w:p>
      <w:pPr>
        <w:spacing w:line="600" w:lineRule="exact"/>
        <w:rPr>
          <w:rFonts w:ascii="宋体" w:hAnsi="宋体" w:eastAsia="方正仿宋简体"/>
          <w:color w:val="000000"/>
          <w:sz w:val="32"/>
          <w:szCs w:val="32"/>
        </w:rPr>
      </w:pPr>
      <w:r>
        <w:rPr>
          <w:rFonts w:hint="eastAsia" w:ascii="宋体" w:hAnsi="宋体" w:eastAsia="方正仿宋简体"/>
          <w:color w:val="000000"/>
          <w:sz w:val="32"/>
          <w:szCs w:val="32"/>
        </w:rPr>
        <w:drawing>
          <wp:anchor distT="0" distB="0" distL="114300" distR="114300" simplePos="0" relativeHeight="251661312" behindDoc="0" locked="0" layoutInCell="1" allowOverlap="1">
            <wp:simplePos x="0" y="0"/>
            <wp:positionH relativeFrom="column">
              <wp:posOffset>213360</wp:posOffset>
            </wp:positionH>
            <wp:positionV relativeFrom="paragraph">
              <wp:posOffset>196850</wp:posOffset>
            </wp:positionV>
            <wp:extent cx="4403725" cy="3090545"/>
            <wp:effectExtent l="4445" t="4445" r="11430" b="1016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jc w:val="center"/>
        <w:outlineLvl w:val="9"/>
        <w:rPr>
          <w:rFonts w:ascii="宋体" w:hAnsi="宋体" w:eastAsia="方正仿宋简体"/>
          <w:color w:val="000000"/>
          <w:sz w:val="32"/>
          <w:szCs w:val="32"/>
        </w:rPr>
      </w:pPr>
      <w:r>
        <w:rPr>
          <w:rFonts w:hint="eastAsia" w:ascii="宋体" w:hAnsi="宋体" w:eastAsia="方正仿宋简体"/>
          <w:color w:val="000000"/>
          <w:sz w:val="32"/>
          <w:szCs w:val="32"/>
        </w:rPr>
        <w:t>（图6：一般公共预算财政拨款支出决算结构）（饼状图）</w:t>
      </w:r>
    </w:p>
    <w:p>
      <w:pPr>
        <w:spacing w:line="600" w:lineRule="exact"/>
        <w:ind w:firstLine="640" w:firstLineChars="200"/>
        <w:rPr>
          <w:rFonts w:ascii="宋体" w:hAnsi="宋体" w:eastAsia="方正仿宋简体"/>
          <w:color w:val="000000"/>
          <w:sz w:val="32"/>
          <w:szCs w:val="32"/>
        </w:rPr>
      </w:pPr>
    </w:p>
    <w:p>
      <w:pPr>
        <w:spacing w:line="580" w:lineRule="exact"/>
        <w:ind w:firstLine="643" w:firstLineChars="200"/>
        <w:outlineLvl w:val="2"/>
        <w:rPr>
          <w:rFonts w:ascii="宋体" w:hAnsi="宋体" w:eastAsia="方正楷体简体" w:cs="方正楷体简体"/>
          <w:b/>
          <w:bCs/>
          <w:color w:val="000000"/>
          <w:sz w:val="32"/>
          <w:szCs w:val="32"/>
        </w:rPr>
      </w:pPr>
      <w:bookmarkStart w:id="63" w:name="_Toc15377212"/>
      <w:bookmarkStart w:id="64" w:name="_Toc32551"/>
      <w:r>
        <w:rPr>
          <w:rFonts w:hint="eastAsia" w:ascii="宋体" w:hAnsi="宋体" w:eastAsia="方正楷体简体" w:cs="方正楷体简体"/>
          <w:b/>
          <w:bCs/>
          <w:color w:val="000000"/>
          <w:sz w:val="32"/>
          <w:szCs w:val="32"/>
        </w:rPr>
        <w:t>（三）一般公共预算财政拨款支出决算具体情况</w:t>
      </w:r>
      <w:bookmarkEnd w:id="63"/>
      <w:bookmarkEnd w:id="64"/>
    </w:p>
    <w:p>
      <w:pPr>
        <w:spacing w:line="580" w:lineRule="exact"/>
        <w:ind w:firstLine="640" w:firstLineChars="200"/>
        <w:outlineLvl w:val="9"/>
        <w:rPr>
          <w:rFonts w:ascii="宋体" w:hAnsi="宋体" w:eastAsia="方正仿宋简体"/>
          <w:color w:val="FF0000"/>
          <w:sz w:val="32"/>
          <w:szCs w:val="32"/>
        </w:rPr>
      </w:pPr>
      <w:bookmarkStart w:id="65" w:name="_Toc15377444"/>
      <w:bookmarkStart w:id="66" w:name="_Toc15378460"/>
      <w:bookmarkStart w:id="67" w:name="_Toc15377213"/>
      <w:r>
        <w:rPr>
          <w:rFonts w:hint="eastAsia" w:ascii="宋体" w:hAnsi="宋体" w:eastAsia="方正仿宋简体"/>
          <w:color w:val="000000" w:themeColor="text1"/>
          <w:sz w:val="32"/>
          <w:szCs w:val="32"/>
        </w:rPr>
        <w:t>2020年一般公共预算支出决算数为193.77万元，</w:t>
      </w:r>
      <w:r>
        <w:rPr>
          <w:rStyle w:val="14"/>
          <w:rFonts w:hint="eastAsia" w:ascii="宋体" w:hAnsi="宋体" w:eastAsia="方正仿宋简体"/>
          <w:b w:val="0"/>
          <w:bCs/>
          <w:color w:val="000000" w:themeColor="text1"/>
          <w:sz w:val="32"/>
          <w:szCs w:val="32"/>
        </w:rPr>
        <w:t>完成</w:t>
      </w:r>
      <w:r>
        <w:rPr>
          <w:rStyle w:val="14"/>
          <w:rFonts w:hint="eastAsia" w:ascii="宋体" w:hAnsi="宋体" w:eastAsia="方正仿宋简体"/>
          <w:b w:val="0"/>
          <w:bCs/>
          <w:color w:val="000000"/>
          <w:sz w:val="32"/>
          <w:szCs w:val="32"/>
        </w:rPr>
        <w:t>预算100%。其中：</w:t>
      </w:r>
      <w:bookmarkEnd w:id="65"/>
      <w:bookmarkEnd w:id="66"/>
      <w:bookmarkEnd w:id="67"/>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1.一般公共服务（类）文化体育与传媒（款）文化（项）文化市场管理:支出决算为154.28万元，完成预算100%，决算数等于预算数的主要原因是财政不拖欠资金。</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2.教育（类）无（款）无（项）:支出决算为0万元，完成预算0%，决算数小于/等于预算数的主要原因是无。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3.科学技术（类）无（款）无（项）:支出决算为0万元，完成预算0%，决算数小于/等于预算数的主要原因是无。</w:t>
      </w:r>
    </w:p>
    <w:p>
      <w:pPr>
        <w:spacing w:line="580" w:lineRule="exact"/>
        <w:ind w:firstLine="640" w:firstLineChars="200"/>
        <w:rPr>
          <w:rFonts w:ascii="宋体" w:hAnsi="宋体" w:eastAsia="方正仿宋简体"/>
          <w:color w:val="000000"/>
          <w:sz w:val="32"/>
          <w:szCs w:val="32"/>
        </w:rPr>
      </w:pPr>
      <w:r>
        <w:rPr>
          <w:rStyle w:val="14"/>
          <w:rFonts w:hint="eastAsia" w:ascii="宋体" w:hAnsi="宋体" w:eastAsia="方正仿宋简体"/>
          <w:b w:val="0"/>
          <w:bCs/>
          <w:color w:val="000000"/>
          <w:sz w:val="32"/>
          <w:szCs w:val="32"/>
        </w:rPr>
        <w:t>4.文化体育与传媒（类）无（款）无（项）:支出决算为0万元，完成预算0%，决算数小于/等于预算数的主要原因是无。</w:t>
      </w:r>
    </w:p>
    <w:p>
      <w:pPr>
        <w:spacing w:line="580" w:lineRule="exact"/>
        <w:ind w:firstLine="640" w:firstLineChars="200"/>
        <w:rPr>
          <w:rStyle w:val="14"/>
          <w:rFonts w:ascii="宋体" w:hAnsi="宋体" w:eastAsia="方正仿宋简体"/>
          <w:b w:val="0"/>
          <w:bCs/>
          <w:color w:val="000000"/>
          <w:sz w:val="32"/>
          <w:szCs w:val="32"/>
        </w:rPr>
      </w:pPr>
      <w:r>
        <w:rPr>
          <w:rStyle w:val="14"/>
          <w:rFonts w:hint="eastAsia" w:ascii="宋体" w:hAnsi="宋体" w:eastAsia="方正仿宋简体"/>
          <w:b w:val="0"/>
          <w:bCs/>
          <w:color w:val="000000"/>
          <w:sz w:val="32"/>
          <w:szCs w:val="32"/>
        </w:rPr>
        <w:t>5.社会保障和就业（类）行政事业单位离退休（款）机关事业单位养老保险（项）:支出决算为9.77万元；机关事业单位职业年金0；事业单位离退休1.55万元，完成预算100%，决算数等于预算数的主要原因是财政不拖欠资金。</w:t>
      </w:r>
    </w:p>
    <w:p>
      <w:pPr>
        <w:spacing w:line="580" w:lineRule="exact"/>
        <w:ind w:firstLine="640" w:firstLineChars="200"/>
        <w:rPr>
          <w:rStyle w:val="14"/>
          <w:rFonts w:ascii="宋体" w:hAnsi="宋体" w:eastAsia="方正仿宋简体"/>
          <w:b w:val="0"/>
          <w:bCs/>
          <w:color w:val="000000"/>
          <w:sz w:val="32"/>
          <w:szCs w:val="32"/>
        </w:rPr>
      </w:pPr>
      <w:r>
        <w:rPr>
          <w:rStyle w:val="14"/>
          <w:rFonts w:hint="eastAsia" w:ascii="宋体" w:hAnsi="宋体" w:eastAsia="方正仿宋简体"/>
          <w:b w:val="0"/>
          <w:bCs/>
          <w:color w:val="000000"/>
          <w:sz w:val="32"/>
          <w:szCs w:val="32"/>
        </w:rPr>
        <w:t>6、医疗卫生与计划生育（类）行政事业单位医疗（款）事业单位医疗（项）:支出决算为5.93万元，完成预算100%，决算数等于预算数的主要原因是财政不拖欠资金。</w:t>
      </w:r>
    </w:p>
    <w:p>
      <w:pPr>
        <w:spacing w:line="580" w:lineRule="exact"/>
        <w:ind w:firstLine="640" w:firstLineChars="200"/>
        <w:rPr>
          <w:rFonts w:ascii="宋体" w:hAnsi="宋体" w:eastAsia="方正仿宋简体"/>
          <w:b/>
          <w:color w:val="000000"/>
          <w:sz w:val="32"/>
          <w:szCs w:val="32"/>
        </w:rPr>
      </w:pPr>
      <w:r>
        <w:rPr>
          <w:rFonts w:hint="eastAsia" w:ascii="宋体" w:hAnsi="宋体" w:eastAsia="方正仿宋简体"/>
          <w:color w:val="000000"/>
          <w:sz w:val="32"/>
          <w:szCs w:val="32"/>
        </w:rPr>
        <w:t>7.住房公积金（类）住房保障支出（款）住房改革支出（项）住房公积金：</w:t>
      </w:r>
      <w:r>
        <w:rPr>
          <w:rStyle w:val="14"/>
          <w:rFonts w:hint="eastAsia" w:ascii="宋体" w:hAnsi="宋体" w:eastAsia="方正仿宋简体"/>
          <w:b w:val="0"/>
          <w:bCs/>
          <w:color w:val="000000"/>
          <w:sz w:val="32"/>
          <w:szCs w:val="32"/>
        </w:rPr>
        <w:t>支出决算为10.11万元，完成预算100%，决算数等于预算数的主要原因是财政不拖欠资金。</w:t>
      </w:r>
    </w:p>
    <w:p>
      <w:pPr>
        <w:spacing w:line="580" w:lineRule="exact"/>
        <w:ind w:firstLine="640" w:firstLineChars="200"/>
        <w:outlineLvl w:val="1"/>
        <w:rPr>
          <w:rFonts w:ascii="宋体" w:hAnsi="宋体" w:eastAsia="方正黑体简体" w:cs="方正黑体简体"/>
          <w:sz w:val="32"/>
          <w:szCs w:val="32"/>
        </w:rPr>
      </w:pPr>
      <w:bookmarkStart w:id="68" w:name="_Toc15999"/>
      <w:bookmarkStart w:id="69" w:name="_Toc17103559"/>
      <w:bookmarkStart w:id="70" w:name="_Toc15377214"/>
      <w:bookmarkStart w:id="71" w:name="_Toc30580"/>
      <w:r>
        <w:rPr>
          <w:rFonts w:hint="eastAsia" w:ascii="宋体" w:hAnsi="宋体" w:eastAsia="方正黑体简体" w:cs="方正黑体简体"/>
          <w:sz w:val="32"/>
          <w:szCs w:val="32"/>
        </w:rPr>
        <w:t>六、一般公共预算财政拨款基本支出决算情况说明</w:t>
      </w:r>
      <w:bookmarkEnd w:id="68"/>
      <w:bookmarkEnd w:id="69"/>
      <w:bookmarkEnd w:id="70"/>
      <w:bookmarkEnd w:id="71"/>
    </w:p>
    <w:p>
      <w:pPr>
        <w:spacing w:line="580" w:lineRule="exact"/>
        <w:ind w:firstLine="640" w:firstLineChars="200"/>
        <w:rPr>
          <w:rFonts w:ascii="宋体" w:hAnsi="宋体" w:eastAsia="方正仿宋简体"/>
          <w:color w:val="000000"/>
          <w:sz w:val="32"/>
          <w:szCs w:val="32"/>
        </w:rPr>
      </w:pPr>
      <w:bookmarkStart w:id="72" w:name="_Toc15377215"/>
      <w:bookmarkStart w:id="73" w:name="_Toc17103560"/>
      <w:r>
        <w:rPr>
          <w:rFonts w:hint="eastAsia" w:ascii="宋体" w:hAnsi="宋体" w:eastAsia="方正仿宋简体"/>
          <w:color w:val="000000"/>
          <w:sz w:val="32"/>
          <w:szCs w:val="32"/>
        </w:rPr>
        <w:t>2020年一般公共预算财政拨款基本支出181.95万元，其中：</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人员经费145.84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用经费36.11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80" w:lineRule="exact"/>
        <w:ind w:firstLine="640" w:firstLineChars="200"/>
        <w:outlineLvl w:val="1"/>
        <w:rPr>
          <w:rFonts w:ascii="宋体" w:hAnsi="宋体" w:eastAsia="方正黑体简体" w:cs="方正黑体简体"/>
          <w:sz w:val="32"/>
          <w:szCs w:val="32"/>
        </w:rPr>
      </w:pPr>
      <w:bookmarkStart w:id="74" w:name="_Toc14801"/>
      <w:bookmarkStart w:id="75" w:name="_Toc17735"/>
      <w:r>
        <w:rPr>
          <w:rFonts w:hint="eastAsia" w:ascii="宋体" w:hAnsi="宋体" w:eastAsia="方正黑体简体" w:cs="方正黑体简体"/>
          <w:sz w:val="32"/>
          <w:szCs w:val="32"/>
        </w:rPr>
        <w:t>七、“三公”经费财政拨款支出决算情况说明</w:t>
      </w:r>
      <w:bookmarkEnd w:id="72"/>
      <w:bookmarkEnd w:id="73"/>
      <w:bookmarkEnd w:id="74"/>
      <w:bookmarkEnd w:id="75"/>
    </w:p>
    <w:p>
      <w:pPr>
        <w:spacing w:line="580" w:lineRule="exact"/>
        <w:ind w:firstLine="643" w:firstLineChars="200"/>
        <w:outlineLvl w:val="2"/>
        <w:rPr>
          <w:rFonts w:ascii="宋体" w:hAnsi="宋体" w:eastAsia="方正楷体简体" w:cs="方正楷体简体"/>
          <w:b/>
          <w:bCs/>
          <w:color w:val="000000"/>
          <w:sz w:val="32"/>
          <w:szCs w:val="32"/>
        </w:rPr>
      </w:pPr>
      <w:bookmarkStart w:id="76" w:name="_Toc15377216"/>
      <w:bookmarkStart w:id="77" w:name="_Toc13454"/>
      <w:r>
        <w:rPr>
          <w:rFonts w:hint="eastAsia" w:ascii="宋体" w:hAnsi="宋体" w:eastAsia="方正楷体简体" w:cs="方正楷体简体"/>
          <w:b/>
          <w:bCs/>
          <w:color w:val="000000"/>
          <w:sz w:val="32"/>
          <w:szCs w:val="32"/>
        </w:rPr>
        <w:t>（一）“三公”经费财政拨款支出决算总体情况说明</w:t>
      </w:r>
      <w:bookmarkEnd w:id="76"/>
      <w:bookmarkEnd w:id="77"/>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2020年“三公”经费财政拨款支出决算为2.18万元，完成预算58.9%，决算数小于预算数的主要原因是单位严格执行财经制度。</w:t>
      </w:r>
    </w:p>
    <w:p>
      <w:pPr>
        <w:spacing w:line="580" w:lineRule="exact"/>
        <w:ind w:firstLine="643" w:firstLineChars="200"/>
        <w:outlineLvl w:val="2"/>
        <w:rPr>
          <w:rFonts w:ascii="宋体" w:hAnsi="宋体" w:eastAsia="方正楷体简体" w:cs="方正楷体简体"/>
          <w:b/>
          <w:bCs/>
          <w:color w:val="000000"/>
          <w:sz w:val="32"/>
          <w:szCs w:val="32"/>
        </w:rPr>
      </w:pPr>
      <w:bookmarkStart w:id="78" w:name="_Toc15377217"/>
      <w:bookmarkStart w:id="79" w:name="_Toc9640"/>
      <w:r>
        <w:rPr>
          <w:rFonts w:hint="eastAsia" w:ascii="宋体" w:hAnsi="宋体" w:eastAsia="方正楷体简体" w:cs="方正楷体简体"/>
          <w:b/>
          <w:bCs/>
          <w:color w:val="000000"/>
          <w:sz w:val="32"/>
          <w:szCs w:val="32"/>
        </w:rPr>
        <w:t>（二）“三公”经费财政拨款支出决算具体情况说明</w:t>
      </w:r>
      <w:bookmarkEnd w:id="78"/>
      <w:bookmarkEnd w:id="79"/>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2020年“三公”经费财政拨款支出决算中，因公出国（境）费支出决算0万元，占0%；公务用车购置及运行维护费支出决算2.03万元，占54.86%；公务接待费支出决算0.15万元，占4%。具体情况如下：</w:t>
      </w:r>
    </w:p>
    <w:p>
      <w:pPr>
        <w:spacing w:line="580" w:lineRule="exact"/>
        <w:ind w:firstLine="640" w:firstLineChars="200"/>
        <w:rPr>
          <w:rFonts w:ascii="宋体" w:hAnsi="宋体" w:eastAsia="方正仿宋简体"/>
          <w:color w:val="000000"/>
          <w:sz w:val="32"/>
          <w:szCs w:val="32"/>
        </w:rPr>
      </w:pP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drawing>
          <wp:anchor distT="0" distB="0" distL="114300" distR="114300" simplePos="0" relativeHeight="251662336" behindDoc="0" locked="0" layoutInCell="1" allowOverlap="1">
            <wp:simplePos x="0" y="0"/>
            <wp:positionH relativeFrom="column">
              <wp:posOffset>596900</wp:posOffset>
            </wp:positionH>
            <wp:positionV relativeFrom="paragraph">
              <wp:posOffset>28575</wp:posOffset>
            </wp:positionV>
            <wp:extent cx="3844290" cy="2130425"/>
            <wp:effectExtent l="4445" t="4445" r="18415" b="1778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p>
    <w:p>
      <w:pPr>
        <w:spacing w:line="600" w:lineRule="exact"/>
        <w:ind w:firstLine="640"/>
        <w:rPr>
          <w:rFonts w:ascii="宋体" w:hAnsi="宋体" w:eastAsia="方正仿宋简体"/>
          <w:color w:val="000000"/>
          <w:sz w:val="32"/>
          <w:szCs w:val="32"/>
        </w:rPr>
      </w:pPr>
      <w:r>
        <w:rPr>
          <w:rFonts w:hint="eastAsia" w:ascii="宋体" w:hAnsi="宋体" w:eastAsia="方正仿宋简体"/>
          <w:color w:val="000000"/>
          <w:sz w:val="32"/>
          <w:szCs w:val="32"/>
        </w:rPr>
        <w:t>（图8：“三公”经费财政拨款支出结构）（饼状图）</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1.因公出国（境）经费支出0万元，</w:t>
      </w:r>
      <w:r>
        <w:rPr>
          <w:rStyle w:val="14"/>
          <w:rFonts w:hint="eastAsia" w:ascii="宋体" w:hAnsi="宋体" w:eastAsia="方正仿宋简体"/>
          <w:bCs/>
          <w:color w:val="000000"/>
          <w:sz w:val="32"/>
          <w:szCs w:val="32"/>
        </w:rPr>
        <w:t>完成预算0%。</w:t>
      </w:r>
      <w:r>
        <w:rPr>
          <w:rFonts w:hint="eastAsia" w:ascii="宋体" w:hAnsi="宋体" w:eastAsia="方正仿宋简体"/>
          <w:color w:val="000000"/>
          <w:sz w:val="32"/>
          <w:szCs w:val="32"/>
        </w:rPr>
        <w:t>全年安排因公出国（境）团组0次，出国（境）0人。因公出国（境）支出决算比2019年增加/减少0万元，增长/下降0%。主要原因是无。</w:t>
      </w:r>
    </w:p>
    <w:p>
      <w:pPr>
        <w:spacing w:line="580" w:lineRule="exact"/>
        <w:ind w:firstLine="640" w:firstLineChars="200"/>
        <w:rPr>
          <w:rFonts w:ascii="宋体" w:hAnsi="宋体" w:eastAsia="方正仿宋简体"/>
          <w:b/>
          <w:color w:val="000000"/>
          <w:sz w:val="32"/>
          <w:szCs w:val="32"/>
        </w:rPr>
      </w:pPr>
      <w:r>
        <w:rPr>
          <w:rFonts w:hint="eastAsia" w:ascii="宋体" w:hAnsi="宋体" w:eastAsia="方正仿宋简体"/>
          <w:color w:val="000000"/>
          <w:sz w:val="32"/>
          <w:szCs w:val="32"/>
        </w:rPr>
        <w:t>2.公务用车购置及运行维护费支出2.03万元,</w:t>
      </w:r>
      <w:r>
        <w:rPr>
          <w:rStyle w:val="14"/>
          <w:rFonts w:hint="eastAsia" w:ascii="宋体" w:hAnsi="宋体" w:eastAsia="方正仿宋简体"/>
          <w:bCs/>
          <w:color w:val="000000"/>
          <w:sz w:val="32"/>
          <w:szCs w:val="32"/>
        </w:rPr>
        <w:t>完成预算54.86%。</w:t>
      </w:r>
      <w:r>
        <w:rPr>
          <w:rFonts w:hint="eastAsia" w:ascii="宋体" w:hAnsi="宋体" w:eastAsia="方正仿宋简体"/>
          <w:color w:val="000000"/>
          <w:sz w:val="32"/>
          <w:szCs w:val="32"/>
        </w:rPr>
        <w:t>公务用车购置及运行维护费支出决算比2019年增加1.14万元，增加128%。主要原因是2020年疫情公车出勤率高，油费增加。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中：公务用车购置支出0万元。全年按规定更新购置公务用车0辆，其中：轿车0辆、金额0万元，越野车0辆、金额0万元，载客汽车0辆、金额0万元，主要用于无。截至2020年12月底，单位共有公务用车1辆，其中：轿车0辆、越野车1辆、载客汽车0辆。</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公务用车运行维护费支出2.03万元。主要用于（具体工作）公务用车燃料费、维修费、过路过桥费、保险费支出。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3.公务接待费支出0.15万元，</w:t>
      </w:r>
      <w:r>
        <w:rPr>
          <w:rStyle w:val="14"/>
          <w:rFonts w:hint="eastAsia" w:ascii="宋体" w:hAnsi="宋体" w:eastAsia="方正仿宋简体"/>
          <w:bCs/>
          <w:color w:val="000000"/>
          <w:sz w:val="32"/>
          <w:szCs w:val="32"/>
        </w:rPr>
        <w:t>完成预算4%。</w:t>
      </w:r>
      <w:r>
        <w:rPr>
          <w:rFonts w:hint="eastAsia" w:ascii="宋体" w:hAnsi="宋体" w:eastAsia="方正仿宋简体"/>
          <w:color w:val="000000"/>
          <w:sz w:val="32"/>
          <w:szCs w:val="32"/>
        </w:rPr>
        <w:t>公务接待费支出决算比2019年增加0.08万元，上升110%。主要原因是接待费用增加。主要用于执行公务用餐费。国内公务接待1批次，15人次（包括陪同人员），共计支出0.15万元，具体内容是：2020年11月24日安岳县文化市场综合执法大队到雁江考察接待费1500元。</w:t>
      </w:r>
    </w:p>
    <w:p>
      <w:pPr>
        <w:spacing w:line="580" w:lineRule="exact"/>
        <w:ind w:firstLine="640" w:firstLineChars="200"/>
        <w:rPr>
          <w:rFonts w:ascii="宋体" w:hAnsi="宋体" w:eastAsia="方正仿宋简体"/>
          <w:color w:val="000000" w:themeColor="text1"/>
          <w:sz w:val="32"/>
          <w:szCs w:val="32"/>
        </w:rPr>
      </w:pPr>
      <w:r>
        <w:rPr>
          <w:rFonts w:hint="eastAsia" w:ascii="宋体" w:hAnsi="宋体" w:eastAsia="方正仿宋简体"/>
          <w:color w:val="000000"/>
          <w:sz w:val="32"/>
          <w:szCs w:val="32"/>
        </w:rPr>
        <w:t>其中：外事接待支出0万元</w:t>
      </w:r>
      <w:r>
        <w:rPr>
          <w:rFonts w:hint="eastAsia" w:ascii="宋体" w:hAnsi="宋体" w:eastAsia="方正仿宋简体"/>
          <w:color w:val="000000" w:themeColor="text1"/>
          <w:sz w:val="32"/>
          <w:szCs w:val="32"/>
        </w:rPr>
        <w:t>，外事接待0批次，0人，共计支出0万元。</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其他国内公务接待支出0.15万元，主要用于执行公务用餐费。国内公务接待1批次，15人次（包括陪同人员），共计支出0.15万元，具体内容是：</w:t>
      </w:r>
      <w:bookmarkStart w:id="80" w:name="_Toc15377218"/>
      <w:bookmarkStart w:id="81" w:name="_Toc17103561"/>
      <w:bookmarkStart w:id="82" w:name="_Toc6730"/>
      <w:r>
        <w:rPr>
          <w:rFonts w:hint="eastAsia" w:ascii="宋体" w:hAnsi="宋体" w:eastAsia="方正仿宋简体"/>
          <w:color w:val="000000"/>
          <w:sz w:val="32"/>
          <w:szCs w:val="32"/>
        </w:rPr>
        <w:t>2020年11月24日安岳县文化市场综合执法大队到雁江考察接待费1500元。</w:t>
      </w:r>
    </w:p>
    <w:p>
      <w:pPr>
        <w:spacing w:line="580" w:lineRule="exact"/>
        <w:ind w:firstLine="640" w:firstLineChars="200"/>
        <w:outlineLvl w:val="1"/>
        <w:rPr>
          <w:rFonts w:ascii="宋体" w:hAnsi="宋体" w:eastAsia="方正黑体简体" w:cs="方正黑体简体"/>
          <w:sz w:val="32"/>
          <w:szCs w:val="32"/>
        </w:rPr>
      </w:pPr>
      <w:bookmarkStart w:id="83" w:name="_Toc31231"/>
      <w:r>
        <w:rPr>
          <w:rFonts w:hint="eastAsia" w:ascii="宋体" w:hAnsi="宋体" w:eastAsia="方正黑体简体" w:cs="方正黑体简体"/>
          <w:sz w:val="32"/>
          <w:szCs w:val="32"/>
        </w:rPr>
        <w:t>八、政府性基金预算支出决算情况说明</w:t>
      </w:r>
      <w:bookmarkEnd w:id="80"/>
      <w:bookmarkEnd w:id="81"/>
      <w:bookmarkEnd w:id="82"/>
      <w:bookmarkEnd w:id="83"/>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2020年政府性基金预算拨款支出0万元。</w:t>
      </w:r>
    </w:p>
    <w:p>
      <w:pPr>
        <w:spacing w:line="580" w:lineRule="exact"/>
        <w:ind w:firstLine="640" w:firstLineChars="200"/>
        <w:outlineLvl w:val="1"/>
        <w:rPr>
          <w:rFonts w:ascii="宋体" w:hAnsi="宋体" w:eastAsia="方正黑体简体" w:cs="方正黑体简体"/>
          <w:sz w:val="32"/>
          <w:szCs w:val="32"/>
        </w:rPr>
      </w:pPr>
      <w:bookmarkStart w:id="84" w:name="_Toc15377219"/>
      <w:bookmarkStart w:id="85" w:name="_Toc18755"/>
      <w:bookmarkStart w:id="86" w:name="_Toc17103562"/>
      <w:bookmarkStart w:id="87" w:name="_Toc6331"/>
      <w:r>
        <w:rPr>
          <w:rFonts w:hint="eastAsia" w:ascii="宋体" w:hAnsi="宋体" w:eastAsia="方正黑体简体" w:cs="方正黑体简体"/>
          <w:sz w:val="32"/>
          <w:szCs w:val="32"/>
        </w:rPr>
        <w:t>九、国有资本经营预算支出决算情况说明</w:t>
      </w:r>
      <w:bookmarkEnd w:id="84"/>
      <w:bookmarkEnd w:id="85"/>
      <w:bookmarkEnd w:id="86"/>
      <w:bookmarkEnd w:id="87"/>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2020年国有资本经营预算拨款支出0万元。</w:t>
      </w:r>
    </w:p>
    <w:p>
      <w:pPr>
        <w:spacing w:line="580" w:lineRule="exact"/>
        <w:ind w:firstLine="640" w:firstLineChars="200"/>
        <w:outlineLvl w:val="1"/>
        <w:rPr>
          <w:rFonts w:ascii="宋体" w:hAnsi="宋体" w:eastAsia="方正黑体简体" w:cs="方正黑体简体"/>
          <w:sz w:val="32"/>
          <w:szCs w:val="32"/>
        </w:rPr>
      </w:pPr>
      <w:bookmarkStart w:id="88" w:name="_Toc17103563"/>
      <w:bookmarkStart w:id="89" w:name="_Toc13336"/>
      <w:bookmarkStart w:id="90" w:name="_Toc28979"/>
      <w:r>
        <w:rPr>
          <w:rFonts w:hint="eastAsia" w:ascii="宋体" w:hAnsi="宋体" w:eastAsia="方正黑体简体" w:cs="方正黑体简体"/>
          <w:sz w:val="32"/>
          <w:szCs w:val="32"/>
        </w:rPr>
        <w:t>十、预算绩效情况说明</w:t>
      </w:r>
      <w:bookmarkEnd w:id="88"/>
      <w:bookmarkEnd w:id="89"/>
      <w:bookmarkEnd w:id="90"/>
    </w:p>
    <w:p>
      <w:pPr>
        <w:spacing w:line="580" w:lineRule="exact"/>
        <w:ind w:firstLine="643" w:firstLineChars="200"/>
        <w:outlineLvl w:val="2"/>
        <w:rPr>
          <w:rFonts w:ascii="宋体" w:hAnsi="宋体" w:eastAsia="方正楷体简体" w:cs="方正楷体简体"/>
          <w:b/>
          <w:bCs/>
          <w:color w:val="000000"/>
          <w:sz w:val="32"/>
          <w:szCs w:val="32"/>
        </w:rPr>
      </w:pPr>
      <w:bookmarkStart w:id="91" w:name="_Toc29172"/>
      <w:r>
        <w:rPr>
          <w:rFonts w:hint="eastAsia" w:ascii="宋体" w:hAnsi="宋体" w:eastAsia="方正楷体简体" w:cs="方正楷体简体"/>
          <w:b/>
          <w:bCs/>
          <w:color w:val="000000"/>
          <w:sz w:val="32"/>
          <w:szCs w:val="32"/>
        </w:rPr>
        <w:t>（一）预算绩效管理工作开展情况。</w:t>
      </w:r>
      <w:bookmarkEnd w:id="91"/>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根据预算绩效管理要求，本部门（单位）在年初预算编制阶段，组织对文化市场管理项目开展了预算事前绩效评估，对2个项目编制了绩效目标，预算执行过程中，选取3个项目开展绩效监控，年终执行完毕后，对2个项目开展了绩效目标完成情况梳理填报。</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按要求对2020年部门整体支出开展绩效自评，从评价情况来看2020年我大队按照时间节点倒排工期，保质保量的完成了文化市场监管、整治等方面全年计划的各项任务，取得了较好的社会效益，群众满意度高，整体绩效目标完成度较好。项目管理流程可控，项目绩效完全达到预期目标 。</w:t>
      </w:r>
    </w:p>
    <w:p>
      <w:pPr>
        <w:spacing w:line="580" w:lineRule="exact"/>
        <w:ind w:firstLine="643" w:firstLineChars="200"/>
        <w:outlineLvl w:val="2"/>
        <w:rPr>
          <w:rFonts w:ascii="宋体" w:hAnsi="宋体" w:eastAsia="方正楷体简体" w:cs="方正楷体简体"/>
          <w:b/>
          <w:bCs/>
          <w:color w:val="000000"/>
          <w:sz w:val="32"/>
          <w:szCs w:val="32"/>
        </w:rPr>
      </w:pPr>
      <w:bookmarkStart w:id="92" w:name="_Toc6306"/>
      <w:r>
        <w:rPr>
          <w:rFonts w:hint="eastAsia" w:ascii="宋体" w:hAnsi="宋体" w:eastAsia="方正楷体简体" w:cs="方正楷体简体"/>
          <w:b/>
          <w:bCs/>
          <w:color w:val="000000"/>
          <w:sz w:val="32"/>
          <w:szCs w:val="32"/>
        </w:rPr>
        <w:t>（二）项目绩效目标完成情况。</w:t>
      </w:r>
      <w:bookmarkEnd w:id="92"/>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本部门在2020年度部门决算中反映“文化市场管理3个项目绩效目标实际完成情况。</w:t>
      </w:r>
    </w:p>
    <w:p>
      <w:pPr>
        <w:tabs>
          <w:tab w:val="left" w:pos="738"/>
        </w:tabs>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1.远程监控系统运行维护项目绩效目标完成情况综述。项目全年预算数3.4万元，执行数为2.77万元，完成预算的81%。通过项目实施，</w:t>
      </w:r>
      <w:r>
        <w:rPr>
          <w:rFonts w:hint="eastAsia" w:ascii="宋体" w:hAnsi="宋体" w:eastAsia="方正仿宋简体" w:cs="宋体"/>
          <w:color w:val="000000"/>
          <w:sz w:val="32"/>
          <w:szCs w:val="32"/>
        </w:rPr>
        <w:t>远程监控全区互联网上网服务经营单位正常无违规经营。</w:t>
      </w:r>
      <w:r>
        <w:rPr>
          <w:rFonts w:hint="eastAsia" w:ascii="宋体" w:hAnsi="宋体" w:eastAsia="方正仿宋简体" w:cs="仿宋_GB2312"/>
          <w:sz w:val="32"/>
          <w:szCs w:val="32"/>
        </w:rPr>
        <w:t>发现的主要问题：暂无。下一步改进措施：暂无。</w:t>
      </w:r>
    </w:p>
    <w:p>
      <w:pPr>
        <w:tabs>
          <w:tab w:val="left" w:pos="738"/>
        </w:tabs>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2.文化市场监管、整治项目全年预算数6万元，执行数为5.7万元，完成预算的95%。通过项目实施，对我区城区、乡镇的文化市场加强了行政强制、监督。下一步改进措施：加强文化市场监管，针对群众反映的文化市场问题，及时整治。</w:t>
      </w:r>
    </w:p>
    <w:p>
      <w:pPr>
        <w:tabs>
          <w:tab w:val="left" w:pos="738"/>
        </w:tabs>
        <w:spacing w:line="580" w:lineRule="exact"/>
        <w:ind w:firstLine="640" w:firstLineChars="200"/>
        <w:rPr>
          <w:rFonts w:ascii="宋体" w:hAnsi="宋体" w:eastAsia="方正仿宋简体" w:cs="仿宋_GB2312"/>
          <w:sz w:val="32"/>
          <w:szCs w:val="32"/>
        </w:rPr>
      </w:pPr>
    </w:p>
    <w:p>
      <w:pPr>
        <w:tabs>
          <w:tab w:val="left" w:pos="738"/>
        </w:tabs>
        <w:spacing w:line="580" w:lineRule="exact"/>
        <w:ind w:firstLine="640" w:firstLineChars="200"/>
        <w:rPr>
          <w:rFonts w:ascii="宋体" w:hAnsi="宋体" w:eastAsia="方正仿宋简体" w:cs="仿宋_GB2312"/>
          <w:sz w:val="32"/>
          <w:szCs w:val="32"/>
        </w:rPr>
      </w:pPr>
    </w:p>
    <w:p>
      <w:pPr>
        <w:tabs>
          <w:tab w:val="left" w:pos="738"/>
        </w:tabs>
        <w:spacing w:line="580" w:lineRule="exact"/>
        <w:ind w:firstLine="640" w:firstLineChars="200"/>
        <w:rPr>
          <w:rFonts w:ascii="宋体" w:hAnsi="宋体" w:eastAsia="方正仿宋简体" w:cs="仿宋_GB2312"/>
          <w:sz w:val="32"/>
          <w:szCs w:val="32"/>
        </w:rPr>
      </w:pPr>
    </w:p>
    <w:tbl>
      <w:tblPr>
        <w:tblStyle w:val="12"/>
        <w:tblpPr w:leftFromText="180" w:rightFromText="180" w:vertAnchor="text" w:horzAnchor="margin" w:tblpXSpec="center" w:tblpY="407"/>
        <w:tblOverlap w:val="never"/>
        <w:tblW w:w="9840" w:type="dxa"/>
        <w:tblInd w:w="0" w:type="dxa"/>
        <w:tblLayout w:type="fixed"/>
        <w:tblCellMar>
          <w:top w:w="0" w:type="dxa"/>
          <w:left w:w="0" w:type="dxa"/>
          <w:bottom w:w="0" w:type="dxa"/>
          <w:right w:w="0" w:type="dxa"/>
        </w:tblCellMar>
      </w:tblPr>
      <w:tblGrid>
        <w:gridCol w:w="385"/>
        <w:gridCol w:w="1351"/>
        <w:gridCol w:w="1013"/>
        <w:gridCol w:w="2363"/>
        <w:gridCol w:w="2365"/>
        <w:gridCol w:w="2363"/>
      </w:tblGrid>
      <w:tr>
        <w:tblPrEx>
          <w:tblCellMar>
            <w:top w:w="0" w:type="dxa"/>
            <w:left w:w="0" w:type="dxa"/>
            <w:bottom w:w="0" w:type="dxa"/>
            <w:right w:w="0" w:type="dxa"/>
          </w:tblCellMar>
        </w:tblPrEx>
        <w:trPr>
          <w:trHeight w:val="945"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(2020 年度)</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远程监控系统运行维护</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资阳市雁江区文化市场综合执法大队</w:t>
            </w: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3.4万元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2.77万元</w:t>
            </w:r>
          </w:p>
        </w:tc>
      </w:tr>
      <w:tr>
        <w:tblPrEx>
          <w:tblCellMar>
            <w:top w:w="0" w:type="dxa"/>
            <w:left w:w="0" w:type="dxa"/>
            <w:bottom w:w="0" w:type="dxa"/>
            <w:right w:w="0" w:type="dxa"/>
          </w:tblCellMar>
        </w:tblPrEx>
        <w:trPr>
          <w:trHeight w:val="252"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3.4万元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2.77万元</w:t>
            </w:r>
          </w:p>
        </w:tc>
      </w:tr>
      <w:tr>
        <w:tblPrEx>
          <w:tblCellMar>
            <w:top w:w="0" w:type="dxa"/>
            <w:left w:w="0" w:type="dxa"/>
            <w:bottom w:w="0" w:type="dxa"/>
            <w:right w:w="0" w:type="dxa"/>
          </w:tblCellMar>
        </w:tblPrEx>
        <w:trPr>
          <w:trHeight w:val="138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59"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远程监控全区互联网上网服务经营单位正常无违规经营</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远程监控全区互联网上网服务经营单位正常无违规经营</w:t>
            </w:r>
          </w:p>
        </w:tc>
      </w:tr>
      <w:tr>
        <w:tblPrEx>
          <w:tblCellMar>
            <w:top w:w="0" w:type="dxa"/>
            <w:left w:w="0" w:type="dxa"/>
            <w:bottom w:w="0" w:type="dxa"/>
            <w:right w:w="0" w:type="dxa"/>
          </w:tblCellMar>
        </w:tblPrEx>
        <w:trPr>
          <w:trHeight w:val="953"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7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全区互联网上网经营单位监管</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远程监控全区互联网上网经营单位33个无违规经营</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远程监控全区互联网上网经营单位33个无违规经营</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高质量完成</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符合国家相关的法律法规</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符合国家相关的法律法规</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2020年全年</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2020年全年</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2020年全面完成</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更好时时监管全区互联网上网经营单位</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时时监管全区互联网上网经营单位</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时时监管全区互联网上网经营单位</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无未成年人上网、网络文化内容安全、无环境污染</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r>
      <w:tr>
        <w:tblPrEx>
          <w:tblCellMar>
            <w:top w:w="0" w:type="dxa"/>
            <w:left w:w="0" w:type="dxa"/>
            <w:bottom w:w="0" w:type="dxa"/>
            <w:right w:w="0" w:type="dxa"/>
          </w:tblCellMar>
        </w:tblPrEx>
        <w:trPr>
          <w:trHeight w:val="96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945"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color w:val="000000"/>
                <w:sz w:val="32"/>
                <w:szCs w:val="32"/>
              </w:rPr>
            </w:pPr>
            <w:r>
              <w:rPr>
                <w:rFonts w:hint="eastAsia" w:ascii="宋体" w:hAnsi="宋体" w:eastAsia="方正仿宋简体" w:cs="宋体"/>
                <w:bCs/>
                <w:color w:val="000000"/>
                <w:kern w:val="0"/>
                <w:sz w:val="32"/>
                <w:szCs w:val="32"/>
              </w:rPr>
              <w:t>项目支出绩效目标完成情况表</w:t>
            </w:r>
            <w:r>
              <w:rPr>
                <w:rFonts w:hint="eastAsia" w:ascii="宋体" w:hAnsi="宋体" w:eastAsia="方正仿宋简体" w:cs="宋体"/>
                <w:b/>
                <w:bCs/>
                <w:color w:val="000000"/>
                <w:kern w:val="0"/>
                <w:sz w:val="32"/>
                <w:szCs w:val="32"/>
              </w:rPr>
              <w:br w:type="textWrapping"/>
            </w:r>
            <w:r>
              <w:rPr>
                <w:rFonts w:hint="eastAsia" w:ascii="宋体" w:hAnsi="宋体" w:eastAsia="方正仿宋简体" w:cs="宋体"/>
                <w:color w:val="000000"/>
                <w:kern w:val="0"/>
                <w:sz w:val="32"/>
                <w:szCs w:val="32"/>
              </w:rPr>
              <w:t>(2020 年度)</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项目名称</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文化市场监管整治</w:t>
            </w:r>
          </w:p>
        </w:tc>
      </w:tr>
      <w:tr>
        <w:tblPrEx>
          <w:tblCellMar>
            <w:top w:w="0" w:type="dxa"/>
            <w:left w:w="0" w:type="dxa"/>
            <w:bottom w:w="0" w:type="dxa"/>
            <w:right w:w="0" w:type="dxa"/>
          </w:tblCellMar>
        </w:tblPrEx>
        <w:trPr>
          <w:trHeight w:val="252" w:hRule="atLeast"/>
        </w:trPr>
        <w:tc>
          <w:tcPr>
            <w:tcW w:w="27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预算单位</w:t>
            </w:r>
          </w:p>
        </w:tc>
        <w:tc>
          <w:tcPr>
            <w:tcW w:w="70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资阳市雁江区文化市场综合执法大队</w:t>
            </w: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预算执行情况(万元)</w:t>
            </w: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预算数: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6万元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执行数: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5.7万元</w:t>
            </w:r>
          </w:p>
        </w:tc>
      </w:tr>
      <w:tr>
        <w:tblPrEx>
          <w:tblCellMar>
            <w:top w:w="0" w:type="dxa"/>
            <w:left w:w="0" w:type="dxa"/>
            <w:bottom w:w="0" w:type="dxa"/>
            <w:right w:w="0" w:type="dxa"/>
          </w:tblCellMar>
        </w:tblPrEx>
        <w:trPr>
          <w:trHeight w:val="252"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6万元</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其中-财政拨款:</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5.7万元</w:t>
            </w:r>
          </w:p>
        </w:tc>
      </w:tr>
      <w:tr>
        <w:tblPrEx>
          <w:tblCellMar>
            <w:top w:w="0" w:type="dxa"/>
            <w:left w:w="0" w:type="dxa"/>
            <w:bottom w:w="0" w:type="dxa"/>
            <w:right w:w="0" w:type="dxa"/>
          </w:tblCellMar>
        </w:tblPrEx>
        <w:trPr>
          <w:trHeight w:val="138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23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0</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其它资金:</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0" w:lineRule="exact"/>
              <w:jc w:val="center"/>
              <w:rPr>
                <w:rFonts w:ascii="宋体" w:hAnsi="宋体" w:eastAsia="方正仿宋简体" w:cs="宋体"/>
                <w:color w:val="000000"/>
                <w:sz w:val="32"/>
                <w:szCs w:val="32"/>
              </w:rPr>
            </w:pPr>
          </w:p>
        </w:tc>
      </w:tr>
      <w:tr>
        <w:tblPrEx>
          <w:tblCellMar>
            <w:top w:w="0" w:type="dxa"/>
            <w:left w:w="0" w:type="dxa"/>
            <w:bottom w:w="0" w:type="dxa"/>
            <w:right w:w="0" w:type="dxa"/>
          </w:tblCellMar>
        </w:tblPrEx>
        <w:trPr>
          <w:trHeight w:val="252"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年度目标完成情况</w:t>
            </w: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预期目标</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实际完成目标</w:t>
            </w:r>
          </w:p>
        </w:tc>
      </w:tr>
      <w:tr>
        <w:tblPrEx>
          <w:tblCellMar>
            <w:top w:w="0" w:type="dxa"/>
            <w:left w:w="0" w:type="dxa"/>
            <w:bottom w:w="0" w:type="dxa"/>
            <w:right w:w="0" w:type="dxa"/>
          </w:tblCellMar>
        </w:tblPrEx>
        <w:trPr>
          <w:trHeight w:val="1059"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47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开展全区文化市场日常检查、专项整治行动、查处违规经营行为，维护文化市场正常经营秩序。</w:t>
            </w:r>
          </w:p>
        </w:tc>
        <w:tc>
          <w:tcPr>
            <w:tcW w:w="47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开展全区文化市场日常检查、专项整治行动、查处违规经营行为，维护文化市场正常经营秩序。达到了</w:t>
            </w:r>
            <w:r>
              <w:rPr>
                <w:rFonts w:hint="eastAsia" w:ascii="宋体" w:hAnsi="宋体" w:eastAsia="方正仿宋简体" w:cs="宋体"/>
                <w:color w:val="000000"/>
                <w:kern w:val="0"/>
                <w:sz w:val="32"/>
                <w:szCs w:val="32"/>
              </w:rPr>
              <w:t>预期目标。</w:t>
            </w:r>
          </w:p>
        </w:tc>
      </w:tr>
      <w:tr>
        <w:tblPrEx>
          <w:tblCellMar>
            <w:top w:w="0" w:type="dxa"/>
            <w:left w:w="0" w:type="dxa"/>
            <w:bottom w:w="0" w:type="dxa"/>
            <w:right w:w="0" w:type="dxa"/>
          </w:tblCellMar>
        </w:tblPrEx>
        <w:trPr>
          <w:trHeight w:val="953" w:hRule="atLeast"/>
        </w:trPr>
        <w:tc>
          <w:tcPr>
            <w:tcW w:w="3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绩效指标完成情况</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一级指标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二级指标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三级指标</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预期指标值(包含数字及文字描述)</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实际完成指标值(包含数字及文字描述)</w:t>
            </w:r>
          </w:p>
        </w:tc>
      </w:tr>
      <w:tr>
        <w:tblPrEx>
          <w:tblCellMar>
            <w:top w:w="0" w:type="dxa"/>
            <w:left w:w="0" w:type="dxa"/>
            <w:bottom w:w="0" w:type="dxa"/>
            <w:right w:w="0" w:type="dxa"/>
          </w:tblCellMar>
        </w:tblPrEx>
        <w:trPr>
          <w:trHeight w:val="871"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数量指标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在全区近3000家从事文化类经营单位</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对全区近3000家从事文化类经营单位日常检查、专项整治、查处违规经营行为，维护文化市场正常经营秩序。</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对全区近3000家从事文化类经营单位日常检查、专项整治、查处违规经营行为，维护文化市场正常经营秩序。</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质量指标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完成了日常检查2420余家次、出动执法人员4000余人次</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完成日常检查和专项整治1000余家次，出动执法人员2000余人次</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完成了日常检查2420余家次、出动执法人员4000余人次</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项目完成指标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时效指标</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2020年全年</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2020年全年</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2020年底全面完成</w:t>
            </w:r>
          </w:p>
        </w:tc>
      </w:tr>
      <w:tr>
        <w:tblPrEx>
          <w:tblCellMar>
            <w:top w:w="0" w:type="dxa"/>
            <w:left w:w="0" w:type="dxa"/>
            <w:bottom w:w="0" w:type="dxa"/>
            <w:right w:w="0" w:type="dxa"/>
          </w:tblCellMar>
        </w:tblPrEx>
        <w:trPr>
          <w:trHeight w:val="953"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社会效益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达到了群众满意，全区举报率明显下降，违规经营明显减少</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达到群众满意，市场经营秩序正常</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达到群众满意，市场经营秩序正常</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生态效益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文化类经营单位正常经营，无违法违规</w:t>
            </w:r>
          </w:p>
        </w:tc>
      </w:tr>
      <w:tr>
        <w:tblPrEx>
          <w:tblCellMar>
            <w:top w:w="0" w:type="dxa"/>
            <w:left w:w="0" w:type="dxa"/>
            <w:bottom w:w="0" w:type="dxa"/>
            <w:right w:w="0" w:type="dxa"/>
          </w:tblCellMar>
        </w:tblPrEx>
        <w:trPr>
          <w:trHeight w:val="1186"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kern w:val="0"/>
                <w:sz w:val="32"/>
                <w:szCs w:val="32"/>
              </w:rPr>
            </w:pPr>
            <w:r>
              <w:rPr>
                <w:rFonts w:hint="eastAsia" w:ascii="宋体" w:hAnsi="宋体" w:eastAsia="方正仿宋简体" w:cs="宋体"/>
                <w:color w:val="000000"/>
                <w:kern w:val="0"/>
                <w:sz w:val="32"/>
                <w:szCs w:val="32"/>
              </w:rPr>
              <w:t>效益指标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可持续效益</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确保国家文化安全、意识形态安全</w:t>
            </w:r>
          </w:p>
        </w:tc>
      </w:tr>
      <w:tr>
        <w:tblPrEx>
          <w:tblCellMar>
            <w:top w:w="0" w:type="dxa"/>
            <w:left w:w="0" w:type="dxa"/>
            <w:bottom w:w="0" w:type="dxa"/>
            <w:right w:w="0" w:type="dxa"/>
          </w:tblCellMar>
        </w:tblPrEx>
        <w:trPr>
          <w:trHeight w:val="960" w:hRule="atLeast"/>
        </w:trPr>
        <w:tc>
          <w:tcPr>
            <w:tcW w:w="3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eastAsia="方正仿宋简体" w:cs="宋体"/>
                <w:color w:val="000000"/>
                <w:sz w:val="32"/>
                <w:szCs w:val="32"/>
              </w:rPr>
            </w:pP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kern w:val="0"/>
                <w:sz w:val="32"/>
                <w:szCs w:val="32"/>
              </w:rPr>
              <w:t>满意度指标</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服务对象</w:t>
            </w:r>
          </w:p>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非常满意</w:t>
            </w:r>
          </w:p>
        </w:tc>
        <w:tc>
          <w:tcPr>
            <w:tcW w:w="23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c>
          <w:tcPr>
            <w:tcW w:w="2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ascii="宋体" w:hAnsi="宋体" w:eastAsia="方正仿宋简体" w:cs="宋体"/>
                <w:color w:val="000000"/>
                <w:sz w:val="32"/>
                <w:szCs w:val="32"/>
              </w:rPr>
            </w:pPr>
            <w:r>
              <w:rPr>
                <w:rFonts w:hint="eastAsia" w:ascii="宋体" w:hAnsi="宋体" w:eastAsia="方正仿宋简体" w:cs="宋体"/>
                <w:color w:val="000000"/>
                <w:sz w:val="32"/>
                <w:szCs w:val="32"/>
              </w:rPr>
              <w:t>满意度98%</w:t>
            </w:r>
          </w:p>
        </w:tc>
      </w:tr>
      <w:tr>
        <w:tblPrEx>
          <w:tblCellMar>
            <w:top w:w="0" w:type="dxa"/>
            <w:left w:w="0" w:type="dxa"/>
            <w:bottom w:w="0" w:type="dxa"/>
            <w:right w:w="0" w:type="dxa"/>
          </w:tblCellMar>
        </w:tblPrEx>
        <w:trPr>
          <w:trHeight w:val="59" w:hRule="atLeast"/>
        </w:trPr>
        <w:tc>
          <w:tcPr>
            <w:tcW w:w="9840" w:type="dxa"/>
            <w:gridSpan w:val="6"/>
            <w:tcMar>
              <w:top w:w="15" w:type="dxa"/>
              <w:left w:w="15" w:type="dxa"/>
              <w:bottom w:w="0" w:type="dxa"/>
              <w:right w:w="15" w:type="dxa"/>
            </w:tcMar>
            <w:vAlign w:val="center"/>
          </w:tcPr>
          <w:p>
            <w:pPr>
              <w:pStyle w:val="23"/>
              <w:widowControl/>
              <w:spacing w:line="600" w:lineRule="exact"/>
              <w:ind w:left="4015" w:leftChars="1310" w:hanging="1264" w:hangingChars="395"/>
              <w:textAlignment w:val="center"/>
              <w:rPr>
                <w:rFonts w:ascii="宋体" w:hAnsi="宋体" w:eastAsia="方正仿宋简体" w:cs="宋体"/>
                <w:sz w:val="32"/>
                <w:szCs w:val="32"/>
              </w:rPr>
            </w:pPr>
          </w:p>
          <w:p>
            <w:pPr>
              <w:pStyle w:val="23"/>
              <w:widowControl/>
              <w:spacing w:line="600" w:lineRule="exact"/>
              <w:ind w:left="4015" w:leftChars="1310" w:hanging="1264" w:hangingChars="395"/>
              <w:textAlignment w:val="center"/>
              <w:rPr>
                <w:rFonts w:ascii="宋体" w:hAnsi="宋体" w:eastAsia="方正仿宋简体" w:cs="宋体"/>
                <w:sz w:val="32"/>
                <w:szCs w:val="32"/>
              </w:rPr>
            </w:pPr>
          </w:p>
        </w:tc>
      </w:tr>
    </w:tbl>
    <w:p>
      <w:pPr>
        <w:spacing w:line="580" w:lineRule="exact"/>
        <w:ind w:firstLine="643" w:firstLineChars="200"/>
        <w:outlineLvl w:val="2"/>
        <w:rPr>
          <w:rFonts w:ascii="宋体" w:hAnsi="宋体" w:eastAsia="方正楷体简体" w:cs="方正楷体简体"/>
          <w:b/>
          <w:bCs/>
          <w:color w:val="000000"/>
          <w:sz w:val="32"/>
          <w:szCs w:val="32"/>
        </w:rPr>
      </w:pPr>
      <w:bookmarkStart w:id="93" w:name="_Toc4988"/>
      <w:r>
        <w:rPr>
          <w:rFonts w:hint="eastAsia" w:ascii="宋体" w:hAnsi="宋体" w:eastAsia="方正楷体简体" w:cs="方正楷体简体"/>
          <w:b/>
          <w:bCs/>
          <w:color w:val="000000"/>
          <w:sz w:val="32"/>
          <w:szCs w:val="32"/>
        </w:rPr>
        <w:t>（三）部门开展绩效评价结果。部门开展绩效评价结果。</w:t>
      </w:r>
      <w:bookmarkEnd w:id="93"/>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本部门按要求对2020年部门整体支出绩效评价情况开展自评，《资阳市雁江区文化市场综合执法大队2020年部门整体支出绩效评价报告》见附件。</w:t>
      </w:r>
    </w:p>
    <w:p>
      <w:pPr>
        <w:spacing w:line="580" w:lineRule="exact"/>
        <w:ind w:firstLine="640" w:firstLineChars="200"/>
        <w:outlineLvl w:val="1"/>
        <w:rPr>
          <w:rFonts w:ascii="宋体" w:hAnsi="宋体" w:eastAsia="方正黑体简体" w:cs="方正黑体简体"/>
          <w:sz w:val="32"/>
          <w:szCs w:val="32"/>
        </w:rPr>
      </w:pPr>
      <w:bookmarkStart w:id="94" w:name="_Toc17103564"/>
      <w:bookmarkStart w:id="95" w:name="_Toc15377221"/>
      <w:bookmarkStart w:id="96" w:name="_Toc4491"/>
      <w:bookmarkStart w:id="97" w:name="_Toc22834"/>
      <w:r>
        <w:rPr>
          <w:rFonts w:hint="eastAsia" w:ascii="宋体" w:hAnsi="宋体" w:eastAsia="方正黑体简体" w:cs="方正黑体简体"/>
          <w:sz w:val="32"/>
          <w:szCs w:val="32"/>
        </w:rPr>
        <w:t>十一、其他重要事项的情况说明</w:t>
      </w:r>
      <w:bookmarkEnd w:id="94"/>
      <w:bookmarkEnd w:id="95"/>
      <w:bookmarkEnd w:id="96"/>
      <w:bookmarkEnd w:id="97"/>
    </w:p>
    <w:p>
      <w:pPr>
        <w:spacing w:line="580" w:lineRule="exact"/>
        <w:ind w:firstLine="643" w:firstLineChars="200"/>
        <w:outlineLvl w:val="2"/>
        <w:rPr>
          <w:rFonts w:ascii="宋体" w:hAnsi="宋体" w:eastAsia="方正楷体简体" w:cs="方正楷体简体"/>
          <w:b/>
          <w:bCs/>
          <w:color w:val="000000"/>
          <w:sz w:val="32"/>
          <w:szCs w:val="32"/>
        </w:rPr>
      </w:pPr>
      <w:bookmarkStart w:id="98" w:name="_Toc15377222"/>
      <w:bookmarkStart w:id="99" w:name="_Toc7282"/>
      <w:r>
        <w:rPr>
          <w:rFonts w:hint="eastAsia" w:ascii="宋体" w:hAnsi="宋体" w:eastAsia="方正楷体简体" w:cs="方正楷体简体"/>
          <w:b/>
          <w:bCs/>
          <w:color w:val="000000"/>
          <w:sz w:val="32"/>
          <w:szCs w:val="32"/>
        </w:rPr>
        <w:t>（一）机关运行经费支出情况</w:t>
      </w:r>
      <w:bookmarkEnd w:id="98"/>
      <w:bookmarkEnd w:id="99"/>
    </w:p>
    <w:p>
      <w:pPr>
        <w:pStyle w:val="23"/>
        <w:spacing w:line="580" w:lineRule="exact"/>
        <w:ind w:firstLine="640"/>
        <w:rPr>
          <w:rStyle w:val="25"/>
          <w:rFonts w:ascii="宋体" w:hAnsi="宋体" w:eastAsia="方正仿宋简体"/>
          <w:b w:val="0"/>
        </w:rPr>
      </w:pPr>
      <w:bookmarkStart w:id="100" w:name="_Toc49502721"/>
      <w:r>
        <w:rPr>
          <w:rFonts w:hint="eastAsia" w:ascii="宋体" w:hAnsi="宋体" w:eastAsia="方正仿宋简体"/>
          <w:color w:val="000000"/>
          <w:sz w:val="32"/>
          <w:szCs w:val="32"/>
        </w:rPr>
        <w:t>2020年，文化市场管理机关运行经费支出173.45万元，比2019年127.39万元增加46.06万元，增加36%。主要变动原因是职工工资增加。</w:t>
      </w:r>
      <w:bookmarkEnd w:id="100"/>
    </w:p>
    <w:p>
      <w:pPr>
        <w:spacing w:line="580" w:lineRule="exact"/>
        <w:ind w:firstLine="643" w:firstLineChars="200"/>
        <w:outlineLvl w:val="2"/>
        <w:rPr>
          <w:rFonts w:ascii="宋体" w:hAnsi="宋体" w:eastAsia="方正楷体简体" w:cs="方正楷体简体"/>
          <w:b/>
          <w:bCs/>
          <w:color w:val="000000"/>
          <w:sz w:val="32"/>
          <w:szCs w:val="32"/>
        </w:rPr>
      </w:pPr>
      <w:bookmarkStart w:id="101" w:name="_Toc15377223"/>
      <w:bookmarkStart w:id="102" w:name="_Toc12279"/>
      <w:r>
        <w:rPr>
          <w:rFonts w:hint="eastAsia" w:ascii="宋体" w:hAnsi="宋体" w:eastAsia="方正楷体简体" w:cs="方正楷体简体"/>
          <w:b/>
          <w:bCs/>
          <w:color w:val="000000"/>
          <w:sz w:val="32"/>
          <w:szCs w:val="32"/>
        </w:rPr>
        <w:t>（二）政府采购支出情况</w:t>
      </w:r>
      <w:bookmarkEnd w:id="101"/>
      <w:bookmarkEnd w:id="102"/>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2020年，文化市场综合执法大队政府采购支出总额0万元，其中：政府采购货物支出0万元、政府采购工程支出0万元、政府采购服务支出0万元。主要用于无（具体工作）。授予中小企业合同金额0万元，占政府采购支出总额的0%，其中：授予小微企业合同金额0万元，占政府采购支出总额的0%。</w:t>
      </w:r>
    </w:p>
    <w:p>
      <w:pPr>
        <w:spacing w:line="580" w:lineRule="exact"/>
        <w:ind w:firstLine="643" w:firstLineChars="200"/>
        <w:outlineLvl w:val="2"/>
        <w:rPr>
          <w:rFonts w:ascii="宋体" w:hAnsi="宋体" w:eastAsia="方正楷体简体" w:cs="方正楷体简体"/>
          <w:b/>
          <w:bCs/>
          <w:color w:val="000000"/>
          <w:sz w:val="32"/>
          <w:szCs w:val="32"/>
        </w:rPr>
      </w:pPr>
      <w:bookmarkStart w:id="103" w:name="_Toc15377224"/>
      <w:bookmarkStart w:id="104" w:name="_Toc20043"/>
      <w:r>
        <w:rPr>
          <w:rFonts w:hint="eastAsia" w:ascii="宋体" w:hAnsi="宋体" w:eastAsia="方正楷体简体" w:cs="方正楷体简体"/>
          <w:b/>
          <w:bCs/>
          <w:color w:val="000000"/>
          <w:sz w:val="32"/>
          <w:szCs w:val="32"/>
        </w:rPr>
        <w:t>（三）国有资产占有使用情况</w:t>
      </w:r>
      <w:bookmarkEnd w:id="103"/>
      <w:bookmarkEnd w:id="104"/>
    </w:p>
    <w:p>
      <w:pPr>
        <w:autoSpaceDE w:val="0"/>
        <w:autoSpaceDN w:val="0"/>
        <w:adjustRightInd w:val="0"/>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截至2020年12月31日，文化执法大队共有车辆1辆，其中：部级领导干部用车0辆、一般公务用车1辆、一般执法执勤用车0辆、特种专业技术用车0辆、其他用车0辆，</w:t>
      </w:r>
      <w:r>
        <w:rPr>
          <w:rFonts w:hint="eastAsia" w:ascii="宋体" w:hAnsi="宋体" w:eastAsia="方正仿宋简体"/>
          <w:color w:val="000000" w:themeColor="text1"/>
          <w:sz w:val="32"/>
          <w:szCs w:val="32"/>
        </w:rPr>
        <w:t>其他用车主要是用于无单价50万元以上通用设备0台（套），单价100</w:t>
      </w:r>
      <w:r>
        <w:rPr>
          <w:rFonts w:hint="eastAsia" w:ascii="宋体" w:hAnsi="宋体" w:eastAsia="方正仿宋简体"/>
          <w:color w:val="000000"/>
          <w:sz w:val="32"/>
          <w:szCs w:val="32"/>
        </w:rPr>
        <w:t>万元以上专用设备0台（套）。</w:t>
      </w:r>
    </w:p>
    <w:p>
      <w:pPr>
        <w:widowControl/>
        <w:spacing w:line="580" w:lineRule="exact"/>
        <w:ind w:firstLine="643" w:firstLineChars="200"/>
        <w:rPr>
          <w:rFonts w:ascii="宋体" w:hAnsi="宋体" w:eastAsia="方正仿宋简体"/>
          <w:b/>
          <w:color w:val="000000"/>
          <w:sz w:val="32"/>
          <w:szCs w:val="32"/>
        </w:rPr>
      </w:pPr>
      <w:r>
        <w:rPr>
          <w:rFonts w:hint="eastAsia" w:ascii="宋体" w:hAnsi="宋体" w:eastAsia="方正仿宋简体"/>
          <w:b/>
          <w:color w:val="000000"/>
          <w:sz w:val="32"/>
          <w:szCs w:val="32"/>
        </w:rPr>
        <w:br w:type="page"/>
      </w:r>
    </w:p>
    <w:p>
      <w:pPr>
        <w:spacing w:line="580" w:lineRule="exact"/>
        <w:jc w:val="center"/>
        <w:outlineLvl w:val="0"/>
        <w:rPr>
          <w:rStyle w:val="24"/>
          <w:rFonts w:ascii="宋体" w:hAnsi="宋体" w:eastAsia="方正小标宋简体"/>
          <w:b w:val="0"/>
        </w:rPr>
      </w:pPr>
      <w:bookmarkStart w:id="105" w:name="_Toc20429"/>
      <w:bookmarkStart w:id="106" w:name="_Toc15377225"/>
      <w:bookmarkStart w:id="107" w:name="_Toc17103565"/>
      <w:bookmarkStart w:id="108" w:name="_Toc22167"/>
      <w:r>
        <w:rPr>
          <w:rFonts w:hint="eastAsia" w:ascii="宋体" w:hAnsi="宋体" w:eastAsia="方正小标宋简体"/>
          <w:b/>
          <w:color w:val="000000"/>
          <w:sz w:val="44"/>
          <w:szCs w:val="44"/>
        </w:rPr>
        <w:t>第三部分 名</w:t>
      </w:r>
      <w:r>
        <w:rPr>
          <w:rStyle w:val="24"/>
          <w:rFonts w:hint="eastAsia" w:ascii="宋体" w:hAnsi="宋体" w:eastAsia="方正小标宋简体"/>
          <w:b w:val="0"/>
        </w:rPr>
        <w:t>词解释</w:t>
      </w:r>
      <w:bookmarkEnd w:id="105"/>
      <w:bookmarkEnd w:id="106"/>
      <w:bookmarkEnd w:id="107"/>
      <w:bookmarkEnd w:id="108"/>
    </w:p>
    <w:p>
      <w:pPr>
        <w:spacing w:line="580" w:lineRule="exact"/>
        <w:ind w:firstLine="880" w:firstLineChars="200"/>
        <w:outlineLvl w:val="9"/>
        <w:rPr>
          <w:rFonts w:ascii="宋体" w:hAnsi="宋体" w:eastAsia="方正小标宋简体"/>
          <w:bCs/>
          <w:kern w:val="44"/>
          <w:sz w:val="44"/>
          <w:szCs w:val="44"/>
        </w:rPr>
      </w:pP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1.财政拨款收入：指单位从同级财政部门取得的财政预算资金。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2.事业收入：指事业单位开展专业业务活动及辅助活动取得的收入。</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3.经营收入：指事业单位在专业业务活动及其辅助活动之外开展非独立核算经营活动取得的收入。</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4.其他收入：指单位取得的除上述收入以外的各项收入。</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6.年初结转和结余：指以前年度尚未完成、结转到本年按有关规定继续使用的资金。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7.结余分配：指事业单位按照事业单位会计制度的规定从非财政补助结余中分配的事业基金和职工福利基金等。</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8、年末结转和结余：指单位按有关规定结转到下年或以后年度继续使用的资金。</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9.一般公共服务：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10.外交：无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11.公共安全：无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12.教育（类）：无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13.科学技术（类）：无</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14.文化体育与传媒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15.社会保障和就业：</w:t>
      </w:r>
      <w:r>
        <w:rPr>
          <w:rStyle w:val="14"/>
          <w:rFonts w:hint="eastAsia" w:ascii="宋体" w:hAnsi="宋体" w:eastAsia="方正仿宋简体"/>
          <w:b w:val="0"/>
          <w:bCs/>
          <w:color w:val="000000"/>
          <w:sz w:val="32"/>
          <w:szCs w:val="32"/>
        </w:rPr>
        <w:t>（类）行政事业单位离退休（款）机关事业单位养老保险（项）</w:t>
      </w:r>
    </w:p>
    <w:p>
      <w:pPr>
        <w:spacing w:line="580" w:lineRule="exact"/>
        <w:ind w:firstLine="640" w:firstLineChars="200"/>
        <w:rPr>
          <w:rStyle w:val="14"/>
          <w:rFonts w:ascii="宋体" w:hAnsi="宋体" w:eastAsia="方正仿宋简体"/>
          <w:b w:val="0"/>
          <w:bCs/>
          <w:color w:val="000000"/>
          <w:sz w:val="32"/>
          <w:szCs w:val="32"/>
        </w:rPr>
      </w:pPr>
      <w:r>
        <w:rPr>
          <w:rFonts w:hint="eastAsia" w:ascii="宋体" w:hAnsi="宋体" w:eastAsia="方正仿宋简体"/>
          <w:color w:val="000000"/>
          <w:sz w:val="32"/>
          <w:szCs w:val="32"/>
        </w:rPr>
        <w:t>16.医疗卫生与计划生育：</w:t>
      </w:r>
      <w:r>
        <w:rPr>
          <w:rStyle w:val="14"/>
          <w:rFonts w:hint="eastAsia" w:ascii="宋体" w:hAnsi="宋体" w:eastAsia="方正仿宋简体"/>
          <w:b w:val="0"/>
          <w:bCs/>
          <w:color w:val="000000"/>
          <w:sz w:val="32"/>
          <w:szCs w:val="32"/>
        </w:rPr>
        <w:t>（类）行政事业单位医疗（款）事业单位医疗（项）</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17.节能环保：无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18.城乡社区：无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19.农林水：无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20.交通运输：无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21.资源勘探信息等：无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22.商业服务业：无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23.金融：无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24.国土海洋气象等：无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25.住房保障：（类）住房保障支出（款）住房改革支出（项）住房公积金</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26.粮油物资储备：无</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27.基本支出：指为保障机构正常运转、完成日常工作任务而发生的人员支出和公用支出。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28.项目支出：指在基本支出之外为完成特定行政任务和事业发展目标所发生的支出。</w:t>
      </w:r>
    </w:p>
    <w:p>
      <w:pPr>
        <w:spacing w:line="580" w:lineRule="exact"/>
        <w:ind w:firstLine="640" w:firstLineChars="200"/>
        <w:rPr>
          <w:rFonts w:ascii="宋体" w:hAnsi="宋体" w:eastAsia="方正仿宋简体"/>
          <w:color w:val="000000"/>
          <w:sz w:val="32"/>
          <w:szCs w:val="32"/>
        </w:rPr>
      </w:pPr>
      <w:r>
        <w:rPr>
          <w:rFonts w:hint="eastAsia" w:ascii="宋体" w:hAnsi="宋体" w:eastAsia="方正仿宋简体"/>
          <w:color w:val="000000"/>
          <w:sz w:val="32"/>
          <w:szCs w:val="32"/>
        </w:rPr>
        <w:t>29.经营支出：指事业单位在专业业务活动及其辅助活动之外开展非独立核算经营活动发生的支出。</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80" w:lineRule="exact"/>
        <w:ind w:firstLine="640" w:firstLineChars="200"/>
        <w:jc w:val="both"/>
        <w:rPr>
          <w:rFonts w:ascii="宋体" w:hAnsi="宋体" w:eastAsia="方正仿宋简体"/>
          <w:sz w:val="32"/>
          <w:szCs w:val="32"/>
        </w:rPr>
      </w:pPr>
      <w:r>
        <w:rPr>
          <w:rFonts w:hint="eastAsia" w:ascii="宋体" w:hAnsi="宋体" w:eastAsia="方正仿宋简体"/>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jc w:val="center"/>
        <w:outlineLvl w:val="0"/>
        <w:rPr>
          <w:rStyle w:val="24"/>
          <w:rFonts w:ascii="宋体" w:hAnsi="宋体" w:eastAsia="方正小标宋简体"/>
          <w:b w:val="0"/>
        </w:rPr>
      </w:pPr>
      <w:bookmarkStart w:id="109" w:name="_Toc15377226"/>
      <w:r>
        <w:rPr>
          <w:rFonts w:hint="eastAsia" w:ascii="宋体" w:hAnsi="宋体" w:eastAsia="方正仿宋简体"/>
          <w:b/>
          <w:color w:val="000000"/>
          <w:sz w:val="32"/>
          <w:szCs w:val="32"/>
        </w:rPr>
        <w:br w:type="page"/>
      </w:r>
      <w:bookmarkStart w:id="110" w:name="_Toc17103566"/>
      <w:bookmarkStart w:id="111" w:name="_Toc16355"/>
      <w:bookmarkStart w:id="112" w:name="_Toc2570"/>
      <w:r>
        <w:rPr>
          <w:rFonts w:hint="eastAsia" w:ascii="宋体" w:hAnsi="宋体" w:eastAsia="方正小标宋简体"/>
          <w:color w:val="000000"/>
          <w:sz w:val="44"/>
          <w:szCs w:val="44"/>
        </w:rPr>
        <w:t>第</w:t>
      </w:r>
      <w:r>
        <w:rPr>
          <w:rStyle w:val="24"/>
          <w:rFonts w:hint="eastAsia" w:ascii="宋体" w:hAnsi="宋体" w:eastAsia="方正小标宋简体"/>
          <w:b w:val="0"/>
        </w:rPr>
        <w:t>四部分 附件</w:t>
      </w:r>
      <w:bookmarkEnd w:id="110"/>
      <w:bookmarkEnd w:id="111"/>
      <w:bookmarkEnd w:id="112"/>
    </w:p>
    <w:p>
      <w:pPr>
        <w:spacing w:line="580" w:lineRule="exact"/>
        <w:ind w:firstLine="640" w:firstLineChars="200"/>
        <w:outlineLvl w:val="9"/>
        <w:rPr>
          <w:rStyle w:val="24"/>
          <w:rFonts w:ascii="宋体" w:hAnsi="宋体" w:eastAsia="方正仿宋简体"/>
          <w:b w:val="0"/>
          <w:bCs w:val="0"/>
          <w:sz w:val="32"/>
          <w:szCs w:val="32"/>
        </w:rPr>
      </w:pPr>
      <w:bookmarkStart w:id="113" w:name="_Toc17103567"/>
    </w:p>
    <w:p>
      <w:pPr>
        <w:spacing w:line="580" w:lineRule="exact"/>
        <w:outlineLvl w:val="1"/>
        <w:rPr>
          <w:rStyle w:val="24"/>
          <w:rFonts w:ascii="宋体" w:hAnsi="宋体" w:eastAsia="方正仿宋简体"/>
          <w:b w:val="0"/>
          <w:bCs w:val="0"/>
          <w:sz w:val="32"/>
          <w:szCs w:val="32"/>
        </w:rPr>
      </w:pPr>
      <w:bookmarkStart w:id="114" w:name="_Toc8957"/>
      <w:bookmarkStart w:id="115" w:name="_Toc26648"/>
      <w:r>
        <w:rPr>
          <w:rStyle w:val="24"/>
          <w:rFonts w:hint="eastAsia" w:ascii="宋体" w:hAnsi="宋体" w:eastAsia="方正仿宋简体"/>
          <w:b w:val="0"/>
          <w:bCs w:val="0"/>
          <w:sz w:val="32"/>
          <w:szCs w:val="32"/>
        </w:rPr>
        <w:t>附件1</w:t>
      </w:r>
      <w:bookmarkEnd w:id="113"/>
      <w:r>
        <w:rPr>
          <w:rStyle w:val="24"/>
          <w:rFonts w:hint="eastAsia" w:ascii="宋体" w:hAnsi="宋体" w:eastAsia="方正仿宋简体"/>
          <w:b w:val="0"/>
          <w:bCs w:val="0"/>
          <w:sz w:val="32"/>
          <w:szCs w:val="32"/>
        </w:rPr>
        <w:t>：</w:t>
      </w:r>
      <w:bookmarkEnd w:id="114"/>
      <w:bookmarkEnd w:id="115"/>
    </w:p>
    <w:p>
      <w:pPr>
        <w:spacing w:line="580" w:lineRule="exact"/>
        <w:jc w:val="center"/>
        <w:rPr>
          <w:rFonts w:ascii="宋体" w:hAnsi="宋体" w:eastAsia="方正小标宋简体" w:cs="方正小标宋简体"/>
          <w:sz w:val="44"/>
          <w:szCs w:val="44"/>
        </w:rPr>
      </w:pPr>
      <w:bookmarkStart w:id="116" w:name="_Toc17103568"/>
      <w:bookmarkStart w:id="117" w:name="_Toc49502725"/>
      <w:bookmarkStart w:id="118" w:name="_Toc15396616"/>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资阳市雁江区文化市场综合执法大队2020年部门整体支出绩效评价报告</w:t>
      </w:r>
      <w:bookmarkEnd w:id="116"/>
      <w:bookmarkEnd w:id="117"/>
      <w:bookmarkEnd w:id="118"/>
    </w:p>
    <w:p>
      <w:pPr>
        <w:spacing w:line="580" w:lineRule="exact"/>
        <w:ind w:firstLine="640" w:firstLineChars="200"/>
        <w:rPr>
          <w:rFonts w:ascii="宋体" w:hAnsi="宋体" w:eastAsia="方正黑体简体" w:cs="方正黑体简体"/>
          <w:sz w:val="32"/>
          <w:szCs w:val="32"/>
        </w:rPr>
      </w:pP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一、部门（单位）概况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（一）机构组成</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资阳市雁江区文化市场综合执法大队包含办公室、监控室、调查询问室、举报受理室。</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（二）机构职能</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本单位依据法律、法规和国务院、省、市、区政府有关规定和程序，行使对文化市场管理的行政处罚权，以及相关的行政强制、监督检查职责。</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（三）人员概况</w:t>
      </w:r>
    </w:p>
    <w:p>
      <w:pPr>
        <w:spacing w:line="580" w:lineRule="exact"/>
        <w:ind w:firstLine="640" w:firstLineChars="200"/>
        <w:rPr>
          <w:rFonts w:ascii="宋体" w:hAnsi="宋体" w:eastAsia="方正仿宋简体"/>
          <w:sz w:val="32"/>
          <w:szCs w:val="32"/>
        </w:rPr>
      </w:pPr>
      <w:r>
        <w:rPr>
          <w:rFonts w:hint="eastAsia" w:ascii="宋体" w:hAnsi="宋体" w:eastAsia="方正仿宋简体" w:cs="仿宋_GB2312"/>
          <w:sz w:val="32"/>
          <w:szCs w:val="32"/>
        </w:rPr>
        <w:t>资阳市雁江区文化市场综合执法大队编制15个，包含参公编制13个，工人2个，实有参公人员8人，工人2人。</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二、部门财政资金收支情况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（一）部门财政资金收入情况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2020年基本支出收入共计181.95万元，其中工资福利支出60.41万元，商品和服务支出36.11万元，奖金支出57.74万元，奖励金0.02万——事业单位离退休费1.55万元，机关事业单位基本养老保险缴费支出9.77万元，机关事业单位职业年金缴费支出0万元，事业单位医疗6.24万元，住房公积金支出10.11万元。</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2020年项目支出收入共计各8.5万元，其中远程监控系统运行维护2.77万元，文化市场监管、整治5.73万元。</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（二）部门财政资金支出情况</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2020年基本支出共计181.95万元，其中工资福利支出60.41万元，商品和服务支出36.11万元，奖金支出57.74万元，奖励金0.02万——事业单位离退休费1.55万元，机关事业单位基本养老保险缴费支出9.77万元，机关事业单位职业年金缴费支出0万元，事业单位医疗6.24万元，住房公积金支出10.11万元。</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2020年项目支出共计各8.5万元，其中远程监控系统运行维护2.77万元，文化市场监管、整治5.73万元。</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三、部门整体预算绩效管理情况（根据适用指标体系进行调整）</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（一）部门预算管理</w:t>
      </w:r>
    </w:p>
    <w:p>
      <w:pPr>
        <w:spacing w:line="580" w:lineRule="exact"/>
        <w:ind w:firstLine="640" w:firstLineChars="200"/>
        <w:rPr>
          <w:rFonts w:ascii="宋体" w:hAnsi="宋体" w:eastAsia="方正仿宋简体" w:cs="华文中宋"/>
          <w:color w:val="000000"/>
          <w:spacing w:val="-6"/>
          <w:sz w:val="32"/>
          <w:szCs w:val="32"/>
        </w:rPr>
      </w:pPr>
      <w:r>
        <w:rPr>
          <w:rFonts w:hint="eastAsia" w:ascii="宋体" w:hAnsi="宋体" w:eastAsia="方正仿宋简体"/>
          <w:sz w:val="32"/>
          <w:szCs w:val="32"/>
        </w:rPr>
        <w:t>为提高项目资金使用效益，区文化执法大队于2019年底制定部门2020年各项目标任务，并根据任务编制年初预算。</w:t>
      </w:r>
      <w:r>
        <w:rPr>
          <w:rFonts w:hint="eastAsia" w:ascii="宋体" w:hAnsi="宋体" w:eastAsia="方正仿宋简体" w:cs="华文中宋"/>
          <w:sz w:val="32"/>
          <w:szCs w:val="32"/>
        </w:rPr>
        <w:t>包括</w:t>
      </w:r>
      <w:r>
        <w:rPr>
          <w:rFonts w:hint="eastAsia" w:ascii="宋体" w:hAnsi="宋体" w:eastAsia="方正仿宋简体" w:cs="华文中宋"/>
          <w:color w:val="000000"/>
          <w:sz w:val="32"/>
          <w:szCs w:val="32"/>
        </w:rPr>
        <w:t>开展全区文化市场日常检查、专项整治行动、查处违规经营行为，维护文化市场正常经营秩序。</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（二）专项预算管理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区文化执法大队严格按照中央、省、市、区各级专项资金管理办法和财务相关法律法规管理使用各项资金，专款专用，确保专项预算项目程序严密、规划合理、结果符合、分配科学及时、按照绩效目标圆满完成文化市场管理建设各方面的工作。无违规记录等情况。</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（三）结果应用情况</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文化市场的不断完善，使群众更好的感受到经济社会和文化高质量发展带来的成果，</w:t>
      </w:r>
      <w:r>
        <w:rPr>
          <w:rFonts w:hint="eastAsia" w:ascii="宋体" w:hAnsi="宋体" w:eastAsia="方正仿宋简体" w:cs="华文中宋"/>
          <w:color w:val="000000"/>
          <w:sz w:val="32"/>
          <w:szCs w:val="32"/>
        </w:rPr>
        <w:t>确保了国家文化安全、意识形态安全，</w:t>
      </w:r>
      <w:r>
        <w:rPr>
          <w:rFonts w:hint="eastAsia" w:ascii="宋体" w:hAnsi="宋体" w:eastAsia="方正仿宋简体"/>
          <w:sz w:val="32"/>
          <w:szCs w:val="32"/>
        </w:rPr>
        <w:t>具有极大的可持续发展空间和影响力。同时我队对各项工作及时开展自评，总结出经验和不足，力争在2020年能将各项资金得到更好的发挥。</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四、评价结论及建议</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2020年我队按照时间节点倒排工期，保质保量的完成了远程监管、文化市场日常检查、专项整治等方面全年计划的各项任务，取得了较好的社会效益，群众满意度高，整体绩效目标完成度较好。</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（二）存在问题</w:t>
      </w:r>
    </w:p>
    <w:p>
      <w:pPr>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 xml:space="preserve">由于我队执法人员少，经营单位多，导致有时文化市场监管不到位。 </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（三）改进建议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sz w:val="32"/>
          <w:szCs w:val="32"/>
        </w:rPr>
        <w:t>充分利用社会资源，通过奖励等方式，吸引广大群众举报，加强对全区文化市场监管，助力雁江文化市场振兴。</w:t>
      </w:r>
      <w:r>
        <w:rPr>
          <w:rFonts w:hint="eastAsia" w:ascii="宋体" w:hAnsi="宋体" w:eastAsia="方正仿宋简体" w:cs="仿宋_GB2312"/>
          <w:sz w:val="32"/>
          <w:szCs w:val="32"/>
        </w:rPr>
        <w:br w:type="page"/>
      </w:r>
    </w:p>
    <w:p>
      <w:pPr>
        <w:spacing w:line="580" w:lineRule="exact"/>
        <w:outlineLvl w:val="1"/>
        <w:rPr>
          <w:rStyle w:val="24"/>
          <w:rFonts w:ascii="宋体" w:hAnsi="宋体" w:eastAsia="方正仿宋简体"/>
          <w:b w:val="0"/>
          <w:bCs w:val="0"/>
          <w:sz w:val="32"/>
          <w:szCs w:val="32"/>
        </w:rPr>
      </w:pPr>
      <w:bookmarkStart w:id="119" w:name="_Toc17103569"/>
      <w:bookmarkStart w:id="120" w:name="_Toc972"/>
      <w:bookmarkStart w:id="121" w:name="_Toc3179"/>
      <w:r>
        <w:rPr>
          <w:rStyle w:val="24"/>
          <w:rFonts w:hint="eastAsia" w:ascii="宋体" w:hAnsi="宋体" w:eastAsia="方正仿宋简体"/>
          <w:b w:val="0"/>
          <w:bCs w:val="0"/>
          <w:sz w:val="32"/>
          <w:szCs w:val="32"/>
        </w:rPr>
        <w:t>附件2</w:t>
      </w:r>
      <w:bookmarkEnd w:id="119"/>
      <w:r>
        <w:rPr>
          <w:rStyle w:val="24"/>
          <w:rFonts w:hint="eastAsia" w:ascii="宋体" w:hAnsi="宋体" w:eastAsia="方正仿宋简体"/>
          <w:b w:val="0"/>
          <w:bCs w:val="0"/>
          <w:sz w:val="32"/>
          <w:szCs w:val="32"/>
        </w:rPr>
        <w:t>：</w:t>
      </w:r>
      <w:bookmarkEnd w:id="120"/>
      <w:bookmarkEnd w:id="121"/>
    </w:p>
    <w:p>
      <w:pPr>
        <w:spacing w:line="580" w:lineRule="exact"/>
        <w:jc w:val="center"/>
        <w:rPr>
          <w:rFonts w:ascii="宋体" w:hAnsi="宋体" w:eastAsia="方正小标宋简体" w:cs="方正小标宋简体"/>
          <w:sz w:val="44"/>
          <w:szCs w:val="44"/>
        </w:rPr>
      </w:pPr>
    </w:p>
    <w:p>
      <w:pPr>
        <w:spacing w:line="58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2020年文化市场管理监管项目支出绩效评价报告</w:t>
      </w:r>
    </w:p>
    <w:p>
      <w:pPr>
        <w:spacing w:line="580" w:lineRule="exact"/>
        <w:ind w:firstLine="640" w:firstLineChars="200"/>
        <w:rPr>
          <w:rFonts w:ascii="宋体" w:hAnsi="宋体" w:eastAsia="方正仿宋简体" w:cs="仿宋_GB2312"/>
          <w:sz w:val="32"/>
          <w:szCs w:val="32"/>
        </w:rPr>
      </w:pP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一、评价工作开展及项目情况</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w:t>
      </w:r>
      <w:r>
        <w:rPr>
          <w:rFonts w:hint="eastAsia" w:ascii="宋体" w:hAnsi="宋体" w:eastAsia="方正仿宋简体" w:cs="华文仿宋"/>
          <w:color w:val="000000"/>
          <w:sz w:val="32"/>
          <w:szCs w:val="32"/>
        </w:rPr>
        <w:t>评价</w:t>
      </w:r>
      <w:r>
        <w:rPr>
          <w:rFonts w:hint="eastAsia" w:ascii="宋体" w:hAnsi="宋体" w:eastAsia="方正仿宋简体" w:cs="仿宋_GB2312"/>
          <w:sz w:val="32"/>
          <w:szCs w:val="32"/>
        </w:rPr>
        <w:t>实施方案情况：</w:t>
      </w:r>
      <w:r>
        <w:rPr>
          <w:rFonts w:hint="eastAsia" w:ascii="宋体" w:hAnsi="宋体" w:eastAsia="方正仿宋简体" w:cs="华文仿宋"/>
          <w:color w:val="000000"/>
          <w:sz w:val="32"/>
          <w:szCs w:val="32"/>
        </w:rPr>
        <w:t>对</w:t>
      </w:r>
      <w:r>
        <w:rPr>
          <w:rFonts w:hint="eastAsia" w:ascii="宋体" w:hAnsi="宋体" w:eastAsia="方正仿宋简体" w:cs="仿宋_GB2312"/>
          <w:sz w:val="32"/>
          <w:szCs w:val="32"/>
        </w:rPr>
        <w:t>全区近3000家从事文化类经营单位日常检查、专项整治、查处违规经营行为，维护文化市场正常经营秩序。</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二、评价结论及绩效分析</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（一）评价结论</w:t>
      </w:r>
    </w:p>
    <w:p>
      <w:pPr>
        <w:spacing w:line="580" w:lineRule="exact"/>
        <w:ind w:firstLine="640" w:firstLineChars="200"/>
        <w:rPr>
          <w:rFonts w:ascii="宋体" w:hAnsi="宋体" w:eastAsia="方正仿宋简体" w:cs="华文仿宋"/>
          <w:color w:val="000000"/>
          <w:sz w:val="32"/>
          <w:szCs w:val="32"/>
        </w:rPr>
      </w:pPr>
      <w:r>
        <w:rPr>
          <w:rFonts w:hint="eastAsia" w:ascii="宋体" w:hAnsi="宋体" w:eastAsia="方正仿宋简体" w:cs="仿宋_GB2312"/>
          <w:sz w:val="32"/>
          <w:szCs w:val="32"/>
        </w:rPr>
        <w:t>由于今年年初疫情原因，项目绩效评价总体结</w:t>
      </w:r>
      <w:r>
        <w:rPr>
          <w:rFonts w:hint="eastAsia" w:ascii="宋体" w:hAnsi="宋体" w:eastAsia="方正仿宋简体" w:cs="华文仿宋"/>
          <w:color w:val="000000"/>
          <w:sz w:val="32"/>
          <w:szCs w:val="32"/>
        </w:rPr>
        <w:t>论完成了日常检查2420余家次、出动执法人员4000余人次。</w:t>
      </w:r>
    </w:p>
    <w:p>
      <w:pPr>
        <w:spacing w:line="580" w:lineRule="exact"/>
        <w:ind w:firstLine="643" w:firstLineChars="200"/>
        <w:rPr>
          <w:rFonts w:ascii="宋体" w:hAnsi="宋体" w:eastAsia="方正楷体简体" w:cs="方正楷体简体"/>
          <w:b/>
          <w:bCs/>
          <w:color w:val="000000"/>
          <w:sz w:val="32"/>
          <w:szCs w:val="32"/>
        </w:rPr>
      </w:pPr>
      <w:r>
        <w:rPr>
          <w:rFonts w:hint="eastAsia" w:ascii="宋体" w:hAnsi="宋体" w:eastAsia="方正楷体简体" w:cs="方正楷体简体"/>
          <w:b/>
          <w:bCs/>
          <w:color w:val="000000"/>
          <w:sz w:val="32"/>
          <w:szCs w:val="32"/>
        </w:rPr>
        <w:t>（二）绩效分析</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1、项目决策</w:t>
      </w:r>
    </w:p>
    <w:p>
      <w:pPr>
        <w:snapToGrid w:val="0"/>
        <w:spacing w:line="580" w:lineRule="exact"/>
        <w:ind w:firstLine="640" w:firstLineChars="200"/>
        <w:rPr>
          <w:rFonts w:ascii="宋体" w:hAnsi="宋体" w:eastAsia="方正仿宋简体"/>
          <w:sz w:val="32"/>
          <w:szCs w:val="32"/>
        </w:rPr>
      </w:pPr>
      <w:r>
        <w:rPr>
          <w:rFonts w:hint="eastAsia" w:ascii="宋体" w:hAnsi="宋体" w:eastAsia="方正仿宋简体"/>
          <w:sz w:val="32"/>
          <w:szCs w:val="32"/>
        </w:rPr>
        <w:t>本单位是依据法律、法规和国务院、省、市、区政府有关规定和程序，行使对文化市场管理的行政处罚权，以及相关的行政强制、监督检查职责。</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为了开展全区文化市场日常检查、专项整治行动、查处违规经营行为，维护文化市场正常经营秩序。所以本单位设置了本项目绩效目标。</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2、项目管理</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资金分配情况：文化市场监管、整治项目全年预算数6万元，执行数为5.73万元，完成预算的96%。通过项目实施，对我区城区、乡镇的文化市场加强了行政强制、监督。资金管理严格按财经纪律执行。</w:t>
      </w:r>
    </w:p>
    <w:p>
      <w:pPr>
        <w:spacing w:line="580" w:lineRule="exact"/>
        <w:ind w:firstLine="643" w:firstLineChars="200"/>
        <w:rPr>
          <w:rFonts w:ascii="宋体" w:hAnsi="宋体" w:eastAsia="方正仿宋简体" w:cs="仿宋_GB2312"/>
          <w:b/>
          <w:sz w:val="32"/>
          <w:szCs w:val="32"/>
        </w:rPr>
      </w:pPr>
      <w:r>
        <w:rPr>
          <w:rFonts w:hint="eastAsia" w:ascii="宋体" w:hAnsi="宋体" w:eastAsia="方正仿宋简体" w:cs="仿宋_GB2312"/>
          <w:b/>
          <w:sz w:val="32"/>
          <w:szCs w:val="32"/>
        </w:rPr>
        <w:t>3、项目绩效</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项目目标完成情况：达到群众满意度98%，文化类经营单位正常经营，无违法违规，确保了国家文化安全、意识形态安全。</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三、存在主要问题</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全区从事文化类经营的单位随时有变，导至检查监管不及时。</w:t>
      </w:r>
    </w:p>
    <w:p>
      <w:pPr>
        <w:spacing w:line="580" w:lineRule="exact"/>
        <w:ind w:firstLine="640" w:firstLineChars="200"/>
        <w:rPr>
          <w:rFonts w:ascii="宋体" w:hAnsi="宋体" w:eastAsia="方正黑体简体" w:cs="方正黑体简体"/>
          <w:sz w:val="32"/>
          <w:szCs w:val="32"/>
        </w:rPr>
      </w:pPr>
      <w:r>
        <w:rPr>
          <w:rFonts w:hint="eastAsia" w:ascii="宋体" w:hAnsi="宋体" w:eastAsia="方正黑体简体" w:cs="方正黑体简体"/>
          <w:sz w:val="32"/>
          <w:szCs w:val="32"/>
        </w:rPr>
        <w:t>四、相关措施建议</w:t>
      </w:r>
    </w:p>
    <w:p>
      <w:pPr>
        <w:spacing w:line="580" w:lineRule="exact"/>
        <w:ind w:firstLine="640" w:firstLineChars="200"/>
        <w:rPr>
          <w:rFonts w:ascii="宋体" w:hAnsi="宋体" w:eastAsia="方正仿宋简体" w:cs="仿宋_GB2312"/>
          <w:sz w:val="32"/>
          <w:szCs w:val="32"/>
        </w:rPr>
      </w:pPr>
      <w:r>
        <w:rPr>
          <w:rFonts w:hint="eastAsia" w:ascii="宋体" w:hAnsi="宋体" w:eastAsia="方正仿宋简体" w:cs="仿宋_GB2312"/>
          <w:sz w:val="32"/>
          <w:szCs w:val="32"/>
        </w:rPr>
        <w:t>加强市场监管，时实关注市场变化。</w:t>
      </w:r>
    </w:p>
    <w:p>
      <w:pPr>
        <w:spacing w:line="580" w:lineRule="exact"/>
        <w:ind w:firstLine="880" w:firstLineChars="200"/>
        <w:rPr>
          <w:rFonts w:ascii="宋体" w:hAnsi="宋体" w:eastAsia="方正小标宋简体"/>
          <w:color w:val="000000"/>
          <w:sz w:val="44"/>
          <w:szCs w:val="44"/>
        </w:rPr>
      </w:pPr>
      <w:bookmarkStart w:id="122" w:name="_Toc17103570"/>
    </w:p>
    <w:p>
      <w:pPr>
        <w:spacing w:line="580" w:lineRule="exact"/>
        <w:ind w:firstLine="880" w:firstLineChars="200"/>
        <w:rPr>
          <w:rFonts w:ascii="宋体" w:hAnsi="宋体" w:eastAsia="方正小标宋简体"/>
          <w:color w:val="000000"/>
          <w:sz w:val="44"/>
          <w:szCs w:val="44"/>
        </w:rPr>
      </w:pPr>
      <w:r>
        <w:rPr>
          <w:rFonts w:hint="eastAsia" w:ascii="宋体" w:hAnsi="宋体" w:eastAsia="方正小标宋简体"/>
          <w:color w:val="000000"/>
          <w:sz w:val="44"/>
          <w:szCs w:val="44"/>
        </w:rPr>
        <w:br w:type="page"/>
      </w:r>
    </w:p>
    <w:p>
      <w:pPr>
        <w:spacing w:line="580" w:lineRule="exact"/>
        <w:jc w:val="center"/>
        <w:outlineLvl w:val="0"/>
        <w:rPr>
          <w:rStyle w:val="24"/>
          <w:rFonts w:ascii="宋体" w:hAnsi="宋体" w:eastAsia="方正小标宋简体"/>
          <w:b w:val="0"/>
        </w:rPr>
      </w:pPr>
      <w:bookmarkStart w:id="123" w:name="_Toc5749"/>
      <w:bookmarkStart w:id="124" w:name="_Toc11498"/>
      <w:r>
        <w:rPr>
          <w:rFonts w:hint="eastAsia" w:ascii="宋体" w:hAnsi="宋体" w:eastAsia="方正小标宋简体"/>
          <w:color w:val="000000"/>
          <w:sz w:val="44"/>
          <w:szCs w:val="44"/>
        </w:rPr>
        <w:t>第</w:t>
      </w:r>
      <w:r>
        <w:rPr>
          <w:rStyle w:val="24"/>
          <w:rFonts w:hint="eastAsia" w:ascii="宋体" w:hAnsi="宋体" w:eastAsia="方正小标宋简体"/>
          <w:b w:val="0"/>
        </w:rPr>
        <w:t>五部分 附表</w:t>
      </w:r>
      <w:bookmarkEnd w:id="109"/>
      <w:bookmarkEnd w:id="122"/>
      <w:bookmarkEnd w:id="123"/>
      <w:bookmarkEnd w:id="124"/>
      <w:bookmarkStart w:id="125" w:name="_Toc15396619"/>
    </w:p>
    <w:p>
      <w:pPr>
        <w:spacing w:line="580" w:lineRule="exact"/>
        <w:jc w:val="left"/>
        <w:rPr>
          <w:rFonts w:ascii="宋体" w:hAnsi="宋体" w:eastAsia="方正仿宋简体" w:cs="仿宋_GB2312"/>
          <w:sz w:val="32"/>
          <w:szCs w:val="32"/>
        </w:rPr>
      </w:pPr>
      <w:r>
        <w:rPr>
          <w:rFonts w:hint="eastAsia" w:ascii="宋体" w:hAnsi="宋体" w:eastAsia="方正仿宋简体" w:cs="仿宋_GB2312"/>
          <w:sz w:val="32"/>
          <w:szCs w:val="32"/>
        </w:rPr>
        <w:t>一、收入支出决算总表</w:t>
      </w:r>
      <w:bookmarkEnd w:id="125"/>
      <w:bookmarkStart w:id="126" w:name="_Toc15396620"/>
    </w:p>
    <w:p>
      <w:pPr>
        <w:spacing w:line="580" w:lineRule="exact"/>
        <w:jc w:val="left"/>
        <w:rPr>
          <w:rFonts w:ascii="宋体" w:hAnsi="宋体" w:eastAsia="方正仿宋简体" w:cs="仿宋_GB2312"/>
          <w:sz w:val="32"/>
          <w:szCs w:val="32"/>
        </w:rPr>
      </w:pPr>
      <w:r>
        <w:rPr>
          <w:rFonts w:hint="eastAsia" w:ascii="宋体" w:hAnsi="宋体" w:eastAsia="方正仿宋简体" w:cs="仿宋_GB2312"/>
          <w:sz w:val="32"/>
          <w:szCs w:val="32"/>
        </w:rPr>
        <w:t>二、收入决算表</w:t>
      </w:r>
      <w:bookmarkEnd w:id="126"/>
      <w:bookmarkStart w:id="127" w:name="_Toc15396621"/>
    </w:p>
    <w:p>
      <w:pPr>
        <w:spacing w:line="580" w:lineRule="exact"/>
        <w:jc w:val="left"/>
        <w:rPr>
          <w:rFonts w:ascii="宋体" w:hAnsi="宋体" w:eastAsia="方正仿宋简体" w:cs="仿宋_GB2312"/>
          <w:sz w:val="32"/>
          <w:szCs w:val="32"/>
        </w:rPr>
      </w:pPr>
      <w:r>
        <w:rPr>
          <w:rFonts w:hint="eastAsia" w:ascii="宋体" w:hAnsi="宋体" w:eastAsia="方正仿宋简体" w:cs="仿宋_GB2312"/>
          <w:sz w:val="32"/>
          <w:szCs w:val="32"/>
        </w:rPr>
        <w:t>三、支出决算表</w:t>
      </w:r>
      <w:bookmarkEnd w:id="127"/>
    </w:p>
    <w:p>
      <w:pPr>
        <w:spacing w:line="580" w:lineRule="exact"/>
        <w:jc w:val="left"/>
        <w:rPr>
          <w:rFonts w:ascii="宋体" w:hAnsi="宋体" w:eastAsia="方正仿宋简体" w:cs="仿宋_GB2312"/>
          <w:sz w:val="32"/>
          <w:szCs w:val="32"/>
        </w:rPr>
      </w:pPr>
      <w:bookmarkStart w:id="128" w:name="_Toc15396622"/>
      <w:r>
        <w:rPr>
          <w:rFonts w:hint="eastAsia" w:ascii="宋体" w:hAnsi="宋体" w:eastAsia="方正仿宋简体" w:cs="仿宋_GB2312"/>
          <w:sz w:val="32"/>
          <w:szCs w:val="32"/>
        </w:rPr>
        <w:t>四、财政拨款收入支出决算总表</w:t>
      </w:r>
      <w:bookmarkEnd w:id="128"/>
    </w:p>
    <w:p>
      <w:pPr>
        <w:spacing w:line="580" w:lineRule="exact"/>
        <w:jc w:val="left"/>
        <w:rPr>
          <w:rFonts w:ascii="宋体" w:hAnsi="宋体" w:eastAsia="方正仿宋简体" w:cs="仿宋_GB2312"/>
          <w:sz w:val="32"/>
          <w:szCs w:val="32"/>
        </w:rPr>
      </w:pPr>
      <w:bookmarkStart w:id="129" w:name="_Toc15396623"/>
      <w:r>
        <w:rPr>
          <w:rFonts w:hint="eastAsia" w:ascii="宋体" w:hAnsi="宋体" w:eastAsia="方正仿宋简体" w:cs="仿宋_GB2312"/>
          <w:sz w:val="32"/>
          <w:szCs w:val="32"/>
        </w:rPr>
        <w:t>五、财政拨款支出决算明细表</w:t>
      </w:r>
      <w:bookmarkEnd w:id="129"/>
      <w:bookmarkStart w:id="130" w:name="_Toc15396624"/>
    </w:p>
    <w:p>
      <w:pPr>
        <w:spacing w:line="580" w:lineRule="exact"/>
        <w:jc w:val="left"/>
        <w:rPr>
          <w:rFonts w:ascii="宋体" w:hAnsi="宋体" w:eastAsia="方正仿宋简体" w:cs="仿宋_GB2312"/>
          <w:sz w:val="32"/>
          <w:szCs w:val="32"/>
        </w:rPr>
      </w:pPr>
      <w:r>
        <w:rPr>
          <w:rFonts w:hint="eastAsia" w:ascii="宋体" w:hAnsi="宋体" w:eastAsia="方正仿宋简体" w:cs="仿宋_GB2312"/>
          <w:sz w:val="32"/>
          <w:szCs w:val="32"/>
        </w:rPr>
        <w:t>六、一般公共预算财政拨款支出决算表</w:t>
      </w:r>
      <w:bookmarkEnd w:id="130"/>
    </w:p>
    <w:p>
      <w:pPr>
        <w:spacing w:line="580" w:lineRule="exact"/>
        <w:jc w:val="left"/>
        <w:rPr>
          <w:rFonts w:ascii="宋体" w:hAnsi="宋体" w:eastAsia="方正仿宋简体" w:cs="仿宋_GB2312"/>
          <w:sz w:val="32"/>
          <w:szCs w:val="32"/>
        </w:rPr>
      </w:pPr>
      <w:bookmarkStart w:id="131" w:name="_Toc15396625"/>
      <w:r>
        <w:rPr>
          <w:rFonts w:hint="eastAsia" w:ascii="宋体" w:hAnsi="宋体" w:eastAsia="方正仿宋简体" w:cs="仿宋_GB2312"/>
          <w:sz w:val="32"/>
          <w:szCs w:val="32"/>
        </w:rPr>
        <w:t>七、一般公共预算财政拨款支出决算明细表</w:t>
      </w:r>
      <w:bookmarkEnd w:id="131"/>
    </w:p>
    <w:p>
      <w:pPr>
        <w:spacing w:line="580" w:lineRule="exact"/>
        <w:jc w:val="left"/>
        <w:rPr>
          <w:rFonts w:ascii="宋体" w:hAnsi="宋体" w:eastAsia="方正仿宋简体" w:cs="仿宋_GB2312"/>
          <w:sz w:val="32"/>
          <w:szCs w:val="32"/>
        </w:rPr>
      </w:pPr>
      <w:bookmarkStart w:id="132" w:name="_Toc15396626"/>
      <w:r>
        <w:rPr>
          <w:rFonts w:hint="eastAsia" w:ascii="宋体" w:hAnsi="宋体" w:eastAsia="方正仿宋简体" w:cs="仿宋_GB2312"/>
          <w:sz w:val="32"/>
          <w:szCs w:val="32"/>
        </w:rPr>
        <w:t>八、一般公共预算财政拨款基本支出决算表</w:t>
      </w:r>
      <w:bookmarkEnd w:id="132"/>
    </w:p>
    <w:p>
      <w:pPr>
        <w:spacing w:line="580" w:lineRule="exact"/>
        <w:jc w:val="left"/>
        <w:rPr>
          <w:rFonts w:ascii="宋体" w:hAnsi="宋体" w:eastAsia="方正仿宋简体" w:cs="仿宋_GB2312"/>
          <w:sz w:val="32"/>
          <w:szCs w:val="32"/>
        </w:rPr>
      </w:pPr>
      <w:bookmarkStart w:id="133" w:name="_Toc15396627"/>
      <w:r>
        <w:rPr>
          <w:rFonts w:hint="eastAsia" w:ascii="宋体" w:hAnsi="宋体" w:eastAsia="方正仿宋简体" w:cs="仿宋_GB2312"/>
          <w:sz w:val="32"/>
          <w:szCs w:val="32"/>
        </w:rPr>
        <w:t>九、一般公共预算财政拨款项目支出决算表</w:t>
      </w:r>
      <w:bookmarkEnd w:id="133"/>
    </w:p>
    <w:p>
      <w:pPr>
        <w:spacing w:line="580" w:lineRule="exact"/>
        <w:jc w:val="left"/>
        <w:rPr>
          <w:rFonts w:ascii="宋体" w:hAnsi="宋体" w:eastAsia="方正仿宋简体" w:cs="仿宋_GB2312"/>
          <w:sz w:val="32"/>
          <w:szCs w:val="32"/>
        </w:rPr>
      </w:pPr>
      <w:bookmarkStart w:id="134" w:name="_Toc15396628"/>
      <w:r>
        <w:rPr>
          <w:rFonts w:hint="eastAsia" w:ascii="宋体" w:hAnsi="宋体" w:eastAsia="方正仿宋简体" w:cs="仿宋_GB2312"/>
          <w:sz w:val="32"/>
          <w:szCs w:val="32"/>
        </w:rPr>
        <w:t>十、一般公共预算财政拨款“三公”经费支出决算表</w:t>
      </w:r>
      <w:bookmarkEnd w:id="134"/>
    </w:p>
    <w:p>
      <w:pPr>
        <w:spacing w:line="580" w:lineRule="exact"/>
        <w:jc w:val="left"/>
        <w:rPr>
          <w:rFonts w:ascii="宋体" w:hAnsi="宋体" w:eastAsia="方正仿宋简体" w:cs="仿宋_GB2312"/>
          <w:sz w:val="32"/>
          <w:szCs w:val="32"/>
        </w:rPr>
      </w:pPr>
      <w:bookmarkStart w:id="135" w:name="_Toc15396629"/>
      <w:r>
        <w:rPr>
          <w:rFonts w:hint="eastAsia" w:ascii="宋体" w:hAnsi="宋体" w:eastAsia="方正仿宋简体" w:cs="仿宋_GB2312"/>
          <w:sz w:val="32"/>
          <w:szCs w:val="32"/>
        </w:rPr>
        <w:t>十一、政府性基金预算财政拨款收入支出决算表</w:t>
      </w:r>
      <w:bookmarkEnd w:id="135"/>
    </w:p>
    <w:p>
      <w:pPr>
        <w:spacing w:line="580" w:lineRule="exact"/>
        <w:jc w:val="left"/>
        <w:rPr>
          <w:rFonts w:ascii="宋体" w:hAnsi="宋体" w:eastAsia="方正仿宋简体" w:cs="仿宋_GB2312"/>
          <w:sz w:val="32"/>
          <w:szCs w:val="32"/>
        </w:rPr>
      </w:pPr>
      <w:bookmarkStart w:id="136" w:name="_Toc15396630"/>
      <w:r>
        <w:rPr>
          <w:rFonts w:hint="eastAsia" w:ascii="宋体" w:hAnsi="宋体" w:eastAsia="方正仿宋简体" w:cs="仿宋_GB2312"/>
          <w:sz w:val="32"/>
          <w:szCs w:val="32"/>
        </w:rPr>
        <w:t>十二、政府性基金预算财政拨款“三公”经费支出决算表</w:t>
      </w:r>
      <w:bookmarkEnd w:id="136"/>
    </w:p>
    <w:p>
      <w:pPr>
        <w:spacing w:line="580" w:lineRule="exact"/>
        <w:jc w:val="left"/>
        <w:rPr>
          <w:rFonts w:ascii="宋体" w:hAnsi="宋体" w:eastAsia="方正仿宋简体" w:cs="仿宋_GB2312"/>
          <w:sz w:val="32"/>
          <w:szCs w:val="32"/>
        </w:rPr>
      </w:pPr>
      <w:bookmarkStart w:id="137" w:name="_Toc15396631"/>
      <w:r>
        <w:rPr>
          <w:rFonts w:hint="eastAsia" w:ascii="宋体" w:hAnsi="宋体" w:eastAsia="方正仿宋简体" w:cs="仿宋_GB2312"/>
          <w:sz w:val="32"/>
          <w:szCs w:val="32"/>
        </w:rPr>
        <w:t>十三、国有资本经营预算财政拨款支出决算表</w:t>
      </w:r>
      <w:bookmarkEnd w:id="137"/>
    </w:p>
    <w:p>
      <w:pPr>
        <w:spacing w:line="580" w:lineRule="exact"/>
        <w:jc w:val="left"/>
        <w:rPr>
          <w:rFonts w:ascii="宋体" w:hAnsi="宋体" w:eastAsia="方正仿宋简体" w:cs="仿宋_GB2312"/>
          <w:sz w:val="32"/>
          <w:szCs w:val="32"/>
        </w:rPr>
      </w:pPr>
      <w:r>
        <w:rPr>
          <w:rFonts w:hint="eastAsia" w:ascii="宋体" w:hAnsi="宋体" w:eastAsia="方正仿宋简体" w:cs="仿宋_GB2312"/>
          <w:sz w:val="32"/>
          <w:szCs w:val="32"/>
        </w:rPr>
        <w:t>十四、国有资本经营预算财政拨款支出决算表</w:t>
      </w:r>
    </w:p>
    <w:p>
      <w:pPr>
        <w:spacing w:line="580" w:lineRule="exact"/>
        <w:ind w:firstLine="640" w:firstLineChars="200"/>
        <w:jc w:val="left"/>
        <w:rPr>
          <w:rFonts w:ascii="宋体" w:hAnsi="宋体" w:eastAsia="方正仿宋简体" w:cs="仿宋_GB2312"/>
          <w:sz w:val="32"/>
          <w:szCs w:val="32"/>
        </w:rPr>
      </w:pPr>
    </w:p>
    <w:sectPr>
      <w:footerReference r:id="rId5" w:type="first"/>
      <w:footerReference r:id="rId4" w:type="default"/>
      <w:pgSz w:w="11850" w:h="16783"/>
      <w:pgMar w:top="1587" w:right="2098" w:bottom="1474" w:left="198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rFonts w:hint="eastAsia" w:asciiTheme="minorEastAsia" w:hAnsiTheme="minorEastAsia" w:eastAsiaTheme="minorEastAsia" w:cstheme="minorEastAsia"/>
                    <w:sz w:val="28"/>
                    <w:szCs w:val="28"/>
                  </w:rPr>
                  <w:id w:val="-1994781956"/>
                </w:sdtPr>
                <w:sdtEndPr>
                  <w:rPr>
                    <w:rFonts w:hint="eastAsia" w:asciiTheme="minorEastAsia" w:hAnsiTheme="minorEastAsia" w:eastAsiaTheme="minorEastAsia" w:cstheme="minorEastAsia"/>
                    <w:sz w:val="28"/>
                    <w:szCs w:val="28"/>
                  </w:rPr>
                </w:sdtEndPr>
                <w:sdtContent>
                  <w:p>
                    <w:pPr>
                      <w:pStyle w:val="8"/>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29</w:t>
                    </w:r>
                    <w:r>
                      <w:rPr>
                        <w:rFonts w:hint="eastAsia" w:asciiTheme="minorEastAsia" w:hAnsiTheme="minorEastAsia" w:eastAsiaTheme="minorEastAsia" w:cstheme="minorEastAsia"/>
                        <w:sz w:val="28"/>
                        <w:szCs w:val="28"/>
                        <w:lang w:val="zh-CN"/>
                      </w:rPr>
                      <w:fldChar w:fldCharType="end"/>
                    </w:r>
                  </w:p>
                </w:sdtContent>
              </w:sdt>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3385C"/>
    <w:rsid w:val="0003440D"/>
    <w:rsid w:val="00046DB1"/>
    <w:rsid w:val="00055808"/>
    <w:rsid w:val="000631F6"/>
    <w:rsid w:val="00063869"/>
    <w:rsid w:val="0006487A"/>
    <w:rsid w:val="00065F8F"/>
    <w:rsid w:val="000768F2"/>
    <w:rsid w:val="0009184B"/>
    <w:rsid w:val="0009593C"/>
    <w:rsid w:val="000A3457"/>
    <w:rsid w:val="000B047F"/>
    <w:rsid w:val="000B5923"/>
    <w:rsid w:val="000B5A48"/>
    <w:rsid w:val="000B6FF3"/>
    <w:rsid w:val="000C3467"/>
    <w:rsid w:val="000C3CA6"/>
    <w:rsid w:val="000D1267"/>
    <w:rsid w:val="000D1D50"/>
    <w:rsid w:val="000D5782"/>
    <w:rsid w:val="000E03AC"/>
    <w:rsid w:val="000E0960"/>
    <w:rsid w:val="000E6613"/>
    <w:rsid w:val="000E7119"/>
    <w:rsid w:val="000F79E8"/>
    <w:rsid w:val="00114E9B"/>
    <w:rsid w:val="0014729F"/>
    <w:rsid w:val="00157BAB"/>
    <w:rsid w:val="001654D1"/>
    <w:rsid w:val="001676BD"/>
    <w:rsid w:val="0018106D"/>
    <w:rsid w:val="001877A7"/>
    <w:rsid w:val="00191536"/>
    <w:rsid w:val="00196687"/>
    <w:rsid w:val="001A2235"/>
    <w:rsid w:val="001A34AB"/>
    <w:rsid w:val="001A6B14"/>
    <w:rsid w:val="001A7127"/>
    <w:rsid w:val="001C0962"/>
    <w:rsid w:val="001D7531"/>
    <w:rsid w:val="001E12E4"/>
    <w:rsid w:val="001E737D"/>
    <w:rsid w:val="001F0336"/>
    <w:rsid w:val="001F0592"/>
    <w:rsid w:val="001F72BD"/>
    <w:rsid w:val="001F7506"/>
    <w:rsid w:val="002006CD"/>
    <w:rsid w:val="00202B36"/>
    <w:rsid w:val="00204B7A"/>
    <w:rsid w:val="0021101A"/>
    <w:rsid w:val="00220536"/>
    <w:rsid w:val="00235629"/>
    <w:rsid w:val="0024632A"/>
    <w:rsid w:val="00250274"/>
    <w:rsid w:val="00260C38"/>
    <w:rsid w:val="002616C0"/>
    <w:rsid w:val="00263A7F"/>
    <w:rsid w:val="002645D7"/>
    <w:rsid w:val="002662AA"/>
    <w:rsid w:val="00280496"/>
    <w:rsid w:val="00295495"/>
    <w:rsid w:val="002B2613"/>
    <w:rsid w:val="002B65B7"/>
    <w:rsid w:val="002C12EC"/>
    <w:rsid w:val="002C42DF"/>
    <w:rsid w:val="002C4E4C"/>
    <w:rsid w:val="002D4402"/>
    <w:rsid w:val="002E4715"/>
    <w:rsid w:val="002F1818"/>
    <w:rsid w:val="002F567B"/>
    <w:rsid w:val="003216A9"/>
    <w:rsid w:val="00321CE0"/>
    <w:rsid w:val="003222D9"/>
    <w:rsid w:val="003233D6"/>
    <w:rsid w:val="00325DEB"/>
    <w:rsid w:val="00327C16"/>
    <w:rsid w:val="00335D8B"/>
    <w:rsid w:val="00350D2F"/>
    <w:rsid w:val="00354144"/>
    <w:rsid w:val="00357540"/>
    <w:rsid w:val="003660E5"/>
    <w:rsid w:val="0037013F"/>
    <w:rsid w:val="00380C92"/>
    <w:rsid w:val="00384178"/>
    <w:rsid w:val="00387EA1"/>
    <w:rsid w:val="003A484F"/>
    <w:rsid w:val="003B0BE0"/>
    <w:rsid w:val="003B0C1B"/>
    <w:rsid w:val="003B5AF0"/>
    <w:rsid w:val="003B688C"/>
    <w:rsid w:val="003C0291"/>
    <w:rsid w:val="003C39AE"/>
    <w:rsid w:val="003C7B60"/>
    <w:rsid w:val="003D1FB2"/>
    <w:rsid w:val="003D641F"/>
    <w:rsid w:val="003D66DA"/>
    <w:rsid w:val="003E1310"/>
    <w:rsid w:val="003E6F55"/>
    <w:rsid w:val="003F02C3"/>
    <w:rsid w:val="00406254"/>
    <w:rsid w:val="00417E1C"/>
    <w:rsid w:val="004209D6"/>
    <w:rsid w:val="004223DE"/>
    <w:rsid w:val="00422BC0"/>
    <w:rsid w:val="00434489"/>
    <w:rsid w:val="00437085"/>
    <w:rsid w:val="00442C65"/>
    <w:rsid w:val="00443880"/>
    <w:rsid w:val="004464F4"/>
    <w:rsid w:val="00460EC7"/>
    <w:rsid w:val="00465A54"/>
    <w:rsid w:val="00471401"/>
    <w:rsid w:val="00473F31"/>
    <w:rsid w:val="0048263A"/>
    <w:rsid w:val="00487E5D"/>
    <w:rsid w:val="004A711F"/>
    <w:rsid w:val="004B0B43"/>
    <w:rsid w:val="004B199D"/>
    <w:rsid w:val="004B288F"/>
    <w:rsid w:val="004B4146"/>
    <w:rsid w:val="004B4690"/>
    <w:rsid w:val="004E0A2D"/>
    <w:rsid w:val="004E206B"/>
    <w:rsid w:val="004E6DF7"/>
    <w:rsid w:val="004F0FBD"/>
    <w:rsid w:val="00505A47"/>
    <w:rsid w:val="00512FDA"/>
    <w:rsid w:val="00520DA0"/>
    <w:rsid w:val="0055252F"/>
    <w:rsid w:val="00555908"/>
    <w:rsid w:val="005664BB"/>
    <w:rsid w:val="00571D97"/>
    <w:rsid w:val="0057481D"/>
    <w:rsid w:val="005819B3"/>
    <w:rsid w:val="00581EC8"/>
    <w:rsid w:val="00583477"/>
    <w:rsid w:val="005836CF"/>
    <w:rsid w:val="0058486E"/>
    <w:rsid w:val="005A604B"/>
    <w:rsid w:val="005D1C8B"/>
    <w:rsid w:val="005D5CED"/>
    <w:rsid w:val="005F1A4C"/>
    <w:rsid w:val="00605688"/>
    <w:rsid w:val="006070AF"/>
    <w:rsid w:val="00607E6C"/>
    <w:rsid w:val="006101B1"/>
    <w:rsid w:val="00613A39"/>
    <w:rsid w:val="00614911"/>
    <w:rsid w:val="00614E44"/>
    <w:rsid w:val="00622830"/>
    <w:rsid w:val="00630AEF"/>
    <w:rsid w:val="006325F8"/>
    <w:rsid w:val="00634C9A"/>
    <w:rsid w:val="006440E4"/>
    <w:rsid w:val="00645F1F"/>
    <w:rsid w:val="0066343B"/>
    <w:rsid w:val="00664777"/>
    <w:rsid w:val="006748A4"/>
    <w:rsid w:val="00683E73"/>
    <w:rsid w:val="00687FAB"/>
    <w:rsid w:val="006A3141"/>
    <w:rsid w:val="006A5E34"/>
    <w:rsid w:val="006B2422"/>
    <w:rsid w:val="006B2B9A"/>
    <w:rsid w:val="006B595B"/>
    <w:rsid w:val="006B79DC"/>
    <w:rsid w:val="006C1937"/>
    <w:rsid w:val="006F020C"/>
    <w:rsid w:val="00705802"/>
    <w:rsid w:val="00711BCF"/>
    <w:rsid w:val="007127B7"/>
    <w:rsid w:val="0071339C"/>
    <w:rsid w:val="007416B6"/>
    <w:rsid w:val="00741914"/>
    <w:rsid w:val="00746ED0"/>
    <w:rsid w:val="00746F48"/>
    <w:rsid w:val="0075268A"/>
    <w:rsid w:val="0075376B"/>
    <w:rsid w:val="0075404D"/>
    <w:rsid w:val="0076182A"/>
    <w:rsid w:val="00761FA9"/>
    <w:rsid w:val="00767B7E"/>
    <w:rsid w:val="0077516B"/>
    <w:rsid w:val="007770C3"/>
    <w:rsid w:val="00784D24"/>
    <w:rsid w:val="00785FBA"/>
    <w:rsid w:val="00786E4A"/>
    <w:rsid w:val="007875EB"/>
    <w:rsid w:val="0079426B"/>
    <w:rsid w:val="007A04D4"/>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A70B0"/>
    <w:rsid w:val="008B768C"/>
    <w:rsid w:val="008C3503"/>
    <w:rsid w:val="008C4DB1"/>
    <w:rsid w:val="008C4EAF"/>
    <w:rsid w:val="008C5176"/>
    <w:rsid w:val="008C7FD0"/>
    <w:rsid w:val="008E1DE7"/>
    <w:rsid w:val="008E707C"/>
    <w:rsid w:val="00900B08"/>
    <w:rsid w:val="00902155"/>
    <w:rsid w:val="00902FA3"/>
    <w:rsid w:val="00903F03"/>
    <w:rsid w:val="009065A5"/>
    <w:rsid w:val="00923564"/>
    <w:rsid w:val="0092392E"/>
    <w:rsid w:val="009315F9"/>
    <w:rsid w:val="00934845"/>
    <w:rsid w:val="00946945"/>
    <w:rsid w:val="00951248"/>
    <w:rsid w:val="0095152F"/>
    <w:rsid w:val="00951A15"/>
    <w:rsid w:val="00954C49"/>
    <w:rsid w:val="0097099F"/>
    <w:rsid w:val="00971997"/>
    <w:rsid w:val="00971FFC"/>
    <w:rsid w:val="0098313B"/>
    <w:rsid w:val="0098660A"/>
    <w:rsid w:val="009931C3"/>
    <w:rsid w:val="009B2C43"/>
    <w:rsid w:val="009B477B"/>
    <w:rsid w:val="009B4EAE"/>
    <w:rsid w:val="009B7573"/>
    <w:rsid w:val="009C22F4"/>
    <w:rsid w:val="009C2E98"/>
    <w:rsid w:val="009D3447"/>
    <w:rsid w:val="009D4711"/>
    <w:rsid w:val="009F1185"/>
    <w:rsid w:val="009F18CD"/>
    <w:rsid w:val="009F2A13"/>
    <w:rsid w:val="00A04EB0"/>
    <w:rsid w:val="00A13CC1"/>
    <w:rsid w:val="00A16847"/>
    <w:rsid w:val="00A237D8"/>
    <w:rsid w:val="00A25A75"/>
    <w:rsid w:val="00A268C4"/>
    <w:rsid w:val="00A307CD"/>
    <w:rsid w:val="00A40A00"/>
    <w:rsid w:val="00A4142F"/>
    <w:rsid w:val="00A56DF2"/>
    <w:rsid w:val="00A67AB5"/>
    <w:rsid w:val="00A836D0"/>
    <w:rsid w:val="00A850C0"/>
    <w:rsid w:val="00A91760"/>
    <w:rsid w:val="00A93B00"/>
    <w:rsid w:val="00A93C21"/>
    <w:rsid w:val="00AA3986"/>
    <w:rsid w:val="00AB49DF"/>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541A"/>
    <w:rsid w:val="00B50424"/>
    <w:rsid w:val="00B51375"/>
    <w:rsid w:val="00B53C56"/>
    <w:rsid w:val="00B61620"/>
    <w:rsid w:val="00B766C3"/>
    <w:rsid w:val="00B77EA6"/>
    <w:rsid w:val="00B81598"/>
    <w:rsid w:val="00B841F1"/>
    <w:rsid w:val="00B944D6"/>
    <w:rsid w:val="00BB3F00"/>
    <w:rsid w:val="00BB4DF0"/>
    <w:rsid w:val="00BB5C0A"/>
    <w:rsid w:val="00BC0586"/>
    <w:rsid w:val="00BC289F"/>
    <w:rsid w:val="00BC5361"/>
    <w:rsid w:val="00BC5460"/>
    <w:rsid w:val="00BC6B50"/>
    <w:rsid w:val="00BD0E25"/>
    <w:rsid w:val="00BE594B"/>
    <w:rsid w:val="00BF360E"/>
    <w:rsid w:val="00BF5BD6"/>
    <w:rsid w:val="00C03E31"/>
    <w:rsid w:val="00C04F05"/>
    <w:rsid w:val="00C30B1D"/>
    <w:rsid w:val="00C33E72"/>
    <w:rsid w:val="00C354B2"/>
    <w:rsid w:val="00C35554"/>
    <w:rsid w:val="00C42709"/>
    <w:rsid w:val="00C533CC"/>
    <w:rsid w:val="00C5751C"/>
    <w:rsid w:val="00C61BFC"/>
    <w:rsid w:val="00C62B85"/>
    <w:rsid w:val="00C65438"/>
    <w:rsid w:val="00C7292F"/>
    <w:rsid w:val="00C91CBB"/>
    <w:rsid w:val="00CA6C8E"/>
    <w:rsid w:val="00CC09B6"/>
    <w:rsid w:val="00CC666F"/>
    <w:rsid w:val="00CD1E3F"/>
    <w:rsid w:val="00CE44F6"/>
    <w:rsid w:val="00CE49DA"/>
    <w:rsid w:val="00CE7B61"/>
    <w:rsid w:val="00D00095"/>
    <w:rsid w:val="00D110B4"/>
    <w:rsid w:val="00D20620"/>
    <w:rsid w:val="00D26091"/>
    <w:rsid w:val="00D34E7C"/>
    <w:rsid w:val="00D35489"/>
    <w:rsid w:val="00D467AE"/>
    <w:rsid w:val="00D477CB"/>
    <w:rsid w:val="00D51276"/>
    <w:rsid w:val="00D6708E"/>
    <w:rsid w:val="00D7035F"/>
    <w:rsid w:val="00D82000"/>
    <w:rsid w:val="00D90830"/>
    <w:rsid w:val="00D950A8"/>
    <w:rsid w:val="00DA13BC"/>
    <w:rsid w:val="00DA629A"/>
    <w:rsid w:val="00DA65AC"/>
    <w:rsid w:val="00DB1913"/>
    <w:rsid w:val="00DB283C"/>
    <w:rsid w:val="00DC0E57"/>
    <w:rsid w:val="00DC410D"/>
    <w:rsid w:val="00DC451F"/>
    <w:rsid w:val="00DC68CA"/>
    <w:rsid w:val="00DC7CBA"/>
    <w:rsid w:val="00DD3A09"/>
    <w:rsid w:val="00DD73B7"/>
    <w:rsid w:val="00DF1145"/>
    <w:rsid w:val="00DF28BC"/>
    <w:rsid w:val="00DF34B9"/>
    <w:rsid w:val="00DF74EC"/>
    <w:rsid w:val="00E01053"/>
    <w:rsid w:val="00E05BCE"/>
    <w:rsid w:val="00E07ACF"/>
    <w:rsid w:val="00E1234D"/>
    <w:rsid w:val="00E331A1"/>
    <w:rsid w:val="00E33202"/>
    <w:rsid w:val="00E336A9"/>
    <w:rsid w:val="00E50624"/>
    <w:rsid w:val="00E568DF"/>
    <w:rsid w:val="00E64269"/>
    <w:rsid w:val="00E82267"/>
    <w:rsid w:val="00EA010F"/>
    <w:rsid w:val="00EB1BDB"/>
    <w:rsid w:val="00EC2E55"/>
    <w:rsid w:val="00EC3191"/>
    <w:rsid w:val="00ED1108"/>
    <w:rsid w:val="00ED1B63"/>
    <w:rsid w:val="00ED3C1F"/>
    <w:rsid w:val="00ED4085"/>
    <w:rsid w:val="00ED420E"/>
    <w:rsid w:val="00EE2F57"/>
    <w:rsid w:val="00EF4C34"/>
    <w:rsid w:val="00EF77C6"/>
    <w:rsid w:val="00F05438"/>
    <w:rsid w:val="00F1361C"/>
    <w:rsid w:val="00F160C7"/>
    <w:rsid w:val="00F23318"/>
    <w:rsid w:val="00F36D8F"/>
    <w:rsid w:val="00F417B1"/>
    <w:rsid w:val="00F602DF"/>
    <w:rsid w:val="00F80913"/>
    <w:rsid w:val="00F81FD9"/>
    <w:rsid w:val="00F841AA"/>
    <w:rsid w:val="00F9473D"/>
    <w:rsid w:val="00FA23E8"/>
    <w:rsid w:val="00FB1109"/>
    <w:rsid w:val="00FD3CC1"/>
    <w:rsid w:val="00FF1E02"/>
    <w:rsid w:val="00FF30B4"/>
    <w:rsid w:val="01192875"/>
    <w:rsid w:val="01913F8F"/>
    <w:rsid w:val="02F3515C"/>
    <w:rsid w:val="04C03A41"/>
    <w:rsid w:val="04D74D63"/>
    <w:rsid w:val="070C6BB9"/>
    <w:rsid w:val="073274AA"/>
    <w:rsid w:val="07AB0F9D"/>
    <w:rsid w:val="07B9543F"/>
    <w:rsid w:val="082D0B4D"/>
    <w:rsid w:val="091A7CEB"/>
    <w:rsid w:val="094834CA"/>
    <w:rsid w:val="098977BD"/>
    <w:rsid w:val="09A81623"/>
    <w:rsid w:val="09CB4843"/>
    <w:rsid w:val="0A352742"/>
    <w:rsid w:val="0BC7633A"/>
    <w:rsid w:val="0BE807E1"/>
    <w:rsid w:val="0D795CC6"/>
    <w:rsid w:val="0DC64965"/>
    <w:rsid w:val="0E824645"/>
    <w:rsid w:val="10C055FF"/>
    <w:rsid w:val="10D04A99"/>
    <w:rsid w:val="11BD19AC"/>
    <w:rsid w:val="1203144C"/>
    <w:rsid w:val="130B4136"/>
    <w:rsid w:val="13306A28"/>
    <w:rsid w:val="157365E8"/>
    <w:rsid w:val="16BB723D"/>
    <w:rsid w:val="17897E0B"/>
    <w:rsid w:val="17C7478D"/>
    <w:rsid w:val="18EA362A"/>
    <w:rsid w:val="1A686DF5"/>
    <w:rsid w:val="1E601006"/>
    <w:rsid w:val="1E8B579E"/>
    <w:rsid w:val="1F326E6D"/>
    <w:rsid w:val="222D263B"/>
    <w:rsid w:val="239C460F"/>
    <w:rsid w:val="240371BF"/>
    <w:rsid w:val="27190524"/>
    <w:rsid w:val="277D3131"/>
    <w:rsid w:val="292C75D2"/>
    <w:rsid w:val="29FD04D3"/>
    <w:rsid w:val="2A0B42AF"/>
    <w:rsid w:val="2D4661E8"/>
    <w:rsid w:val="2F787B06"/>
    <w:rsid w:val="2FFA4EC5"/>
    <w:rsid w:val="30C74666"/>
    <w:rsid w:val="312E619A"/>
    <w:rsid w:val="319F7F4E"/>
    <w:rsid w:val="324171C9"/>
    <w:rsid w:val="33775613"/>
    <w:rsid w:val="36025235"/>
    <w:rsid w:val="36EF604A"/>
    <w:rsid w:val="39D634BC"/>
    <w:rsid w:val="3BBF623B"/>
    <w:rsid w:val="3C3131BD"/>
    <w:rsid w:val="3D980F9A"/>
    <w:rsid w:val="3DFA1732"/>
    <w:rsid w:val="3EBA23D1"/>
    <w:rsid w:val="3F067C72"/>
    <w:rsid w:val="42585189"/>
    <w:rsid w:val="42B05351"/>
    <w:rsid w:val="45EF4A21"/>
    <w:rsid w:val="473C4D46"/>
    <w:rsid w:val="474931B5"/>
    <w:rsid w:val="489A2546"/>
    <w:rsid w:val="497670AB"/>
    <w:rsid w:val="4F041BB1"/>
    <w:rsid w:val="4F6E5AE4"/>
    <w:rsid w:val="50073ACF"/>
    <w:rsid w:val="502C6AAF"/>
    <w:rsid w:val="53732B6C"/>
    <w:rsid w:val="537515DC"/>
    <w:rsid w:val="53C84D68"/>
    <w:rsid w:val="5762704D"/>
    <w:rsid w:val="581A285B"/>
    <w:rsid w:val="59392FC7"/>
    <w:rsid w:val="594D78C9"/>
    <w:rsid w:val="5A4432CC"/>
    <w:rsid w:val="5A863F5C"/>
    <w:rsid w:val="5B15530E"/>
    <w:rsid w:val="5D3F51D5"/>
    <w:rsid w:val="5DAC043A"/>
    <w:rsid w:val="5DC742F3"/>
    <w:rsid w:val="5DE57D56"/>
    <w:rsid w:val="60C7103A"/>
    <w:rsid w:val="62E81E9B"/>
    <w:rsid w:val="66643BD5"/>
    <w:rsid w:val="6882314A"/>
    <w:rsid w:val="697835D4"/>
    <w:rsid w:val="69965088"/>
    <w:rsid w:val="69AB5F10"/>
    <w:rsid w:val="6BA56830"/>
    <w:rsid w:val="6DB713A5"/>
    <w:rsid w:val="6E292D20"/>
    <w:rsid w:val="70C77433"/>
    <w:rsid w:val="70FE0387"/>
    <w:rsid w:val="71537C72"/>
    <w:rsid w:val="723D7BF6"/>
    <w:rsid w:val="72E43BF0"/>
    <w:rsid w:val="749A2B5F"/>
    <w:rsid w:val="78515EE4"/>
    <w:rsid w:val="78E25343"/>
    <w:rsid w:val="792321D2"/>
    <w:rsid w:val="79724A51"/>
    <w:rsid w:val="7B7C02F2"/>
    <w:rsid w:val="7D4E1C32"/>
    <w:rsid w:val="7E2D0A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WPSOffice手动目录 1"/>
    <w:uiPriority w:val="0"/>
    <w:pPr>
      <w:ind w:leftChars="0"/>
    </w:pPr>
    <w:rPr>
      <w:sz w:val="20"/>
      <w:szCs w:val="20"/>
    </w:rPr>
  </w:style>
  <w:style w:type="paragraph" w:customStyle="1" w:styleId="30">
    <w:name w:val="WPSOffice手动目录 2"/>
    <w:uiPriority w:val="0"/>
    <w:pPr>
      <w:ind w:leftChars="200"/>
    </w:pPr>
    <w:rPr>
      <w:sz w:val="20"/>
      <w:szCs w:val="20"/>
    </w:rPr>
  </w:style>
  <w:style w:type="paragraph" w:customStyle="1" w:styleId="31">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a:t>
            </a:r>
            <a:r>
              <a:rPr lang="en-US" altLang="zh-CN"/>
              <a:t>2019</a:t>
            </a:r>
            <a:r>
              <a:rPr altLang="en-US"/>
              <a:t>年收支对比</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147.5</c:v>
                </c:pt>
                <c:pt idx="1">
                  <c:v>147.5</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193.77</c:v>
                </c:pt>
                <c:pt idx="1">
                  <c:v>193.77</c:v>
                </c:pt>
              </c:numCache>
            </c:numRef>
          </c:val>
        </c:ser>
        <c:dLbls>
          <c:showLegendKey val="0"/>
          <c:showVal val="0"/>
          <c:showCatName val="0"/>
          <c:showSerName val="0"/>
          <c:showPercent val="0"/>
          <c:showBubbleSize val="0"/>
        </c:dLbls>
        <c:gapWidth val="219"/>
        <c:overlap val="-27"/>
        <c:axId val="50195840"/>
        <c:axId val="5053350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Sheet1!$A$2:$A$3</c15:sqref>
                        </c15:fullRef>
                        <c15:formulaRef>
                          <c15:sqref>Sheet1!$A$2:$A$3</c15:sqref>
                        </c15:formulaRef>
                      </c:ext>
                    </c:extLst>
                    <c:strCache>
                      <c:ptCount val="2"/>
                      <c:pt idx="0">
                        <c:v>收入</c:v>
                      </c:pt>
                      <c:pt idx="1">
                        <c:v>支出</c:v>
                      </c:pt>
                    </c:strCache>
                  </c:strRef>
                </c:cat>
              </c15:ser>
            </c15:filteredBarSeries>
          </c:ext>
        </c:extLst>
      </c:barChart>
      <c:catAx>
        <c:axId val="50195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33504"/>
        <c:crosses val="autoZero"/>
        <c:auto val="1"/>
        <c:lblAlgn val="ctr"/>
        <c:lblOffset val="100"/>
        <c:noMultiLvlLbl val="0"/>
      </c:catAx>
      <c:valAx>
        <c:axId val="50533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9584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altLang="en-US"/>
              <a:t>20</a:t>
            </a:r>
            <a:r>
              <a:rPr lang="en-US" altLang="en-US"/>
              <a:t>20</a:t>
            </a:r>
            <a:r>
              <a:rPr altLang="en-US"/>
              <a:t>年收入</a:t>
            </a:r>
            <a:endParaRPr altLang="en-US"/>
          </a:p>
        </c:rich>
      </c:tx>
      <c:layout/>
      <c:overlay val="0"/>
      <c:spPr>
        <a:noFill/>
        <a:ln>
          <a:noFill/>
        </a:ln>
        <a:effectLst/>
      </c:spPr>
    </c:title>
    <c:autoTitleDeleted val="0"/>
    <c:plotArea>
      <c:layout/>
      <c:pieChart>
        <c:varyColors val="1"/>
        <c:ser>
          <c:idx val="0"/>
          <c:order val="0"/>
          <c:tx>
            <c:strRef>
              <c:f>Sheet1!$B$1</c:f>
              <c:strCache>
                <c:ptCount val="1"/>
                <c:pt idx="0">
                  <c:v>2019年收入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一般公共财政预算财政拨款收入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147.5</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2783661417323"/>
          <c:y val="0.779998425196854"/>
          <c:w val="0.679432677165354"/>
          <c:h val="0.220001574803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173.45</c:v>
                </c:pt>
                <c:pt idx="1">
                  <c:v>8.5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Sheet1!$B$2:$C$2</c:f>
              <c:numCache>
                <c:formatCode>General</c:formatCode>
                <c:ptCount val="2"/>
                <c:pt idx="0">
                  <c:v>147.5</c:v>
                </c:pt>
                <c:pt idx="1">
                  <c:v>147.5</c:v>
                </c:pt>
              </c:numCache>
            </c:numRef>
          </c:val>
        </c:ser>
        <c:ser>
          <c:idx val="1"/>
          <c:order val="1"/>
          <c:tx>
            <c:strRef>
              <c:f>Sheet1!$A$3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Sheet1!$B$1:$C$1</c:f>
              <c:strCache>
                <c:ptCount val="2"/>
                <c:pt idx="0">
                  <c:v>收入</c:v>
                </c:pt>
                <c:pt idx="1">
                  <c:v>支出</c:v>
                </c:pt>
              </c:strCache>
            </c:strRef>
          </c:cat>
          <c:val>
            <c:numRef>
              <c:f>Sheet1!$B$3:$C$3</c:f>
              <c:numCache>
                <c:formatCode>General</c:formatCode>
                <c:ptCount val="2"/>
                <c:pt idx="0">
                  <c:v>193.77</c:v>
                </c:pt>
                <c:pt idx="1">
                  <c:v>193.77</c:v>
                </c:pt>
              </c:numCache>
            </c:numRef>
          </c:val>
        </c:ser>
        <c:dLbls>
          <c:showLegendKey val="0"/>
          <c:showVal val="1"/>
          <c:showCatName val="0"/>
          <c:showSerName val="0"/>
          <c:showPercent val="0"/>
          <c:showBubbleSize val="0"/>
        </c:dLbls>
        <c:gapWidth val="75"/>
        <c:overlap val="100"/>
        <c:axId val="50739840"/>
        <c:axId val="50749824"/>
      </c:barChart>
      <c:catAx>
        <c:axId val="50739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49824"/>
        <c:crosses val="autoZero"/>
        <c:auto val="1"/>
        <c:lblAlgn val="ctr"/>
        <c:lblOffset val="100"/>
        <c:noMultiLvlLbl val="0"/>
      </c:catAx>
      <c:valAx>
        <c:axId val="50749824"/>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398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a:t>
            </a:r>
            <a:r>
              <a:rPr lang="en-US" altLang="zh-CN"/>
              <a:t>2019</a:t>
            </a:r>
            <a:r>
              <a:rPr altLang="en-US"/>
              <a:t>年支</a:t>
            </a:r>
            <a:r>
              <a:rPr lang="zh-CN" altLang="en-US"/>
              <a:t>出</a:t>
            </a:r>
            <a:r>
              <a:rPr altLang="en-US"/>
              <a:t>对比</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Sheet1!$A$2:$A$2</c:f>
              <c:strCache>
                <c:ptCount val="1"/>
                <c:pt idx="0">
                  <c:v>一般公共预算财政拨款支出</c:v>
                </c:pt>
              </c:strCache>
            </c:strRef>
          </c:cat>
          <c:val>
            <c:numRef>
              <c:extLst>
                <c:ext xmlns:c15="http://schemas.microsoft.com/office/drawing/2012/chart" uri="{02D57815-91ED-43cb-92C2-25804820EDAC}">
                  <c15:fullRef>
                    <c15:sqref>Sheet1!$B$2:$B$3</c15:sqref>
                  </c15:fullRef>
                </c:ext>
              </c:extLst>
              <c:f>Sheet1!$B$2:$B$2</c:f>
              <c:numCache>
                <c:formatCode>General</c:formatCode>
                <c:ptCount val="1"/>
                <c:pt idx="0">
                  <c:v>147.5</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Sheet1!$A$2:$A$2</c:f>
              <c:strCache>
                <c:ptCount val="1"/>
                <c:pt idx="0">
                  <c:v>一般公共预算财政拨款支出</c:v>
                </c:pt>
              </c:strCache>
            </c:strRef>
          </c:cat>
          <c:val>
            <c:numRef>
              <c:extLst>
                <c:ext xmlns:c15="http://schemas.microsoft.com/office/drawing/2012/chart" uri="{02D57815-91ED-43cb-92C2-25804820EDAC}">
                  <c15:fullRef>
                    <c15:sqref>Sheet1!$C$2:$C$3</c15:sqref>
                  </c15:fullRef>
                </c:ext>
              </c:extLst>
              <c:f>Sheet1!$C$2:$C$2</c:f>
              <c:numCache>
                <c:formatCode>General</c:formatCode>
                <c:ptCount val="1"/>
                <c:pt idx="0">
                  <c:v>181.95</c:v>
                </c:pt>
              </c:numCache>
            </c:numRef>
          </c:val>
        </c:ser>
        <c:dLbls>
          <c:showLegendKey val="0"/>
          <c:showVal val="0"/>
          <c:showCatName val="0"/>
          <c:showSerName val="0"/>
          <c:showPercent val="0"/>
          <c:showBubbleSize val="0"/>
        </c:dLbls>
        <c:gapWidth val="219"/>
        <c:overlap val="-27"/>
        <c:axId val="50491776"/>
        <c:axId val="5049331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Sheet1!$A$2:$A$3</c15:sqref>
                        </c15:fullRef>
                        <c15:formulaRef>
                          <c15:sqref>Sheet1!$A$2:$A$3</c15:sqref>
                        </c15:formulaRef>
                      </c:ext>
                    </c:extLst>
                    <c:strCache>
                      <c:ptCount val="1"/>
                      <c:pt idx="0">
                        <c:v>一般公共预算财政拨款支出</c:v>
                      </c:pt>
                    </c:strCache>
                  </c:strRef>
                </c:cat>
              </c15:ser>
            </c15:filteredBarSeries>
          </c:ext>
        </c:extLst>
      </c:barChart>
      <c:catAx>
        <c:axId val="504917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93312"/>
        <c:crosses val="autoZero"/>
        <c:auto val="1"/>
        <c:lblAlgn val="ctr"/>
        <c:lblOffset val="100"/>
        <c:noMultiLvlLbl val="0"/>
      </c:catAx>
      <c:valAx>
        <c:axId val="50493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9177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Sheet1!$A$2:$B$10</c:f>
              <c:multiLvlStrCache>
                <c:ptCount val="9"/>
                <c:lvl>
                  <c:pt idx="0">
                    <c:v>基本工资</c:v>
                  </c:pt>
                  <c:pt idx="1">
                    <c:v>津贴补贴</c:v>
                  </c:pt>
                  <c:pt idx="2">
                    <c:v>奖金</c:v>
                  </c:pt>
                  <c:pt idx="3">
                    <c:v>商品和服务支出</c:v>
                  </c:pt>
                </c:lvl>
                <c:lvl>
                  <c:pt idx="0">
                    <c:v>一般公共服务支出</c:v>
                  </c:pt>
                  <c:pt idx="4">
                    <c:v>教育支出</c:v>
                  </c:pt>
                  <c:pt idx="5">
                    <c:v>科学技术</c:v>
                  </c:pt>
                  <c:pt idx="6">
                    <c:v>社会保障和就业</c:v>
                  </c:pt>
                  <c:pt idx="7">
                    <c:v>医疗卫生</c:v>
                  </c:pt>
                  <c:pt idx="8">
                    <c:v>住房保障</c:v>
                  </c:pt>
                </c:lvl>
              </c:multiLvlStrCache>
            </c:multiLvlStrRef>
          </c:cat>
          <c:val>
            <c:numRef>
              <c:f>Sheet1!$C$2:$C$10</c:f>
              <c:numCache>
                <c:formatCode>General</c:formatCode>
                <c:ptCount val="9"/>
                <c:pt idx="0">
                  <c:v>34.26</c:v>
                </c:pt>
                <c:pt idx="1">
                  <c:v>26.15</c:v>
                </c:pt>
                <c:pt idx="2">
                  <c:v>57.74</c:v>
                </c:pt>
                <c:pt idx="3">
                  <c:v>36.11</c:v>
                </c:pt>
                <c:pt idx="4">
                  <c:v>0</c:v>
                </c:pt>
                <c:pt idx="5">
                  <c:v>0</c:v>
                </c:pt>
                <c:pt idx="6">
                  <c:v>11.63</c:v>
                </c:pt>
                <c:pt idx="7">
                  <c:v>5.93</c:v>
                </c:pt>
                <c:pt idx="8">
                  <c:v>10.11</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Sheet1!$A$2:$A$4</c15:sqref>
                  </c15:fullRef>
                  <c15:levelRef>
                    <c15:sqref>Sheet1!$A$2</c15:sqref>
                  </c15:levelRef>
                </c:ext>
              </c:extLst>
              <c:f>Sheet1!$A$2</c:f>
              <c:strCache>
                <c:ptCount val="1"/>
                <c:pt idx="0">
                  <c:v>因公出国（境）费支出</c:v>
                </c:pt>
              </c:strCache>
            </c:strRef>
          </c:cat>
          <c:val>
            <c:numRef>
              <c:f>Sheet1!$B$2:$B$4</c:f>
              <c:numCache>
                <c:formatCode>General</c:formatCode>
                <c:ptCount val="3"/>
                <c:pt idx="0">
                  <c:v>0</c:v>
                </c:pt>
                <c:pt idx="1">
                  <c:v>2.03</c:v>
                </c:pt>
                <c:pt idx="2">
                  <c:v>0.15</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“三公”经费财政拨款支出</c:v>
                      </c:pt>
                    </c:strCache>
                  </c:strRef>
                </c15:tx>
              </c15:filteredSeriesTitle>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DD628-A225-4831-8E12-F7CD4512B82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1504</Words>
  <Characters>8578</Characters>
  <Lines>71</Lines>
  <Paragraphs>20</Paragraphs>
  <TotalTime>1</TotalTime>
  <ScaleCrop>false</ScaleCrop>
  <LinksUpToDate>false</LinksUpToDate>
  <CharactersWithSpaces>10062</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2020-08-28T03:00:00Z</dcterms:created>
  <dc:creator>张彬茜</dc:creator>
  <cp:lastModifiedBy>1391329842</cp:lastModifiedBy>
  <cp:lastPrinted>2020-08-28T03:03:00Z</cp:lastPrinted>
  <dcterms:modified xsi:type="dcterms:W3CDTF">2021-09-01T02:21:33Z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KSOSaveFontToCloudKey">
    <vt:lpwstr>11097396_cloud</vt:lpwstr>
  </property>
  <property fmtid="{D5CDD505-2E9C-101B-9397-08002B2CF9AE}" pid="4" name="ICV">
    <vt:lpwstr>48263583392746EE8D541AC74113E4BC</vt:lpwstr>
  </property>
</Properties>
</file>