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1200" w:lineRule="exact"/>
        <w:jc w:val="center"/>
        <w:outlineLvl w:val="0"/>
        <w:rPr>
          <w:rFonts w:eastAsia="方正小标宋简体"/>
          <w:color w:val="000000"/>
          <w:sz w:val="72"/>
          <w:szCs w:val="72"/>
        </w:rPr>
      </w:pPr>
      <w:bookmarkStart w:id="1" w:name="_Toc15396597"/>
      <w:bookmarkStart w:id="2" w:name="_Toc15396475"/>
      <w:bookmarkStart w:id="3" w:name="_Toc15377425"/>
      <w:bookmarkStart w:id="4" w:name="_Toc15378441"/>
      <w:bookmarkStart w:id="5" w:name="_Toc17103546"/>
      <w:bookmarkStart w:id="6" w:name="_Toc15377193"/>
      <w:r>
        <w:rPr>
          <w:rFonts w:hint="eastAsia" w:eastAsia="黑体"/>
          <w:color w:val="000000"/>
          <w:sz w:val="72"/>
          <w:szCs w:val="72"/>
        </w:rPr>
        <w:t>2020年</w:t>
      </w:r>
      <w:r>
        <w:rPr>
          <w:rFonts w:eastAsia="方正小标宋简体"/>
          <w:color w:val="000000"/>
          <w:sz w:val="72"/>
          <w:szCs w:val="72"/>
        </w:rPr>
        <w:t>度</w:t>
      </w:r>
      <w:bookmarkEnd w:id="1"/>
      <w:bookmarkEnd w:id="2"/>
      <w:bookmarkEnd w:id="3"/>
      <w:bookmarkEnd w:id="4"/>
      <w:bookmarkEnd w:id="5"/>
      <w:bookmarkEnd w:id="6"/>
    </w:p>
    <w:bookmarkEnd w:id="0"/>
    <w:p>
      <w:pPr>
        <w:adjustRightInd w:val="0"/>
        <w:snapToGrid w:val="0"/>
        <w:spacing w:line="1200" w:lineRule="exact"/>
        <w:jc w:val="center"/>
        <w:outlineLvl w:val="0"/>
        <w:rPr>
          <w:rFonts w:eastAsia="方正小标宋简体"/>
          <w:color w:val="000000"/>
          <w:sz w:val="72"/>
          <w:szCs w:val="72"/>
        </w:rPr>
      </w:pPr>
      <w:bookmarkStart w:id="7" w:name="_Toc15377426"/>
      <w:bookmarkStart w:id="8" w:name="_Toc15378442"/>
      <w:bookmarkStart w:id="9" w:name="_Toc15377194"/>
      <w:bookmarkStart w:id="10" w:name="_Toc15396476"/>
      <w:bookmarkStart w:id="11" w:name="_Toc17103547"/>
      <w:bookmarkStart w:id="12" w:name="_Toc15396598"/>
      <w:bookmarkStart w:id="13" w:name="_Toc15306268"/>
      <w:r>
        <w:rPr>
          <w:rFonts w:eastAsia="方正小标宋简体"/>
          <w:color w:val="000000"/>
          <w:sz w:val="72"/>
          <w:szCs w:val="72"/>
        </w:rPr>
        <w:t>资阳市雁江区</w:t>
      </w:r>
      <w:r>
        <w:rPr>
          <w:rFonts w:hint="eastAsia" w:eastAsia="方正小标宋简体"/>
          <w:color w:val="000000"/>
          <w:sz w:val="72"/>
          <w:szCs w:val="72"/>
        </w:rPr>
        <w:t>渡口管理所</w:t>
      </w:r>
    </w:p>
    <w:p>
      <w:pPr>
        <w:adjustRightInd w:val="0"/>
        <w:snapToGrid w:val="0"/>
        <w:spacing w:line="1200" w:lineRule="exact"/>
        <w:jc w:val="center"/>
        <w:outlineLvl w:val="0"/>
        <w:rPr>
          <w:rFonts w:eastAsia="方正小标宋简体"/>
          <w:color w:val="000000"/>
          <w:sz w:val="72"/>
          <w:szCs w:val="72"/>
        </w:rPr>
      </w:pPr>
      <w:r>
        <w:rPr>
          <w:rFonts w:eastAsia="方正小标宋简体"/>
          <w:color w:val="000000"/>
          <w:sz w:val="72"/>
          <w:szCs w:val="72"/>
        </w:rPr>
        <w:t>部门决算</w:t>
      </w:r>
      <w:bookmarkEnd w:id="7"/>
      <w:bookmarkEnd w:id="8"/>
      <w:bookmarkEnd w:id="9"/>
      <w:bookmarkEnd w:id="10"/>
      <w:bookmarkEnd w:id="11"/>
      <w:bookmarkEnd w:id="12"/>
      <w:bookmarkEnd w:id="13"/>
    </w:p>
    <w:p>
      <w:pPr>
        <w:widowControl/>
        <w:spacing w:line="600" w:lineRule="exact"/>
        <w:jc w:val="center"/>
        <w:rPr>
          <w:rFonts w:eastAsia="方正小标宋简体"/>
          <w:color w:val="000000"/>
          <w:sz w:val="48"/>
          <w:szCs w:val="48"/>
        </w:rPr>
      </w:pPr>
      <w:r>
        <w:rPr>
          <w:rFonts w:eastAsia="方正小标宋简体"/>
          <w:color w:val="000000"/>
          <w:sz w:val="36"/>
          <w:szCs w:val="36"/>
        </w:rPr>
        <w:br w:type="page"/>
      </w:r>
      <w:r>
        <w:rPr>
          <w:rFonts w:eastAsia="方正小标宋简体"/>
          <w:color w:val="000000"/>
          <w:sz w:val="48"/>
          <w:szCs w:val="48"/>
        </w:rPr>
        <w:t>目录</w:t>
      </w:r>
    </w:p>
    <w:p>
      <w:pPr>
        <w:widowControl/>
        <w:spacing w:line="600" w:lineRule="exact"/>
        <w:jc w:val="center"/>
        <w:rPr>
          <w:rFonts w:eastAsia="方正仿宋简体"/>
          <w:kern w:val="0"/>
          <w:sz w:val="32"/>
          <w:szCs w:val="32"/>
        </w:rPr>
      </w:pPr>
      <w:bookmarkStart w:id="14" w:name="_Toc15377196"/>
      <w:r>
        <w:rPr>
          <w:rFonts w:eastAsia="方正仿宋简体"/>
          <w:kern w:val="0"/>
          <w:sz w:val="32"/>
          <w:szCs w:val="32"/>
        </w:rPr>
        <w:fldChar w:fldCharType="begin"/>
      </w:r>
      <w:r>
        <w:rPr>
          <w:rFonts w:eastAsia="方正仿宋简体"/>
          <w:kern w:val="0"/>
          <w:sz w:val="32"/>
          <w:szCs w:val="32"/>
        </w:rPr>
        <w:instrText xml:space="preserve"> TOC \o "1-2" \h \z \u </w:instrText>
      </w:r>
      <w:r>
        <w:rPr>
          <w:rFonts w:eastAsia="方正仿宋简体"/>
          <w:kern w:val="0"/>
          <w:sz w:val="32"/>
          <w:szCs w:val="32"/>
        </w:rPr>
        <w:fldChar w:fldCharType="separate"/>
      </w:r>
    </w:p>
    <w:p>
      <w:pPr>
        <w:pStyle w:val="10"/>
        <w:spacing w:line="600" w:lineRule="exact"/>
        <w:rPr>
          <w:rFonts w:ascii="Times New Roman" w:hAnsi="Times New Roman" w:eastAsia="方正仿宋简体"/>
          <w:kern w:val="0"/>
          <w:sz w:val="32"/>
          <w:szCs w:val="32"/>
        </w:rPr>
      </w:pPr>
      <w:r>
        <w:rPr>
          <w:rFonts w:ascii="Times New Roman" w:hAnsi="Times New Roman" w:eastAsia="方正仿宋简体"/>
          <w:kern w:val="0"/>
          <w:sz w:val="32"/>
          <w:szCs w:val="32"/>
        </w:rPr>
        <w:t>公开时间：</w:t>
      </w:r>
      <w:r>
        <w:rPr>
          <w:rFonts w:hint="eastAsia" w:ascii="Times New Roman" w:hAnsi="Times New Roman" w:eastAsia="方正仿宋简体"/>
          <w:kern w:val="0"/>
          <w:sz w:val="32"/>
          <w:szCs w:val="32"/>
        </w:rPr>
        <w:t>2021年9</w:t>
      </w:r>
      <w:r>
        <w:rPr>
          <w:rFonts w:ascii="Times New Roman" w:hAnsi="Times New Roman" w:eastAsia="方正仿宋简体"/>
          <w:kern w:val="0"/>
          <w:sz w:val="32"/>
          <w:szCs w:val="32"/>
        </w:rPr>
        <w:t>月</w:t>
      </w:r>
      <w:r>
        <w:rPr>
          <w:rFonts w:hint="eastAsia" w:ascii="Times New Roman" w:hAnsi="Times New Roman" w:eastAsia="方正仿宋简体"/>
          <w:kern w:val="0"/>
          <w:sz w:val="32"/>
          <w:szCs w:val="32"/>
        </w:rPr>
        <w:t>2</w:t>
      </w:r>
      <w:r>
        <w:rPr>
          <w:rFonts w:ascii="Times New Roman" w:hAnsi="Times New Roman" w:eastAsia="方正仿宋简体"/>
          <w:kern w:val="0"/>
          <w:sz w:val="32"/>
          <w:szCs w:val="32"/>
        </w:rPr>
        <w:t>日</w:t>
      </w:r>
    </w:p>
    <w:p>
      <w:pPr>
        <w:spacing w:line="600" w:lineRule="exact"/>
        <w:rPr>
          <w:rFonts w:eastAsia="方正仿宋简体"/>
          <w:kern w:val="0"/>
          <w:sz w:val="32"/>
          <w:szCs w:val="32"/>
        </w:rPr>
      </w:pPr>
    </w:p>
    <w:p>
      <w:pPr>
        <w:pStyle w:val="10"/>
        <w:spacing w:line="600" w:lineRule="exact"/>
        <w:rPr>
          <w:rFonts w:ascii="Times New Roman" w:hAnsi="Times New Roman" w:eastAsia="方正仿宋简体"/>
          <w:kern w:val="0"/>
          <w:sz w:val="32"/>
          <w:szCs w:val="32"/>
        </w:rPr>
      </w:pPr>
      <w:r>
        <w:fldChar w:fldCharType="begin"/>
      </w:r>
      <w:r>
        <w:instrText xml:space="preserve"> HYPERLINK \l "_Toc15396599" </w:instrText>
      </w:r>
      <w:r>
        <w:fldChar w:fldCharType="separate"/>
      </w:r>
      <w:r>
        <w:rPr>
          <w:rFonts w:ascii="Times New Roman" w:hAnsi="Times New Roman" w:eastAsia="方正仿宋简体"/>
          <w:kern w:val="0"/>
          <w:sz w:val="32"/>
          <w:szCs w:val="32"/>
        </w:rPr>
        <w:t>第一部分 部门概况</w:t>
      </w:r>
      <w:r>
        <w:rPr>
          <w:rFonts w:ascii="Times New Roman" w:hAnsi="Times New Roman" w:eastAsia="方正仿宋简体"/>
          <w:kern w:val="0"/>
          <w:sz w:val="32"/>
          <w:szCs w:val="32"/>
        </w:rPr>
        <w:tab/>
      </w:r>
      <w:r>
        <w:rPr>
          <w:rFonts w:hint="eastAsia" w:ascii="Times New Roman" w:hAnsi="Times New Roman" w:eastAsia="方正仿宋简体"/>
          <w:kern w:val="0"/>
          <w:sz w:val="32"/>
          <w:szCs w:val="32"/>
        </w:rPr>
        <w:t>4</w:t>
      </w:r>
      <w:r>
        <w:rPr>
          <w:rFonts w:hint="eastAsia" w:ascii="Times New Roman" w:hAnsi="Times New Roman"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"_Toc15396600" </w:instrText>
      </w:r>
      <w:r>
        <w:fldChar w:fldCharType="separate"/>
      </w:r>
      <w:r>
        <w:rPr>
          <w:rFonts w:eastAsia="方正仿宋简体"/>
          <w:kern w:val="0"/>
          <w:sz w:val="32"/>
          <w:szCs w:val="32"/>
        </w:rPr>
        <w:t>一、基本职能及主要工作</w:t>
      </w:r>
      <w:r>
        <w:rPr>
          <w:rFonts w:eastAsia="方正仿宋简体"/>
          <w:kern w:val="0"/>
          <w:sz w:val="32"/>
          <w:szCs w:val="32"/>
        </w:rPr>
        <w:tab/>
      </w:r>
      <w:r>
        <w:rPr>
          <w:rFonts w:eastAsia="方正仿宋简体"/>
          <w:kern w:val="0"/>
          <w:sz w:val="32"/>
          <w:szCs w:val="32"/>
        </w:rPr>
        <w:t>4</w:t>
      </w:r>
      <w:r>
        <w:rPr>
          <w:rFonts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"_Toc15396601" </w:instrText>
      </w:r>
      <w:r>
        <w:fldChar w:fldCharType="separate"/>
      </w:r>
      <w:r>
        <w:rPr>
          <w:rFonts w:eastAsia="方正仿宋简体"/>
          <w:kern w:val="0"/>
          <w:sz w:val="32"/>
          <w:szCs w:val="32"/>
        </w:rPr>
        <w:t>二、机构设置</w:t>
      </w:r>
      <w:r>
        <w:rPr>
          <w:rFonts w:eastAsia="方正仿宋简体"/>
          <w:kern w:val="0"/>
          <w:sz w:val="32"/>
          <w:szCs w:val="32"/>
        </w:rPr>
        <w:tab/>
      </w:r>
      <w:r>
        <w:rPr>
          <w:rFonts w:hint="eastAsia" w:eastAsia="方正仿宋简体"/>
          <w:kern w:val="0"/>
          <w:sz w:val="32"/>
          <w:szCs w:val="32"/>
        </w:rPr>
        <w:t>4</w:t>
      </w:r>
      <w:r>
        <w:rPr>
          <w:rFonts w:hint="eastAsia" w:eastAsia="方正仿宋简体"/>
          <w:kern w:val="0"/>
          <w:sz w:val="32"/>
          <w:szCs w:val="32"/>
        </w:rPr>
        <w:fldChar w:fldCharType="end"/>
      </w:r>
    </w:p>
    <w:p>
      <w:pPr>
        <w:pStyle w:val="10"/>
        <w:spacing w:line="600" w:lineRule="exact"/>
        <w:rPr>
          <w:rFonts w:ascii="Times New Roman" w:hAnsi="Times New Roman" w:eastAsia="方正仿宋简体"/>
          <w:kern w:val="0"/>
          <w:sz w:val="32"/>
          <w:szCs w:val="32"/>
        </w:rPr>
      </w:pPr>
      <w:r>
        <w:fldChar w:fldCharType="begin"/>
      </w:r>
      <w:r>
        <w:instrText xml:space="preserve"> HYPERLINK \l "_Toc15396602" </w:instrText>
      </w:r>
      <w:r>
        <w:fldChar w:fldCharType="separate"/>
      </w:r>
      <w:r>
        <w:rPr>
          <w:rFonts w:ascii="Times New Roman" w:hAnsi="Times New Roman" w:eastAsia="方正仿宋简体"/>
          <w:kern w:val="0"/>
          <w:sz w:val="32"/>
          <w:szCs w:val="32"/>
        </w:rPr>
        <w:t xml:space="preserve">第二部分 </w:t>
      </w:r>
      <w:r>
        <w:rPr>
          <w:rFonts w:hint="eastAsia" w:ascii="Times New Roman" w:hAnsi="Times New Roman" w:eastAsia="方正仿宋简体"/>
          <w:kern w:val="0"/>
          <w:sz w:val="32"/>
          <w:szCs w:val="32"/>
        </w:rPr>
        <w:t>2020年</w:t>
      </w:r>
      <w:r>
        <w:rPr>
          <w:rFonts w:ascii="Times New Roman" w:hAnsi="Times New Roman" w:eastAsia="方正仿宋简体"/>
          <w:kern w:val="0"/>
          <w:sz w:val="32"/>
          <w:szCs w:val="32"/>
        </w:rPr>
        <w:t>度部门决算情况说明</w:t>
      </w:r>
      <w:r>
        <w:rPr>
          <w:rFonts w:ascii="Times New Roman" w:hAnsi="Times New Roman" w:eastAsia="方正仿宋简体"/>
          <w:kern w:val="0"/>
          <w:sz w:val="32"/>
          <w:szCs w:val="32"/>
        </w:rPr>
        <w:tab/>
      </w:r>
      <w:r>
        <w:rPr>
          <w:rFonts w:ascii="Times New Roman" w:hAnsi="Times New Roman" w:eastAsia="方正仿宋简体"/>
          <w:kern w:val="0"/>
          <w:sz w:val="32"/>
          <w:szCs w:val="32"/>
        </w:rPr>
        <w:fldChar w:fldCharType="end"/>
      </w:r>
      <w:r>
        <w:rPr>
          <w:rFonts w:hint="eastAsia" w:ascii="Times New Roman" w:hAnsi="Times New Roman" w:eastAsia="方正仿宋简体"/>
          <w:kern w:val="0"/>
          <w:sz w:val="32"/>
          <w:szCs w:val="32"/>
        </w:rPr>
        <w:t>5</w:t>
      </w:r>
    </w:p>
    <w:p>
      <w:pPr>
        <w:pStyle w:val="11"/>
        <w:spacing w:line="600" w:lineRule="exact"/>
        <w:rPr>
          <w:rFonts w:eastAsia="方正仿宋简体"/>
          <w:kern w:val="0"/>
          <w:sz w:val="32"/>
          <w:szCs w:val="32"/>
        </w:rPr>
      </w:pPr>
      <w:r>
        <w:fldChar w:fldCharType="begin"/>
      </w:r>
      <w:r>
        <w:instrText xml:space="preserve"> HYPERLINK \l "_Toc15396603" </w:instrText>
      </w:r>
      <w:r>
        <w:fldChar w:fldCharType="separate"/>
      </w:r>
      <w:r>
        <w:rPr>
          <w:rFonts w:eastAsia="方正仿宋简体"/>
          <w:kern w:val="0"/>
          <w:sz w:val="32"/>
          <w:szCs w:val="32"/>
        </w:rPr>
        <w:t>一、收入支出决算总体情况说明</w:t>
      </w:r>
      <w:r>
        <w:rPr>
          <w:rFonts w:eastAsia="方正仿宋简体"/>
          <w:kern w:val="0"/>
          <w:sz w:val="32"/>
          <w:szCs w:val="32"/>
        </w:rPr>
        <w:tab/>
      </w:r>
      <w:r>
        <w:rPr>
          <w:rFonts w:hint="eastAsia" w:eastAsia="方正仿宋简体"/>
          <w:kern w:val="0"/>
          <w:sz w:val="32"/>
          <w:szCs w:val="32"/>
        </w:rPr>
        <w:t>5</w:t>
      </w:r>
      <w:r>
        <w:rPr>
          <w:rFonts w:hint="eastAsia"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"_Toc15396604" </w:instrText>
      </w:r>
      <w:r>
        <w:fldChar w:fldCharType="separate"/>
      </w:r>
      <w:r>
        <w:rPr>
          <w:rFonts w:eastAsia="方正仿宋简体"/>
          <w:kern w:val="0"/>
          <w:sz w:val="32"/>
          <w:szCs w:val="32"/>
        </w:rPr>
        <w:t>二、收入决算情况说明</w:t>
      </w:r>
      <w:r>
        <w:rPr>
          <w:rFonts w:eastAsia="方正仿宋简体"/>
          <w:kern w:val="0"/>
          <w:sz w:val="32"/>
          <w:szCs w:val="32"/>
        </w:rPr>
        <w:tab/>
      </w:r>
      <w:r>
        <w:rPr>
          <w:rFonts w:hint="eastAsia" w:eastAsia="方正仿宋简体"/>
          <w:kern w:val="0"/>
          <w:sz w:val="32"/>
          <w:szCs w:val="32"/>
        </w:rPr>
        <w:t>5</w:t>
      </w:r>
      <w:r>
        <w:rPr>
          <w:rFonts w:hint="eastAsia"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"_Toc15396605" </w:instrText>
      </w:r>
      <w:r>
        <w:fldChar w:fldCharType="separate"/>
      </w:r>
      <w:r>
        <w:rPr>
          <w:rFonts w:eastAsia="方正仿宋简体"/>
          <w:kern w:val="0"/>
          <w:sz w:val="32"/>
          <w:szCs w:val="32"/>
        </w:rPr>
        <w:t>三、支出决算情况说明</w:t>
      </w:r>
      <w:r>
        <w:rPr>
          <w:rFonts w:eastAsia="方正仿宋简体"/>
          <w:kern w:val="0"/>
          <w:sz w:val="32"/>
          <w:szCs w:val="32"/>
        </w:rPr>
        <w:tab/>
      </w:r>
      <w:r>
        <w:rPr>
          <w:rFonts w:hint="eastAsia" w:eastAsia="方正仿宋简体"/>
          <w:kern w:val="0"/>
          <w:sz w:val="32"/>
          <w:szCs w:val="32"/>
        </w:rPr>
        <w:t>6</w:t>
      </w:r>
      <w:r>
        <w:rPr>
          <w:rFonts w:hint="eastAsia"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"_Toc15396606" </w:instrText>
      </w:r>
      <w:r>
        <w:fldChar w:fldCharType="separate"/>
      </w:r>
      <w:r>
        <w:rPr>
          <w:rFonts w:eastAsia="方正仿宋简体"/>
          <w:kern w:val="0"/>
          <w:sz w:val="32"/>
          <w:szCs w:val="32"/>
        </w:rPr>
        <w:t>四、财政拨款收入支出决算总体情况说明</w:t>
      </w:r>
      <w:r>
        <w:rPr>
          <w:rFonts w:eastAsia="方正仿宋简体"/>
          <w:kern w:val="0"/>
          <w:sz w:val="32"/>
          <w:szCs w:val="32"/>
        </w:rPr>
        <w:tab/>
      </w:r>
      <w:r>
        <w:rPr>
          <w:rFonts w:hint="eastAsia" w:eastAsia="方正仿宋简体"/>
          <w:kern w:val="0"/>
          <w:sz w:val="32"/>
          <w:szCs w:val="32"/>
        </w:rPr>
        <w:t>7</w:t>
      </w:r>
      <w:r>
        <w:rPr>
          <w:rFonts w:hint="eastAsia"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"_Toc15396607" </w:instrText>
      </w:r>
      <w:r>
        <w:fldChar w:fldCharType="separate"/>
      </w:r>
      <w:r>
        <w:rPr>
          <w:rFonts w:eastAsia="方正仿宋简体"/>
          <w:kern w:val="0"/>
          <w:sz w:val="32"/>
          <w:szCs w:val="32"/>
        </w:rPr>
        <w:t>五、一般公共预算财政拨款支出决算情况说明</w:t>
      </w:r>
      <w:r>
        <w:rPr>
          <w:rFonts w:eastAsia="方正仿宋简体"/>
          <w:kern w:val="0"/>
          <w:sz w:val="32"/>
          <w:szCs w:val="32"/>
        </w:rPr>
        <w:tab/>
      </w:r>
      <w:r>
        <w:rPr>
          <w:rFonts w:hint="eastAsia" w:eastAsia="方正仿宋简体"/>
          <w:kern w:val="0"/>
          <w:sz w:val="32"/>
          <w:szCs w:val="32"/>
        </w:rPr>
        <w:t>7</w:t>
      </w:r>
      <w:r>
        <w:rPr>
          <w:rFonts w:hint="eastAsia" w:eastAsia="方正仿宋简体"/>
          <w:kern w:val="0"/>
          <w:sz w:val="32"/>
          <w:szCs w:val="32"/>
        </w:rPr>
        <w:fldChar w:fldCharType="end"/>
      </w:r>
    </w:p>
    <w:p>
      <w:pPr>
        <w:pStyle w:val="11"/>
        <w:spacing w:line="600" w:lineRule="exact"/>
        <w:rPr>
          <w:rFonts w:eastAsia="方正仿宋简体"/>
          <w:kern w:val="0"/>
          <w:sz w:val="32"/>
          <w:szCs w:val="32"/>
        </w:rPr>
      </w:pPr>
      <w:r>
        <w:fldChar w:fldCharType="begin"/>
      </w:r>
      <w:r>
        <w:instrText xml:space="preserve"> HYPERLINK \l "_Toc15396608" </w:instrText>
      </w:r>
      <w:r>
        <w:fldChar w:fldCharType="separate"/>
      </w:r>
      <w:r>
        <w:rPr>
          <w:rFonts w:eastAsia="方正仿宋简体"/>
          <w:kern w:val="0"/>
          <w:sz w:val="32"/>
          <w:szCs w:val="32"/>
        </w:rPr>
        <w:t>六、一般公共预算财政拨款基本支出决算情况说明</w:t>
      </w:r>
      <w:r>
        <w:rPr>
          <w:rFonts w:eastAsia="方正仿宋简体"/>
          <w:kern w:val="0"/>
          <w:sz w:val="32"/>
          <w:szCs w:val="32"/>
        </w:rPr>
        <w:tab/>
      </w:r>
      <w:r>
        <w:rPr>
          <w:rFonts w:eastAsia="方正仿宋简体"/>
          <w:kern w:val="0"/>
          <w:sz w:val="32"/>
          <w:szCs w:val="32"/>
        </w:rPr>
        <w:t>1</w:t>
      </w:r>
      <w:r>
        <w:rPr>
          <w:rFonts w:eastAsia="方正仿宋简体"/>
          <w:kern w:val="0"/>
          <w:sz w:val="32"/>
          <w:szCs w:val="32"/>
        </w:rPr>
        <w:fldChar w:fldCharType="end"/>
      </w:r>
      <w:r>
        <w:rPr>
          <w:rFonts w:hint="eastAsia" w:eastAsia="方正仿宋简体"/>
          <w:kern w:val="0"/>
          <w:sz w:val="32"/>
          <w:szCs w:val="32"/>
        </w:rPr>
        <w:t>0</w:t>
      </w:r>
    </w:p>
    <w:p>
      <w:pPr>
        <w:pStyle w:val="11"/>
        <w:spacing w:line="600" w:lineRule="exact"/>
        <w:rPr>
          <w:rFonts w:eastAsia="方正仿宋简体"/>
          <w:kern w:val="0"/>
          <w:sz w:val="32"/>
          <w:szCs w:val="32"/>
        </w:rPr>
      </w:pPr>
      <w:r>
        <w:fldChar w:fldCharType="begin"/>
      </w:r>
      <w:r>
        <w:instrText xml:space="preserve"> HYPERLINK \l "_Toc15396609" </w:instrText>
      </w:r>
      <w:r>
        <w:fldChar w:fldCharType="separate"/>
      </w:r>
      <w:r>
        <w:rPr>
          <w:rFonts w:eastAsia="方正仿宋简体"/>
          <w:kern w:val="0"/>
          <w:sz w:val="32"/>
          <w:szCs w:val="32"/>
        </w:rPr>
        <w:t>七、“三公”经费财政拨款支出决算情况说明</w:t>
      </w:r>
      <w:r>
        <w:rPr>
          <w:rFonts w:eastAsia="方正仿宋简体"/>
          <w:kern w:val="0"/>
          <w:sz w:val="32"/>
          <w:szCs w:val="32"/>
        </w:rPr>
        <w:tab/>
      </w:r>
      <w:r>
        <w:rPr>
          <w:rFonts w:eastAsia="方正仿宋简体"/>
          <w:kern w:val="0"/>
          <w:sz w:val="32"/>
          <w:szCs w:val="32"/>
        </w:rPr>
        <w:t>1</w:t>
      </w:r>
      <w:r>
        <w:rPr>
          <w:rFonts w:eastAsia="方正仿宋简体"/>
          <w:kern w:val="0"/>
          <w:sz w:val="32"/>
          <w:szCs w:val="32"/>
        </w:rPr>
        <w:fldChar w:fldCharType="end"/>
      </w:r>
      <w:r>
        <w:rPr>
          <w:rFonts w:hint="eastAsia" w:eastAsia="方正仿宋简体"/>
          <w:kern w:val="0"/>
          <w:sz w:val="32"/>
          <w:szCs w:val="32"/>
        </w:rPr>
        <w:t>1</w:t>
      </w:r>
    </w:p>
    <w:p>
      <w:pPr>
        <w:pStyle w:val="11"/>
        <w:spacing w:line="600" w:lineRule="exact"/>
        <w:rPr>
          <w:rFonts w:eastAsia="方正仿宋简体"/>
          <w:kern w:val="0"/>
          <w:sz w:val="32"/>
          <w:szCs w:val="32"/>
        </w:rPr>
      </w:pPr>
      <w:r>
        <w:fldChar w:fldCharType="begin"/>
      </w:r>
      <w:r>
        <w:instrText xml:space="preserve"> HYPERLINK \l "_Toc15396610" </w:instrText>
      </w:r>
      <w:r>
        <w:fldChar w:fldCharType="separate"/>
      </w:r>
      <w:r>
        <w:rPr>
          <w:rFonts w:eastAsia="方正仿宋简体"/>
          <w:kern w:val="0"/>
          <w:sz w:val="32"/>
          <w:szCs w:val="32"/>
        </w:rPr>
        <w:t>八、政府性基金预算支出决算情况说明</w:t>
      </w:r>
      <w:r>
        <w:rPr>
          <w:rFonts w:eastAsia="方正仿宋简体"/>
          <w:kern w:val="0"/>
          <w:sz w:val="32"/>
          <w:szCs w:val="32"/>
        </w:rPr>
        <w:tab/>
      </w:r>
      <w:r>
        <w:rPr>
          <w:rFonts w:hint="eastAsia" w:eastAsia="方正仿宋简体"/>
          <w:kern w:val="0"/>
          <w:sz w:val="32"/>
          <w:szCs w:val="32"/>
        </w:rPr>
        <w:t>1</w:t>
      </w:r>
      <w:r>
        <w:rPr>
          <w:rFonts w:hint="eastAsia" w:eastAsia="方正仿宋简体"/>
          <w:kern w:val="0"/>
          <w:sz w:val="32"/>
          <w:szCs w:val="32"/>
        </w:rPr>
        <w:fldChar w:fldCharType="end"/>
      </w:r>
      <w:r>
        <w:rPr>
          <w:rFonts w:hint="eastAsia" w:eastAsia="方正仿宋简体"/>
          <w:kern w:val="0"/>
          <w:sz w:val="32"/>
          <w:szCs w:val="32"/>
        </w:rPr>
        <w:t>2</w:t>
      </w:r>
    </w:p>
    <w:p>
      <w:pPr>
        <w:pStyle w:val="11"/>
        <w:spacing w:line="600" w:lineRule="exact"/>
        <w:rPr>
          <w:rFonts w:eastAsia="方正仿宋简体"/>
          <w:kern w:val="0"/>
          <w:sz w:val="32"/>
          <w:szCs w:val="32"/>
        </w:rPr>
      </w:pPr>
      <w:r>
        <w:fldChar w:fldCharType="begin"/>
      </w:r>
      <w:r>
        <w:instrText xml:space="preserve"> HYPERLINK \l "_Toc15396611" </w:instrText>
      </w:r>
      <w:r>
        <w:fldChar w:fldCharType="separate"/>
      </w:r>
      <w:r>
        <w:rPr>
          <w:rFonts w:eastAsia="方正仿宋简体"/>
          <w:kern w:val="0"/>
          <w:sz w:val="32"/>
          <w:szCs w:val="32"/>
        </w:rPr>
        <w:t>九、 国有资本经营预算支出决算情况说明</w:t>
      </w:r>
      <w:r>
        <w:rPr>
          <w:rFonts w:eastAsia="方正仿宋简体"/>
          <w:kern w:val="0"/>
          <w:sz w:val="32"/>
          <w:szCs w:val="32"/>
        </w:rPr>
        <w:tab/>
      </w:r>
      <w:r>
        <w:rPr>
          <w:rFonts w:hint="eastAsia" w:eastAsia="方正仿宋简体"/>
          <w:kern w:val="0"/>
          <w:sz w:val="32"/>
          <w:szCs w:val="32"/>
        </w:rPr>
        <w:t>1</w:t>
      </w:r>
      <w:r>
        <w:rPr>
          <w:rFonts w:hint="eastAsia" w:eastAsia="方正仿宋简体"/>
          <w:kern w:val="0"/>
          <w:sz w:val="32"/>
          <w:szCs w:val="32"/>
        </w:rPr>
        <w:fldChar w:fldCharType="end"/>
      </w:r>
      <w:r>
        <w:rPr>
          <w:rFonts w:hint="eastAsia" w:eastAsia="方正仿宋简体"/>
          <w:kern w:val="0"/>
          <w:sz w:val="32"/>
          <w:szCs w:val="32"/>
        </w:rPr>
        <w:t>2</w:t>
      </w:r>
    </w:p>
    <w:p>
      <w:pPr>
        <w:pStyle w:val="11"/>
        <w:spacing w:line="600" w:lineRule="exact"/>
        <w:rPr>
          <w:rFonts w:eastAsia="方正仿宋简体"/>
          <w:kern w:val="0"/>
          <w:sz w:val="32"/>
          <w:szCs w:val="32"/>
        </w:rPr>
      </w:pPr>
      <w:r>
        <w:fldChar w:fldCharType="begin"/>
      </w:r>
      <w:r>
        <w:instrText xml:space="preserve"> HYPERLINK \l "_Toc15396611" </w:instrText>
      </w:r>
      <w:r>
        <w:fldChar w:fldCharType="separate"/>
      </w:r>
      <w:r>
        <w:rPr>
          <w:rFonts w:eastAsia="方正仿宋简体"/>
          <w:kern w:val="0"/>
          <w:sz w:val="32"/>
          <w:szCs w:val="32"/>
        </w:rPr>
        <w:t>十、预算绩效情况说明</w:t>
      </w:r>
      <w:r>
        <w:rPr>
          <w:rFonts w:eastAsia="方正仿宋简体"/>
          <w:kern w:val="0"/>
          <w:sz w:val="32"/>
          <w:szCs w:val="32"/>
        </w:rPr>
        <w:tab/>
      </w:r>
      <w:r>
        <w:rPr>
          <w:rFonts w:hint="eastAsia" w:eastAsia="方正仿宋简体"/>
          <w:kern w:val="0"/>
          <w:sz w:val="32"/>
          <w:szCs w:val="32"/>
        </w:rPr>
        <w:t>1</w:t>
      </w:r>
      <w:r>
        <w:rPr>
          <w:rFonts w:hint="eastAsia" w:eastAsia="方正仿宋简体"/>
          <w:kern w:val="0"/>
          <w:sz w:val="32"/>
          <w:szCs w:val="32"/>
        </w:rPr>
        <w:fldChar w:fldCharType="end"/>
      </w:r>
      <w:r>
        <w:rPr>
          <w:rFonts w:hint="eastAsia" w:eastAsia="方正仿宋简体"/>
          <w:kern w:val="0"/>
          <w:sz w:val="32"/>
          <w:szCs w:val="32"/>
        </w:rPr>
        <w:t>2</w:t>
      </w:r>
    </w:p>
    <w:p>
      <w:pPr>
        <w:pStyle w:val="11"/>
        <w:spacing w:line="600" w:lineRule="exact"/>
        <w:rPr>
          <w:rFonts w:eastAsia="方正仿宋简体"/>
          <w:kern w:val="0"/>
          <w:sz w:val="32"/>
          <w:szCs w:val="32"/>
        </w:rPr>
      </w:pPr>
      <w:r>
        <w:fldChar w:fldCharType="begin"/>
      </w:r>
      <w:r>
        <w:instrText xml:space="preserve"> HYPERLINK \l "_Toc15396612" </w:instrText>
      </w:r>
      <w:r>
        <w:fldChar w:fldCharType="separate"/>
      </w:r>
      <w:r>
        <w:rPr>
          <w:rFonts w:eastAsia="方正仿宋简体"/>
          <w:kern w:val="0"/>
          <w:sz w:val="32"/>
          <w:szCs w:val="32"/>
        </w:rPr>
        <w:t>十一、其他重要事项的情况说明</w:t>
      </w:r>
      <w:r>
        <w:rPr>
          <w:rFonts w:eastAsia="方正仿宋简体"/>
          <w:kern w:val="0"/>
          <w:sz w:val="32"/>
          <w:szCs w:val="32"/>
        </w:rPr>
        <w:tab/>
      </w:r>
      <w:r>
        <w:rPr>
          <w:rFonts w:hint="eastAsia" w:eastAsia="方正仿宋简体"/>
          <w:kern w:val="0"/>
          <w:sz w:val="32"/>
          <w:szCs w:val="32"/>
        </w:rPr>
        <w:t>13</w:t>
      </w:r>
      <w:r>
        <w:rPr>
          <w:rFonts w:hint="eastAsia" w:eastAsia="方正仿宋简体"/>
          <w:kern w:val="0"/>
          <w:sz w:val="32"/>
          <w:szCs w:val="32"/>
        </w:rPr>
        <w:fldChar w:fldCharType="end"/>
      </w:r>
    </w:p>
    <w:p>
      <w:pPr>
        <w:pStyle w:val="10"/>
        <w:spacing w:line="600" w:lineRule="exact"/>
        <w:rPr>
          <w:rFonts w:ascii="Times New Roman" w:hAnsi="Times New Roman" w:eastAsia="方正仿宋简体"/>
          <w:kern w:val="0"/>
          <w:sz w:val="32"/>
          <w:szCs w:val="32"/>
        </w:rPr>
      </w:pPr>
      <w:r>
        <w:fldChar w:fldCharType="begin"/>
      </w:r>
      <w:r>
        <w:instrText xml:space="preserve"> HYPERLINK \l "_Toc15396613" </w:instrText>
      </w:r>
      <w:r>
        <w:fldChar w:fldCharType="separate"/>
      </w:r>
      <w:r>
        <w:rPr>
          <w:rFonts w:ascii="Times New Roman" w:hAnsi="Times New Roman" w:eastAsia="方正仿宋简体"/>
          <w:kern w:val="0"/>
          <w:sz w:val="32"/>
          <w:szCs w:val="32"/>
        </w:rPr>
        <w:t>第三部分 名词解释</w:t>
      </w:r>
      <w:r>
        <w:rPr>
          <w:rFonts w:ascii="Times New Roman" w:hAnsi="Times New Roman" w:eastAsia="方正仿宋简体"/>
          <w:kern w:val="0"/>
          <w:sz w:val="32"/>
          <w:szCs w:val="32"/>
        </w:rPr>
        <w:tab/>
      </w:r>
      <w:r>
        <w:rPr>
          <w:rFonts w:hint="eastAsia" w:ascii="Times New Roman" w:hAnsi="Times New Roman" w:eastAsia="方正仿宋简体"/>
          <w:kern w:val="0"/>
          <w:sz w:val="32"/>
          <w:szCs w:val="32"/>
        </w:rPr>
        <w:t>1</w:t>
      </w:r>
      <w:r>
        <w:rPr>
          <w:rFonts w:hint="eastAsia" w:ascii="Times New Roman" w:hAnsi="Times New Roman" w:eastAsia="方正仿宋简体"/>
          <w:kern w:val="0"/>
          <w:sz w:val="32"/>
          <w:szCs w:val="32"/>
        </w:rPr>
        <w:fldChar w:fldCharType="end"/>
      </w:r>
      <w:r>
        <w:rPr>
          <w:rFonts w:hint="eastAsia" w:ascii="Times New Roman" w:hAnsi="Times New Roman" w:eastAsia="方正仿宋简体"/>
          <w:kern w:val="0"/>
          <w:sz w:val="32"/>
          <w:szCs w:val="32"/>
        </w:rPr>
        <w:t>5</w:t>
      </w:r>
    </w:p>
    <w:p>
      <w:pPr>
        <w:pStyle w:val="10"/>
        <w:spacing w:line="600" w:lineRule="exact"/>
        <w:rPr>
          <w:rFonts w:ascii="Times New Roman" w:hAnsi="Times New Roman" w:eastAsia="方正仿宋简体"/>
          <w:kern w:val="0"/>
          <w:sz w:val="32"/>
          <w:szCs w:val="32"/>
        </w:rPr>
      </w:pPr>
      <w:r>
        <w:fldChar w:fldCharType="begin"/>
      </w:r>
      <w:r>
        <w:instrText xml:space="preserve"> HYPERLINK \l "_Toc15396614" </w:instrText>
      </w:r>
      <w:r>
        <w:fldChar w:fldCharType="separate"/>
      </w:r>
      <w:r>
        <w:rPr>
          <w:rFonts w:ascii="Times New Roman" w:hAnsi="Times New Roman" w:eastAsia="方正仿宋简体"/>
          <w:kern w:val="0"/>
          <w:sz w:val="32"/>
          <w:szCs w:val="32"/>
        </w:rPr>
        <w:t>第四部分 附件</w:t>
      </w:r>
      <w:r>
        <w:rPr>
          <w:rFonts w:ascii="Times New Roman" w:hAnsi="Times New Roman" w:eastAsia="方正仿宋简体"/>
          <w:kern w:val="0"/>
          <w:sz w:val="32"/>
          <w:szCs w:val="32"/>
        </w:rPr>
        <w:tab/>
      </w:r>
      <w:r>
        <w:rPr>
          <w:rFonts w:hint="eastAsia" w:ascii="Times New Roman" w:hAnsi="Times New Roman" w:eastAsia="方正仿宋简体"/>
          <w:kern w:val="0"/>
          <w:sz w:val="32"/>
          <w:szCs w:val="32"/>
        </w:rPr>
        <w:t>1</w:t>
      </w:r>
      <w:r>
        <w:rPr>
          <w:rFonts w:hint="eastAsia" w:ascii="Times New Roman" w:hAnsi="Times New Roman" w:eastAsia="方正仿宋简体"/>
          <w:kern w:val="0"/>
          <w:sz w:val="32"/>
          <w:szCs w:val="32"/>
        </w:rPr>
        <w:fldChar w:fldCharType="end"/>
      </w:r>
      <w:r>
        <w:rPr>
          <w:rFonts w:hint="eastAsia" w:ascii="Times New Roman" w:hAnsi="Times New Roman" w:eastAsia="方正仿宋简体"/>
          <w:kern w:val="0"/>
          <w:sz w:val="32"/>
          <w:szCs w:val="32"/>
        </w:rPr>
        <w:t>8</w:t>
      </w:r>
    </w:p>
    <w:p>
      <w:pPr>
        <w:pStyle w:val="10"/>
        <w:spacing w:line="600" w:lineRule="exact"/>
        <w:rPr>
          <w:rFonts w:ascii="Times New Roman" w:hAnsi="Times New Roman" w:eastAsia="方正仿宋简体"/>
          <w:kern w:val="0"/>
          <w:sz w:val="32"/>
          <w:szCs w:val="32"/>
        </w:rPr>
      </w:pPr>
      <w:r>
        <w:rPr>
          <w:rFonts w:hint="eastAsia" w:ascii="Times New Roman" w:hAnsi="Times New Roman" w:eastAsia="方正仿宋简体"/>
          <w:kern w:val="0"/>
          <w:sz w:val="32"/>
          <w:szCs w:val="32"/>
        </w:rPr>
        <w:t xml:space="preserve"> </w:t>
      </w:r>
      <w:r>
        <w:fldChar w:fldCharType="begin"/>
      </w:r>
      <w:r>
        <w:instrText xml:space="preserve"> HYPERLINK \l "_Toc15396618" </w:instrText>
      </w:r>
      <w:r>
        <w:fldChar w:fldCharType="separate"/>
      </w:r>
      <w:r>
        <w:rPr>
          <w:rFonts w:ascii="Times New Roman" w:hAnsi="Times New Roman" w:eastAsia="方正仿宋简体"/>
          <w:kern w:val="0"/>
          <w:sz w:val="32"/>
          <w:szCs w:val="32"/>
        </w:rPr>
        <w:t>第五部分 附表</w:t>
      </w:r>
      <w:r>
        <w:rPr>
          <w:rFonts w:ascii="Times New Roman" w:hAnsi="Times New Roman" w:eastAsia="方正仿宋简体"/>
          <w:kern w:val="0"/>
          <w:sz w:val="32"/>
          <w:szCs w:val="32"/>
        </w:rPr>
        <w:tab/>
      </w:r>
      <w:r>
        <w:rPr>
          <w:rFonts w:ascii="Times New Roman" w:hAnsi="Times New Roman" w:eastAsia="方正仿宋简体"/>
          <w:kern w:val="0"/>
          <w:sz w:val="32"/>
          <w:szCs w:val="32"/>
        </w:rPr>
        <w:fldChar w:fldCharType="end"/>
      </w:r>
      <w:r>
        <w:rPr>
          <w:rFonts w:hint="eastAsia" w:ascii="Times New Roman" w:hAnsi="Times New Roman" w:eastAsia="方正仿宋简体"/>
          <w:kern w:val="0"/>
          <w:sz w:val="32"/>
          <w:szCs w:val="32"/>
        </w:rPr>
        <w:t>33</w:t>
      </w:r>
    </w:p>
    <w:p>
      <w:pPr>
        <w:pStyle w:val="11"/>
        <w:spacing w:line="600" w:lineRule="exact"/>
        <w:rPr>
          <w:rFonts w:eastAsia="方正仿宋简体"/>
          <w:kern w:val="0"/>
          <w:sz w:val="32"/>
          <w:szCs w:val="32"/>
        </w:rPr>
      </w:pPr>
      <w:r>
        <w:rPr>
          <w:rFonts w:eastAsia="方正仿宋简体"/>
          <w:kern w:val="0"/>
          <w:sz w:val="32"/>
          <w:szCs w:val="32"/>
        </w:rPr>
        <w:t>一、</w:t>
      </w:r>
      <w:r>
        <w:fldChar w:fldCharType="begin"/>
      </w:r>
      <w:r>
        <w:instrText xml:space="preserve"> HYPERLINK \l "_Toc15396619" </w:instrText>
      </w:r>
      <w:r>
        <w:fldChar w:fldCharType="separate"/>
      </w:r>
      <w:r>
        <w:rPr>
          <w:rFonts w:eastAsia="方正仿宋简体"/>
          <w:kern w:val="0"/>
          <w:sz w:val="32"/>
          <w:szCs w:val="32"/>
        </w:rPr>
        <w:t>收入支出决算总表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eastAsia="方正仿宋简体"/>
          <w:kern w:val="0"/>
          <w:sz w:val="32"/>
          <w:szCs w:val="32"/>
        </w:rPr>
        <w:t>二、</w:t>
      </w:r>
      <w:r>
        <w:fldChar w:fldCharType="begin"/>
      </w:r>
      <w:r>
        <w:instrText xml:space="preserve"> HYPERLINK \l "_Toc15396620" </w:instrText>
      </w:r>
      <w:r>
        <w:fldChar w:fldCharType="separate"/>
      </w:r>
      <w:r>
        <w:rPr>
          <w:rFonts w:eastAsia="方正仿宋简体"/>
          <w:kern w:val="0"/>
          <w:sz w:val="32"/>
          <w:szCs w:val="32"/>
        </w:rPr>
        <w:t>收入</w:t>
      </w:r>
      <w:r>
        <w:rPr>
          <w:rFonts w:hint="eastAsia" w:eastAsia="方正仿宋简体"/>
          <w:kern w:val="0"/>
          <w:sz w:val="32"/>
          <w:szCs w:val="32"/>
        </w:rPr>
        <w:t>决算</w:t>
      </w:r>
      <w:r>
        <w:rPr>
          <w:rFonts w:eastAsia="方正仿宋简体"/>
          <w:kern w:val="0"/>
          <w:sz w:val="32"/>
          <w:szCs w:val="32"/>
        </w:rPr>
        <w:t>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eastAsia="方正仿宋简体"/>
          <w:kern w:val="0"/>
          <w:sz w:val="32"/>
          <w:szCs w:val="32"/>
        </w:rPr>
        <w:t>三、</w:t>
      </w:r>
      <w:r>
        <w:fldChar w:fldCharType="begin"/>
      </w:r>
      <w:r>
        <w:instrText xml:space="preserve"> HYPERLINK \l "_Toc15396621" </w:instrText>
      </w:r>
      <w:r>
        <w:fldChar w:fldCharType="separate"/>
      </w:r>
      <w:r>
        <w:rPr>
          <w:rFonts w:eastAsia="方正仿宋简体"/>
          <w:kern w:val="0"/>
          <w:sz w:val="32"/>
          <w:szCs w:val="32"/>
        </w:rPr>
        <w:t>支出</w:t>
      </w:r>
      <w:r>
        <w:rPr>
          <w:rFonts w:hint="eastAsia" w:eastAsia="方正仿宋简体"/>
          <w:kern w:val="0"/>
          <w:sz w:val="32"/>
          <w:szCs w:val="32"/>
        </w:rPr>
        <w:t>决算</w:t>
      </w:r>
      <w:r>
        <w:rPr>
          <w:rFonts w:eastAsia="方正仿宋简体"/>
          <w:kern w:val="0"/>
          <w:sz w:val="32"/>
          <w:szCs w:val="32"/>
        </w:rPr>
        <w:t>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eastAsia="方正仿宋简体"/>
          <w:kern w:val="0"/>
          <w:sz w:val="32"/>
          <w:szCs w:val="32"/>
        </w:rPr>
        <w:t>四、</w:t>
      </w:r>
      <w:r>
        <w:fldChar w:fldCharType="begin"/>
      </w:r>
      <w:r>
        <w:instrText xml:space="preserve"> HYPERLINK \l "_Toc15396622" </w:instrText>
      </w:r>
      <w:r>
        <w:fldChar w:fldCharType="separate"/>
      </w:r>
      <w:r>
        <w:rPr>
          <w:rFonts w:eastAsia="方正仿宋简体"/>
          <w:kern w:val="0"/>
          <w:sz w:val="32"/>
          <w:szCs w:val="32"/>
        </w:rPr>
        <w:t>财政拨款收入支出决算总表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hint="eastAsia" w:eastAsia="方正仿宋简体"/>
          <w:kern w:val="0"/>
          <w:sz w:val="32"/>
          <w:szCs w:val="32"/>
        </w:rPr>
        <w:t>五、财政拨款支出决算明细表</w:t>
      </w:r>
      <w:r>
        <w:rPr>
          <w:rFonts w:eastAsia="方正仿宋简体"/>
          <w:kern w:val="0"/>
          <w:sz w:val="32"/>
          <w:szCs w:val="32"/>
        </w:rPr>
        <w:tab/>
      </w:r>
      <w:r>
        <w:rPr>
          <w:rFonts w:hint="eastAsia" w:eastAsia="方正仿宋简体"/>
          <w:kern w:val="0"/>
          <w:sz w:val="32"/>
          <w:szCs w:val="32"/>
        </w:rPr>
        <w:t>33</w:t>
      </w:r>
    </w:p>
    <w:p>
      <w:pPr>
        <w:pStyle w:val="11"/>
        <w:spacing w:line="600" w:lineRule="exact"/>
        <w:rPr>
          <w:rFonts w:eastAsia="方正仿宋简体"/>
          <w:kern w:val="0"/>
          <w:sz w:val="32"/>
          <w:szCs w:val="32"/>
        </w:rPr>
      </w:pPr>
      <w:r>
        <w:rPr>
          <w:rFonts w:hint="eastAsia" w:eastAsia="方正仿宋简体"/>
          <w:kern w:val="0"/>
          <w:sz w:val="32"/>
          <w:szCs w:val="32"/>
        </w:rPr>
        <w:t>六</w:t>
      </w:r>
      <w:r>
        <w:rPr>
          <w:rFonts w:eastAsia="方正仿宋简体"/>
          <w:kern w:val="0"/>
          <w:sz w:val="32"/>
          <w:szCs w:val="32"/>
        </w:rPr>
        <w:t>、</w:t>
      </w:r>
      <w:r>
        <w:fldChar w:fldCharType="begin"/>
      </w:r>
      <w:r>
        <w:instrText xml:space="preserve"> HYPERLINK \l "_Toc15396624" </w:instrText>
      </w:r>
      <w:r>
        <w:fldChar w:fldCharType="separate"/>
      </w:r>
      <w:r>
        <w:rPr>
          <w:rFonts w:eastAsia="方正仿宋简体"/>
          <w:kern w:val="0"/>
          <w:sz w:val="32"/>
          <w:szCs w:val="32"/>
        </w:rPr>
        <w:t>一般公共预算财政拨款支出决算表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hint="eastAsia" w:eastAsia="方正仿宋简体"/>
          <w:kern w:val="0"/>
          <w:sz w:val="32"/>
          <w:szCs w:val="32"/>
        </w:rPr>
        <w:t>七、一般公共预算财政拨款支出决算明细表</w:t>
      </w:r>
      <w:r>
        <w:rPr>
          <w:rFonts w:eastAsia="方正仿宋简体"/>
          <w:kern w:val="0"/>
          <w:sz w:val="32"/>
          <w:szCs w:val="32"/>
        </w:rPr>
        <w:tab/>
      </w:r>
      <w:r>
        <w:rPr>
          <w:rFonts w:hint="eastAsia" w:eastAsia="方正仿宋简体"/>
          <w:kern w:val="0"/>
          <w:sz w:val="32"/>
          <w:szCs w:val="32"/>
        </w:rPr>
        <w:t>33</w:t>
      </w:r>
    </w:p>
    <w:p>
      <w:pPr>
        <w:pStyle w:val="11"/>
        <w:spacing w:line="600" w:lineRule="exact"/>
        <w:rPr>
          <w:rFonts w:eastAsia="方正仿宋简体"/>
          <w:kern w:val="0"/>
          <w:sz w:val="32"/>
          <w:szCs w:val="32"/>
        </w:rPr>
      </w:pPr>
      <w:r>
        <w:rPr>
          <w:rFonts w:hint="eastAsia" w:eastAsia="方正仿宋简体"/>
          <w:kern w:val="0"/>
          <w:sz w:val="32"/>
          <w:szCs w:val="32"/>
        </w:rPr>
        <w:t>八</w:t>
      </w:r>
      <w:r>
        <w:rPr>
          <w:rFonts w:eastAsia="方正仿宋简体"/>
          <w:kern w:val="0"/>
          <w:sz w:val="32"/>
          <w:szCs w:val="32"/>
        </w:rPr>
        <w:t>、</w:t>
      </w:r>
      <w:r>
        <w:fldChar w:fldCharType="begin"/>
      </w:r>
      <w:r>
        <w:instrText xml:space="preserve"> HYPERLINK \l "_Toc15396626" </w:instrText>
      </w:r>
      <w:r>
        <w:fldChar w:fldCharType="separate"/>
      </w:r>
      <w:r>
        <w:rPr>
          <w:rFonts w:eastAsia="方正仿宋简体"/>
          <w:kern w:val="0"/>
          <w:sz w:val="32"/>
          <w:szCs w:val="32"/>
        </w:rPr>
        <w:t>一般公共预算财政拨款基本支出决算表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hint="eastAsia" w:eastAsia="方正仿宋简体"/>
          <w:kern w:val="0"/>
          <w:sz w:val="32"/>
          <w:szCs w:val="32"/>
        </w:rPr>
        <w:t>九、 一般公共预算财政拨款项目支出决算表</w:t>
      </w:r>
      <w:r>
        <w:rPr>
          <w:rFonts w:eastAsia="方正仿宋简体"/>
          <w:kern w:val="0"/>
          <w:sz w:val="32"/>
          <w:szCs w:val="32"/>
        </w:rPr>
        <w:tab/>
      </w:r>
      <w:r>
        <w:rPr>
          <w:rFonts w:hint="eastAsia" w:eastAsia="方正仿宋简体"/>
          <w:kern w:val="0"/>
          <w:sz w:val="32"/>
          <w:szCs w:val="32"/>
        </w:rPr>
        <w:t>33</w:t>
      </w:r>
    </w:p>
    <w:p>
      <w:pPr>
        <w:pStyle w:val="11"/>
        <w:spacing w:line="600" w:lineRule="exact"/>
        <w:rPr>
          <w:rFonts w:eastAsia="方正仿宋简体"/>
          <w:kern w:val="0"/>
          <w:sz w:val="32"/>
          <w:szCs w:val="32"/>
        </w:rPr>
      </w:pPr>
      <w:r>
        <w:rPr>
          <w:rFonts w:hint="eastAsia" w:eastAsia="方正仿宋简体"/>
          <w:kern w:val="0"/>
          <w:sz w:val="32"/>
          <w:szCs w:val="32"/>
        </w:rPr>
        <w:t>十</w:t>
      </w:r>
      <w:r>
        <w:rPr>
          <w:rFonts w:eastAsia="方正仿宋简体"/>
          <w:kern w:val="0"/>
          <w:sz w:val="32"/>
          <w:szCs w:val="32"/>
        </w:rPr>
        <w:t>、</w:t>
      </w:r>
      <w:r>
        <w:fldChar w:fldCharType="begin"/>
      </w:r>
      <w:r>
        <w:instrText xml:space="preserve"> HYPERLINK \l "_Toc15396628" </w:instrText>
      </w:r>
      <w:r>
        <w:fldChar w:fldCharType="separate"/>
      </w:r>
      <w:r>
        <w:rPr>
          <w:rFonts w:eastAsia="方正仿宋简体"/>
          <w:kern w:val="0"/>
          <w:sz w:val="32"/>
          <w:szCs w:val="32"/>
        </w:rPr>
        <w:t>一般公共预算财政拨款“三公”经费支出决算表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hint="eastAsia" w:eastAsia="方正仿宋简体"/>
          <w:kern w:val="0"/>
          <w:sz w:val="32"/>
          <w:szCs w:val="32"/>
        </w:rPr>
        <w:t>十一、政府性基金预算财政拨款“三公”经费支出决算表33</w:t>
      </w:r>
    </w:p>
    <w:p>
      <w:pPr>
        <w:pStyle w:val="11"/>
        <w:spacing w:line="600" w:lineRule="exact"/>
        <w:rPr>
          <w:rFonts w:eastAsia="方正仿宋简体"/>
          <w:kern w:val="0"/>
          <w:sz w:val="32"/>
          <w:szCs w:val="32"/>
        </w:rPr>
      </w:pPr>
      <w:r>
        <w:rPr>
          <w:rFonts w:hint="eastAsia" w:eastAsia="方正仿宋简体"/>
          <w:kern w:val="0"/>
          <w:sz w:val="32"/>
          <w:szCs w:val="32"/>
        </w:rPr>
        <w:t>十二</w:t>
      </w:r>
      <w:r>
        <w:rPr>
          <w:rFonts w:eastAsia="方正仿宋简体"/>
          <w:kern w:val="0"/>
          <w:sz w:val="32"/>
          <w:szCs w:val="32"/>
        </w:rPr>
        <w:t>、</w:t>
      </w:r>
      <w:r>
        <w:fldChar w:fldCharType="begin"/>
      </w:r>
      <w:r>
        <w:instrText xml:space="preserve"> HYPERLINK \l "_Toc15396629" </w:instrText>
      </w:r>
      <w:r>
        <w:fldChar w:fldCharType="separate"/>
      </w:r>
      <w:r>
        <w:rPr>
          <w:rFonts w:eastAsia="方正仿宋简体"/>
          <w:kern w:val="0"/>
          <w:sz w:val="32"/>
          <w:szCs w:val="32"/>
        </w:rPr>
        <w:t>政府性基金预算财政拨款收入支出决算表</w:t>
      </w:r>
      <w:r>
        <w:rPr>
          <w:rFonts w:eastAsia="方正仿宋简体"/>
          <w:kern w:val="0"/>
          <w:sz w:val="32"/>
          <w:szCs w:val="32"/>
        </w:rPr>
        <w:tab/>
      </w:r>
      <w:r>
        <w:rPr>
          <w:rFonts w:hint="eastAsia" w:eastAsia="方正仿宋简体"/>
          <w:kern w:val="0"/>
          <w:sz w:val="32"/>
          <w:szCs w:val="32"/>
        </w:rPr>
        <w:t>3</w:t>
      </w:r>
      <w:r>
        <w:rPr>
          <w:rFonts w:hint="eastAsia" w:eastAsia="方正仿宋简体"/>
          <w:kern w:val="0"/>
          <w:sz w:val="32"/>
          <w:szCs w:val="32"/>
        </w:rPr>
        <w:fldChar w:fldCharType="end"/>
      </w:r>
      <w:r>
        <w:rPr>
          <w:rFonts w:hint="eastAsia" w:eastAsia="方正仿宋简体"/>
          <w:kern w:val="0"/>
          <w:sz w:val="32"/>
          <w:szCs w:val="32"/>
        </w:rPr>
        <w:t>3</w:t>
      </w:r>
    </w:p>
    <w:p>
      <w:pPr>
        <w:pStyle w:val="11"/>
        <w:spacing w:line="600" w:lineRule="exact"/>
        <w:rPr>
          <w:rFonts w:eastAsia="方正仿宋简体"/>
          <w:kern w:val="0"/>
          <w:sz w:val="32"/>
          <w:szCs w:val="32"/>
        </w:rPr>
      </w:pPr>
      <w:r>
        <w:rPr>
          <w:rFonts w:hint="eastAsia" w:eastAsia="方正仿宋简体"/>
          <w:kern w:val="0"/>
          <w:sz w:val="32"/>
          <w:szCs w:val="32"/>
        </w:rPr>
        <w:t>十三、国有资本经营预算财政拨款收入支出决算表</w:t>
      </w:r>
      <w:r>
        <w:rPr>
          <w:rFonts w:eastAsia="方正仿宋简体"/>
          <w:kern w:val="0"/>
          <w:sz w:val="32"/>
          <w:szCs w:val="32"/>
        </w:rPr>
        <w:tab/>
      </w:r>
      <w:r>
        <w:rPr>
          <w:rFonts w:hint="eastAsia" w:eastAsia="方正仿宋简体"/>
          <w:kern w:val="0"/>
          <w:sz w:val="32"/>
          <w:szCs w:val="32"/>
        </w:rPr>
        <w:t>33</w:t>
      </w:r>
    </w:p>
    <w:p>
      <w:pPr>
        <w:pStyle w:val="11"/>
        <w:spacing w:line="600" w:lineRule="exact"/>
        <w:rPr>
          <w:rFonts w:eastAsia="方正仿宋简体"/>
          <w:kern w:val="0"/>
          <w:sz w:val="32"/>
          <w:szCs w:val="32"/>
        </w:rPr>
      </w:pPr>
      <w:r>
        <w:rPr>
          <w:rFonts w:hint="eastAsia" w:eastAsia="方正仿宋简体"/>
          <w:kern w:val="0"/>
          <w:sz w:val="32"/>
          <w:szCs w:val="32"/>
        </w:rPr>
        <w:t>十四、国有资本经营预算财政拨款支出决算表</w:t>
      </w:r>
      <w:r>
        <w:rPr>
          <w:rFonts w:eastAsia="方正仿宋简体"/>
          <w:kern w:val="0"/>
          <w:sz w:val="32"/>
          <w:szCs w:val="32"/>
        </w:rPr>
        <w:tab/>
      </w:r>
      <w:r>
        <w:rPr>
          <w:rFonts w:hint="eastAsia" w:eastAsia="方正仿宋简体"/>
          <w:kern w:val="0"/>
          <w:sz w:val="32"/>
          <w:szCs w:val="32"/>
        </w:rPr>
        <w:t>33</w:t>
      </w:r>
    </w:p>
    <w:p/>
    <w:p/>
    <w:p>
      <w:pPr>
        <w:widowControl/>
        <w:spacing w:line="600" w:lineRule="exact"/>
        <w:jc w:val="left"/>
        <w:rPr>
          <w:rFonts w:eastAsia="方正仿宋简体"/>
          <w:kern w:val="0"/>
          <w:sz w:val="32"/>
          <w:szCs w:val="32"/>
        </w:rPr>
      </w:pPr>
      <w:r>
        <w:rPr>
          <w:rFonts w:eastAsia="方正仿宋简体"/>
          <w:kern w:val="0"/>
          <w:sz w:val="32"/>
          <w:szCs w:val="32"/>
        </w:rPr>
        <w:fldChar w:fldCharType="end"/>
      </w:r>
    </w:p>
    <w:p>
      <w:pPr>
        <w:widowControl/>
        <w:spacing w:line="600" w:lineRule="exact"/>
        <w:jc w:val="left"/>
        <w:rPr>
          <w:rFonts w:eastAsia="方正仿宋简体"/>
          <w:bCs/>
          <w:kern w:val="44"/>
          <w:sz w:val="44"/>
          <w:szCs w:val="44"/>
        </w:rPr>
      </w:pPr>
      <w:r>
        <w:rPr>
          <w:rFonts w:eastAsia="方正仿宋简体"/>
          <w:b/>
        </w:rPr>
        <w:br w:type="page"/>
      </w:r>
    </w:p>
    <w:p>
      <w:pPr>
        <w:pStyle w:val="2"/>
        <w:spacing w:line="600" w:lineRule="exact"/>
        <w:jc w:val="center"/>
        <w:rPr>
          <w:rStyle w:val="25"/>
          <w:rFonts w:eastAsia="方正小标宋简体"/>
          <w:b/>
          <w:bCs w:val="0"/>
        </w:rPr>
      </w:pPr>
      <w:bookmarkStart w:id="15" w:name="_Toc17103549"/>
      <w:r>
        <w:rPr>
          <w:rFonts w:eastAsia="方正小标宋简体"/>
          <w:b w:val="0"/>
        </w:rPr>
        <w:t xml:space="preserve">第一部分 </w:t>
      </w:r>
      <w:r>
        <w:rPr>
          <w:rStyle w:val="25"/>
          <w:rFonts w:eastAsia="方正小标宋简体"/>
          <w:b w:val="0"/>
          <w:bCs w:val="0"/>
        </w:rPr>
        <w:t>部门概况</w:t>
      </w:r>
      <w:bookmarkEnd w:id="14"/>
      <w:bookmarkEnd w:id="15"/>
    </w:p>
    <w:p>
      <w:pPr>
        <w:widowControl/>
        <w:spacing w:line="600" w:lineRule="exact"/>
        <w:jc w:val="left"/>
        <w:rPr>
          <w:rFonts w:eastAsia="黑体"/>
          <w:color w:val="000000"/>
          <w:sz w:val="32"/>
          <w:szCs w:val="32"/>
        </w:rPr>
      </w:pPr>
    </w:p>
    <w:p>
      <w:pPr>
        <w:pStyle w:val="3"/>
        <w:adjustRightInd w:val="0"/>
        <w:snapToGrid w:val="0"/>
        <w:spacing w:line="600" w:lineRule="exact"/>
        <w:rPr>
          <w:rStyle w:val="26"/>
          <w:rFonts w:ascii="Times New Roman" w:hAnsi="Times New Roman" w:eastAsia="方正黑体简体" w:cs="Times New Roman"/>
          <w:b w:val="0"/>
          <w:bCs w:val="0"/>
        </w:rPr>
      </w:pPr>
      <w:bookmarkStart w:id="16" w:name="_Toc15377197"/>
      <w:bookmarkStart w:id="17" w:name="_Toc17103550"/>
      <w:r>
        <w:rPr>
          <w:rFonts w:ascii="Times New Roman" w:hAnsi="Times New Roman" w:eastAsia="方正黑体简体" w:cs="Times New Roman"/>
          <w:b w:val="0"/>
          <w:color w:val="000000"/>
        </w:rPr>
        <w:t>一、基</w:t>
      </w:r>
      <w:r>
        <w:rPr>
          <w:rStyle w:val="26"/>
          <w:rFonts w:ascii="Times New Roman" w:hAnsi="Times New Roman" w:eastAsia="方正黑体简体" w:cs="Times New Roman"/>
          <w:b w:val="0"/>
          <w:bCs w:val="0"/>
        </w:rPr>
        <w:t>本职能及主要工作</w:t>
      </w:r>
      <w:bookmarkEnd w:id="16"/>
      <w:bookmarkEnd w:id="17"/>
    </w:p>
    <w:p>
      <w:pPr>
        <w:pStyle w:val="5"/>
        <w:adjustRightInd w:val="0"/>
        <w:snapToGrid w:val="0"/>
        <w:spacing w:before="93" w:line="600" w:lineRule="exact"/>
        <w:ind w:firstLine="672" w:firstLineChars="210"/>
        <w:outlineLvl w:val="2"/>
        <w:rPr>
          <w:rStyle w:val="26"/>
          <w:rFonts w:ascii="Times New Roman" w:hAnsi="Times New Roman" w:eastAsia="方正黑体简体" w:cs="Times New Roman"/>
          <w:b w:val="0"/>
          <w:bCs w:val="0"/>
        </w:rPr>
      </w:pPr>
      <w:bookmarkStart w:id="18" w:name="_Toc15378445"/>
      <w:bookmarkStart w:id="19" w:name="_Toc15377198"/>
      <w:r>
        <w:rPr>
          <w:rStyle w:val="26"/>
          <w:rFonts w:ascii="Times New Roman" w:hAnsi="Times New Roman" w:eastAsia="方正黑体简体" w:cs="Times New Roman"/>
          <w:b w:val="0"/>
          <w:bCs w:val="0"/>
        </w:rPr>
        <w:t>（一）主要职能。</w:t>
      </w:r>
      <w:bookmarkEnd w:id="18"/>
      <w:bookmarkEnd w:id="19"/>
      <w:bookmarkStart w:id="20" w:name="_Toc15378446"/>
      <w:bookmarkStart w:id="21" w:name="_Toc15377199"/>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资阳市雁江区渡口管理所严格执行《四川省渡口管理办法》，负责全区渡口日常安全管理工作，督促船工每年进行年检，完成上级部门安排的其他工作任务。</w:t>
      </w:r>
    </w:p>
    <w:p>
      <w:pPr>
        <w:adjustRightInd w:val="0"/>
        <w:snapToGrid w:val="0"/>
        <w:spacing w:line="600" w:lineRule="exact"/>
        <w:ind w:firstLine="640" w:firstLineChars="200"/>
        <w:outlineLvl w:val="2"/>
        <w:rPr>
          <w:rStyle w:val="26"/>
          <w:rFonts w:ascii="Times New Roman" w:hAnsi="Times New Roman" w:eastAsia="方正黑体简体" w:cs="Times New Roman"/>
          <w:b w:val="0"/>
        </w:rPr>
      </w:pPr>
      <w:r>
        <w:rPr>
          <w:rStyle w:val="26"/>
          <w:rFonts w:hint="eastAsia" w:ascii="Times New Roman" w:hAnsi="Times New Roman" w:eastAsia="方正黑体简体" w:cs="Times New Roman"/>
          <w:b w:val="0"/>
        </w:rPr>
        <w:t>（二）2020年重点工作完成情况。</w:t>
      </w:r>
      <w:bookmarkEnd w:id="20"/>
      <w:bookmarkEnd w:id="21"/>
      <w:bookmarkStart w:id="22" w:name="_Toc17103551"/>
      <w:bookmarkStart w:id="23" w:name="_Toc15377200"/>
    </w:p>
    <w:p>
      <w:pPr>
        <w:pStyle w:val="5"/>
        <w:adjustRightInd w:val="0"/>
        <w:snapToGrid w:val="0"/>
        <w:spacing w:before="93" w:line="600" w:lineRule="exact"/>
        <w:ind w:firstLine="672" w:firstLineChars="210"/>
        <w:outlineLvl w:val="2"/>
        <w:rPr>
          <w:rFonts w:ascii="Times New Roman" w:eastAsia="方正仿宋简体"/>
          <w:sz w:val="32"/>
          <w:szCs w:val="32"/>
        </w:rPr>
      </w:pPr>
      <w:r>
        <w:rPr>
          <w:rFonts w:hint="eastAsia" w:ascii="Times New Roman" w:eastAsia="方正仿宋简体"/>
          <w:sz w:val="32"/>
          <w:szCs w:val="32"/>
        </w:rPr>
        <w:t>对渡口进行日常和汛期以及节假日现场安全检查，确保全年渡口安全无事故，按照职责开展百日安全整治和宣传工作，承担雁江区渡口管理及监管工作。</w:t>
      </w:r>
    </w:p>
    <w:p>
      <w:pPr>
        <w:pStyle w:val="5"/>
        <w:adjustRightInd w:val="0"/>
        <w:snapToGrid w:val="0"/>
        <w:spacing w:before="93" w:line="600" w:lineRule="exact"/>
        <w:ind w:firstLine="630" w:firstLineChars="210"/>
        <w:outlineLvl w:val="2"/>
        <w:rPr>
          <w:rFonts w:ascii="Times New Roman" w:eastAsia="方正黑体简体"/>
          <w:color w:val="000000"/>
        </w:rPr>
      </w:pPr>
      <w:r>
        <w:rPr>
          <w:rFonts w:ascii="Times New Roman" w:eastAsia="方正黑体简体"/>
          <w:color w:val="000000"/>
        </w:rPr>
        <w:t>二、机构设置</w:t>
      </w:r>
      <w:bookmarkEnd w:id="22"/>
      <w:bookmarkEnd w:id="23"/>
    </w:p>
    <w:p>
      <w:pPr>
        <w:adjustRightInd w:val="0"/>
        <w:snapToGrid w:val="0"/>
        <w:spacing w:line="600" w:lineRule="exact"/>
        <w:ind w:firstLine="636" w:firstLineChars="199"/>
        <w:rPr>
          <w:rFonts w:eastAsia="方正仿宋简体"/>
          <w:kern w:val="0"/>
          <w:sz w:val="32"/>
          <w:szCs w:val="32"/>
        </w:rPr>
      </w:pPr>
      <w:r>
        <w:rPr>
          <w:rFonts w:hint="eastAsia" w:eastAsia="方正仿宋简体"/>
          <w:kern w:val="0"/>
          <w:sz w:val="32"/>
          <w:szCs w:val="32"/>
        </w:rPr>
        <w:t>资阳市雁江区渡口管理所是雁江区交通运输局的下属财政一级预算管理的公益一类事业单位。</w:t>
      </w:r>
    </w:p>
    <w:p>
      <w:pPr>
        <w:adjustRightInd w:val="0"/>
        <w:snapToGrid w:val="0"/>
        <w:spacing w:line="600" w:lineRule="exact"/>
        <w:ind w:firstLine="636" w:firstLineChars="199"/>
        <w:rPr>
          <w:rFonts w:eastAsia="方正仿宋简体"/>
          <w:kern w:val="0"/>
          <w:sz w:val="32"/>
          <w:szCs w:val="32"/>
        </w:rPr>
      </w:pPr>
    </w:p>
    <w:p>
      <w:pPr>
        <w:adjustRightInd w:val="0"/>
        <w:snapToGrid w:val="0"/>
        <w:spacing w:line="600" w:lineRule="exact"/>
        <w:ind w:firstLine="636" w:firstLineChars="199"/>
        <w:rPr>
          <w:rFonts w:eastAsia="方正仿宋简体"/>
          <w:kern w:val="0"/>
          <w:sz w:val="32"/>
          <w:szCs w:val="32"/>
        </w:rPr>
      </w:pPr>
    </w:p>
    <w:p>
      <w:pPr>
        <w:adjustRightInd w:val="0"/>
        <w:snapToGrid w:val="0"/>
        <w:spacing w:line="600" w:lineRule="exact"/>
        <w:ind w:firstLine="636" w:firstLineChars="199"/>
        <w:rPr>
          <w:rFonts w:eastAsia="方正仿宋简体"/>
          <w:kern w:val="0"/>
          <w:sz w:val="32"/>
          <w:szCs w:val="32"/>
        </w:rPr>
      </w:pPr>
    </w:p>
    <w:p>
      <w:pPr>
        <w:adjustRightInd w:val="0"/>
        <w:snapToGrid w:val="0"/>
        <w:spacing w:line="600" w:lineRule="exact"/>
        <w:ind w:firstLine="636" w:firstLineChars="199"/>
        <w:rPr>
          <w:rFonts w:eastAsia="方正仿宋简体"/>
          <w:kern w:val="0"/>
          <w:sz w:val="32"/>
          <w:szCs w:val="32"/>
        </w:rPr>
      </w:pPr>
    </w:p>
    <w:p>
      <w:pPr>
        <w:adjustRightInd w:val="0"/>
        <w:snapToGrid w:val="0"/>
        <w:spacing w:line="600" w:lineRule="exact"/>
        <w:ind w:firstLine="636" w:firstLineChars="199"/>
        <w:rPr>
          <w:rFonts w:eastAsia="方正仿宋简体"/>
          <w:kern w:val="0"/>
          <w:sz w:val="32"/>
          <w:szCs w:val="32"/>
        </w:rPr>
      </w:pPr>
    </w:p>
    <w:p>
      <w:pPr>
        <w:adjustRightInd w:val="0"/>
        <w:snapToGrid w:val="0"/>
        <w:spacing w:line="600" w:lineRule="exact"/>
        <w:ind w:firstLine="636" w:firstLineChars="199"/>
        <w:rPr>
          <w:rFonts w:eastAsia="方正仿宋简体"/>
          <w:kern w:val="0"/>
          <w:sz w:val="32"/>
          <w:szCs w:val="32"/>
        </w:rPr>
      </w:pPr>
    </w:p>
    <w:p>
      <w:pPr>
        <w:pStyle w:val="2"/>
        <w:adjustRightInd w:val="0"/>
        <w:snapToGrid w:val="0"/>
        <w:spacing w:line="600" w:lineRule="exact"/>
        <w:ind w:right="440"/>
        <w:jc w:val="center"/>
        <w:rPr>
          <w:rStyle w:val="25"/>
          <w:rFonts w:eastAsia="方正小标宋简体"/>
          <w:b w:val="0"/>
          <w:bCs w:val="0"/>
        </w:rPr>
      </w:pPr>
      <w:bookmarkStart w:id="24" w:name="_Toc17103552"/>
      <w:bookmarkStart w:id="25" w:name="_Toc15377204"/>
      <w:r>
        <w:rPr>
          <w:rFonts w:eastAsia="方正小标宋简体"/>
          <w:b w:val="0"/>
          <w:color w:val="000000"/>
        </w:rPr>
        <w:t>第二部分</w:t>
      </w:r>
      <w:r>
        <w:rPr>
          <w:rFonts w:eastAsia="方正小标宋简体"/>
          <w:color w:val="000000"/>
        </w:rPr>
        <w:t xml:space="preserve"> </w:t>
      </w:r>
      <w:r>
        <w:rPr>
          <w:rStyle w:val="25"/>
          <w:rFonts w:hint="eastAsia" w:eastAsia="方正小标宋简体"/>
          <w:b w:val="0"/>
          <w:bCs w:val="0"/>
        </w:rPr>
        <w:t>2020年</w:t>
      </w:r>
      <w:r>
        <w:rPr>
          <w:rStyle w:val="25"/>
          <w:rFonts w:eastAsia="方正小标宋简体"/>
          <w:b w:val="0"/>
          <w:bCs w:val="0"/>
        </w:rPr>
        <w:t>度部门决算情况说明</w:t>
      </w:r>
      <w:bookmarkEnd w:id="24"/>
      <w:bookmarkEnd w:id="25"/>
    </w:p>
    <w:p>
      <w:pPr>
        <w:adjustRightInd w:val="0"/>
        <w:snapToGrid w:val="0"/>
        <w:spacing w:line="600" w:lineRule="exact"/>
        <w:rPr>
          <w:sz w:val="32"/>
          <w:szCs w:val="32"/>
        </w:rPr>
      </w:pPr>
    </w:p>
    <w:p>
      <w:pPr>
        <w:pStyle w:val="24"/>
        <w:numPr>
          <w:ilvl w:val="0"/>
          <w:numId w:val="1"/>
        </w:numPr>
        <w:adjustRightInd w:val="0"/>
        <w:snapToGrid w:val="0"/>
        <w:spacing w:line="600" w:lineRule="exact"/>
        <w:ind w:firstLineChars="0"/>
        <w:outlineLvl w:val="1"/>
        <w:rPr>
          <w:rStyle w:val="26"/>
          <w:rFonts w:ascii="Times New Roman" w:hAnsi="Times New Roman" w:eastAsia="方正黑体简体" w:cs="Times New Roman"/>
          <w:b w:val="0"/>
        </w:rPr>
      </w:pPr>
      <w:bookmarkStart w:id="26" w:name="_Toc15377205"/>
      <w:bookmarkStart w:id="27" w:name="_Toc17103553"/>
      <w:r>
        <w:rPr>
          <w:rFonts w:eastAsia="方正黑体简体"/>
          <w:color w:val="000000"/>
          <w:sz w:val="32"/>
          <w:szCs w:val="32"/>
        </w:rPr>
        <w:t>收</w:t>
      </w:r>
      <w:r>
        <w:rPr>
          <w:rStyle w:val="26"/>
          <w:rFonts w:ascii="Times New Roman" w:hAnsi="Times New Roman" w:eastAsia="方正黑体简体" w:cs="Times New Roman"/>
          <w:b w:val="0"/>
        </w:rPr>
        <w:t>入支出决算总体情况说明</w:t>
      </w:r>
      <w:bookmarkEnd w:id="26"/>
      <w:bookmarkEnd w:id="27"/>
    </w:p>
    <w:p>
      <w:pPr>
        <w:adjustRightInd w:val="0"/>
        <w:snapToGrid w:val="0"/>
        <w:spacing w:line="600" w:lineRule="exact"/>
        <w:ind w:firstLine="640" w:firstLineChars="200"/>
        <w:rPr>
          <w:rFonts w:eastAsia="方正仿宋简体"/>
          <w:color w:val="000000"/>
          <w:sz w:val="32"/>
          <w:szCs w:val="32"/>
        </w:rPr>
      </w:pPr>
      <w:bookmarkStart w:id="28" w:name="_Toc15377206"/>
      <w:bookmarkStart w:id="29" w:name="_Toc17103554"/>
      <w:r>
        <w:rPr>
          <w:rFonts w:hint="eastAsia" w:eastAsia="方正仿宋简体"/>
          <w:kern w:val="0"/>
          <w:sz w:val="32"/>
          <w:szCs w:val="32"/>
        </w:rPr>
        <w:t>2020年度收入、支出决算总计107.46万元，比2019年收入、支出决算总计87.27万元增加20.19万元，上升23.13%。变动主要原因：一是使用了存量资金；二是人员经费正常增长。</w:t>
      </w:r>
    </w:p>
    <w:tbl>
      <w:tblPr>
        <w:tblStyle w:val="16"/>
        <w:tblW w:w="8856" w:type="dxa"/>
        <w:tblInd w:w="108" w:type="dxa"/>
        <w:tblLayout w:type="fixed"/>
        <w:tblCellMar>
          <w:top w:w="0" w:type="dxa"/>
          <w:left w:w="108" w:type="dxa"/>
          <w:bottom w:w="0" w:type="dxa"/>
          <w:right w:w="108" w:type="dxa"/>
        </w:tblCellMar>
      </w:tblPr>
      <w:tblGrid>
        <w:gridCol w:w="1296"/>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5168" behindDoc="0" locked="0" layoutInCell="1" allowOverlap="1">
                  <wp:simplePos x="0" y="0"/>
                  <wp:positionH relativeFrom="column">
                    <wp:posOffset>190500</wp:posOffset>
                  </wp:positionH>
                  <wp:positionV relativeFrom="paragraph">
                    <wp:posOffset>19050</wp:posOffset>
                  </wp:positionV>
                  <wp:extent cx="4981575" cy="2714625"/>
                  <wp:effectExtent l="0" t="0" r="0" b="0"/>
                  <wp:wrapNone/>
                  <wp:docPr id="17" name="收、支决算总计变动情况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Style w:val="16"/>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adjustRightInd w:val="0"/>
        <w:snapToGrid w:val="0"/>
        <w:spacing w:line="600" w:lineRule="exact"/>
        <w:jc w:val="left"/>
        <w:rPr>
          <w:rFonts w:eastAsia="仿宋_GB2312"/>
          <w:color w:val="000000"/>
          <w:sz w:val="32"/>
          <w:szCs w:val="32"/>
        </w:rPr>
      </w:pPr>
    </w:p>
    <w:p>
      <w:pPr>
        <w:adjustRightInd w:val="0"/>
        <w:snapToGrid w:val="0"/>
        <w:spacing w:line="600" w:lineRule="exact"/>
        <w:jc w:val="center"/>
        <w:rPr>
          <w:rFonts w:eastAsia="方正仿宋简体"/>
          <w:color w:val="000000"/>
          <w:sz w:val="32"/>
          <w:szCs w:val="32"/>
        </w:rPr>
      </w:pPr>
      <w:r>
        <w:rPr>
          <w:rFonts w:eastAsia="方正仿宋简体"/>
          <w:color w:val="000000" w:themeColor="text1"/>
          <w:sz w:val="32"/>
          <w:szCs w:val="32"/>
        </w:rPr>
        <w:t>（图1：收、支决算总计变动情况图）（柱状图）</w:t>
      </w:r>
    </w:p>
    <w:p>
      <w:pPr>
        <w:pStyle w:val="24"/>
        <w:numPr>
          <w:ilvl w:val="0"/>
          <w:numId w:val="1"/>
        </w:numPr>
        <w:adjustRightInd w:val="0"/>
        <w:snapToGrid w:val="0"/>
        <w:spacing w:line="600" w:lineRule="exact"/>
        <w:ind w:firstLineChars="0"/>
        <w:outlineLvl w:val="1"/>
        <w:rPr>
          <w:rFonts w:eastAsia="方正黑体简体"/>
          <w:color w:val="000000"/>
          <w:sz w:val="32"/>
          <w:szCs w:val="32"/>
        </w:rPr>
      </w:pPr>
      <w:r>
        <w:rPr>
          <w:rFonts w:eastAsia="方正黑体简体"/>
          <w:color w:val="000000"/>
          <w:sz w:val="32"/>
          <w:szCs w:val="32"/>
        </w:rPr>
        <w:t>收入决算情况说明</w:t>
      </w:r>
      <w:bookmarkEnd w:id="28"/>
      <w:bookmarkEnd w:id="29"/>
    </w:p>
    <w:p>
      <w:pPr>
        <w:adjustRightInd w:val="0"/>
        <w:snapToGrid w:val="0"/>
        <w:spacing w:line="600" w:lineRule="exact"/>
        <w:ind w:firstLine="640" w:firstLineChars="200"/>
        <w:outlineLvl w:val="1"/>
        <w:rPr>
          <w:rFonts w:eastAsia="方正仿宋简体"/>
          <w:color w:val="000000"/>
          <w:sz w:val="32"/>
          <w:szCs w:val="32"/>
        </w:rPr>
      </w:pPr>
      <w:bookmarkStart w:id="30" w:name="_Toc15377207"/>
      <w:bookmarkStart w:id="31" w:name="_Toc17103556"/>
      <w:r>
        <w:rPr>
          <w:rFonts w:hint="eastAsia" w:eastAsia="方正仿宋简体"/>
          <w:color w:val="000000"/>
          <w:sz w:val="32"/>
          <w:szCs w:val="32"/>
        </w:rPr>
        <w:t>2020年本年收入合计100.77万元，其中：一般公共预算财政拨款收入100.77万元，占100.00%；政府性基金预算财政拨款收入0万元，占0%；国有资本经营预算财政拨款收入0万元，占0%；事业收入0万元，占0%；经营收入0万元，占0%；附属单位上缴收入0万元，占0%；其他收入0万元，占0%。</w:t>
      </w:r>
    </w:p>
    <w:tbl>
      <w:tblPr>
        <w:tblStyle w:val="16"/>
        <w:tblW w:w="8856" w:type="dxa"/>
        <w:tblInd w:w="108" w:type="dxa"/>
        <w:tblLayout w:type="fixed"/>
        <w:tblCellMar>
          <w:top w:w="0" w:type="dxa"/>
          <w:left w:w="108" w:type="dxa"/>
          <w:bottom w:w="0" w:type="dxa"/>
          <w:right w:w="108" w:type="dxa"/>
        </w:tblCellMar>
      </w:tblPr>
      <w:tblGrid>
        <w:gridCol w:w="1296"/>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6192" behindDoc="0" locked="0" layoutInCell="1" allowOverlap="1">
                  <wp:simplePos x="0" y="0"/>
                  <wp:positionH relativeFrom="column">
                    <wp:posOffset>295275</wp:posOffset>
                  </wp:positionH>
                  <wp:positionV relativeFrom="paragraph">
                    <wp:posOffset>47625</wp:posOffset>
                  </wp:positionV>
                  <wp:extent cx="4867275" cy="2657475"/>
                  <wp:effectExtent l="0" t="0" r="0" b="0"/>
                  <wp:wrapNone/>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Style w:val="16"/>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adjustRightInd w:val="0"/>
        <w:snapToGrid w:val="0"/>
        <w:spacing w:line="600" w:lineRule="exact"/>
        <w:rPr>
          <w:rFonts w:eastAsia="方正仿宋简体"/>
          <w:color w:val="000000"/>
          <w:sz w:val="32"/>
          <w:szCs w:val="32"/>
        </w:rPr>
      </w:pPr>
    </w:p>
    <w:p>
      <w:pPr>
        <w:adjustRightInd w:val="0"/>
        <w:snapToGrid w:val="0"/>
        <w:spacing w:line="600" w:lineRule="exact"/>
        <w:ind w:firstLine="640" w:firstLineChars="200"/>
        <w:jc w:val="center"/>
        <w:rPr>
          <w:rFonts w:eastAsia="方正仿宋简体"/>
          <w:color w:val="000000"/>
          <w:sz w:val="32"/>
          <w:szCs w:val="32"/>
        </w:rPr>
      </w:pPr>
      <w:r>
        <w:rPr>
          <w:rFonts w:eastAsia="方正仿宋简体"/>
          <w:color w:val="000000"/>
          <w:sz w:val="32"/>
          <w:szCs w:val="32"/>
        </w:rPr>
        <w:t>（图2：收入决算结构图）（饼状图）</w:t>
      </w:r>
    </w:p>
    <w:p>
      <w:pPr>
        <w:pStyle w:val="24"/>
        <w:adjustRightInd w:val="0"/>
        <w:snapToGrid w:val="0"/>
        <w:spacing w:line="600" w:lineRule="exact"/>
        <w:ind w:left="640" w:firstLine="0" w:firstLineChars="0"/>
        <w:outlineLvl w:val="1"/>
        <w:rPr>
          <w:rFonts w:eastAsia="方正黑体简体"/>
          <w:color w:val="000000"/>
          <w:sz w:val="32"/>
          <w:szCs w:val="32"/>
        </w:rPr>
      </w:pPr>
      <w:r>
        <w:rPr>
          <w:rFonts w:eastAsia="方正黑体简体"/>
          <w:color w:val="000000"/>
          <w:sz w:val="32"/>
          <w:szCs w:val="32"/>
        </w:rPr>
        <w:t>三、支出决算情况说明</w:t>
      </w:r>
      <w:bookmarkEnd w:id="30"/>
      <w:bookmarkEnd w:id="31"/>
    </w:p>
    <w:p>
      <w:pPr>
        <w:adjustRightInd w:val="0"/>
        <w:snapToGrid w:val="0"/>
        <w:spacing w:line="600" w:lineRule="exact"/>
        <w:ind w:firstLine="640"/>
        <w:rPr>
          <w:rFonts w:eastAsia="方正仿宋简体"/>
          <w:color w:val="000000"/>
          <w:sz w:val="32"/>
          <w:szCs w:val="32"/>
          <w:shd w:val="pct10" w:color="auto" w:fill="FFFFFF"/>
        </w:rPr>
      </w:pPr>
      <w:bookmarkStart w:id="32" w:name="_Toc15377208"/>
      <w:bookmarkStart w:id="33" w:name="_Toc17103557"/>
      <w:r>
        <w:rPr>
          <w:rFonts w:hint="eastAsia" w:eastAsia="方正仿宋简体"/>
          <w:color w:val="000000"/>
          <w:sz w:val="32"/>
          <w:szCs w:val="32"/>
        </w:rPr>
        <w:t>2020年本年支出合计100.71万元，其中：基本支出95.61万元，占94.94%；项目支出5.10万元，占5.06%；上缴上级支出0万元，占0%；经营支出0万元，占0%；对附属单位补助支出0万元，占0%。</w:t>
      </w:r>
    </w:p>
    <w:tbl>
      <w:tblPr>
        <w:tblStyle w:val="16"/>
        <w:tblW w:w="8856" w:type="dxa"/>
        <w:tblInd w:w="108" w:type="dxa"/>
        <w:tblLayout w:type="fixed"/>
        <w:tblCellMar>
          <w:top w:w="0" w:type="dxa"/>
          <w:left w:w="108" w:type="dxa"/>
          <w:bottom w:w="0" w:type="dxa"/>
          <w:right w:w="108" w:type="dxa"/>
        </w:tblCellMar>
      </w:tblPr>
      <w:tblGrid>
        <w:gridCol w:w="1296"/>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7216" behindDoc="0" locked="0" layoutInCell="1" allowOverlap="1">
                  <wp:simplePos x="0" y="0"/>
                  <wp:positionH relativeFrom="column">
                    <wp:posOffset>190500</wp:posOffset>
                  </wp:positionH>
                  <wp:positionV relativeFrom="paragraph">
                    <wp:posOffset>38100</wp:posOffset>
                  </wp:positionV>
                  <wp:extent cx="5133975" cy="2667000"/>
                  <wp:effectExtent l="0" t="0" r="0" b="0"/>
                  <wp:wrapNone/>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Style w:val="16"/>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adjustRightInd w:val="0"/>
        <w:snapToGrid w:val="0"/>
        <w:spacing w:line="600" w:lineRule="exact"/>
        <w:rPr>
          <w:rFonts w:eastAsia="方正仿宋简体"/>
          <w:color w:val="000000" w:themeColor="text1"/>
          <w:sz w:val="32"/>
          <w:szCs w:val="32"/>
        </w:rPr>
      </w:pPr>
    </w:p>
    <w:p>
      <w:pPr>
        <w:adjustRightInd w:val="0"/>
        <w:snapToGrid w:val="0"/>
        <w:spacing w:line="600" w:lineRule="exact"/>
        <w:ind w:firstLine="960" w:firstLineChars="300"/>
        <w:rPr>
          <w:rFonts w:eastAsia="方正仿宋简体"/>
          <w:color w:val="FF0000"/>
          <w:sz w:val="32"/>
          <w:szCs w:val="32"/>
        </w:rPr>
      </w:pPr>
      <w:r>
        <w:rPr>
          <w:rFonts w:hint="eastAsia" w:eastAsia="方正仿宋简体"/>
          <w:color w:val="000000" w:themeColor="text1"/>
          <w:sz w:val="32"/>
          <w:szCs w:val="32"/>
        </w:rPr>
        <w:t>（</w:t>
      </w:r>
      <w:r>
        <w:rPr>
          <w:rFonts w:eastAsia="方正仿宋简体"/>
          <w:color w:val="000000" w:themeColor="text1"/>
          <w:sz w:val="32"/>
          <w:szCs w:val="32"/>
        </w:rPr>
        <w:t>图3：支出决算结构图）（饼状图）</w:t>
      </w:r>
    </w:p>
    <w:p>
      <w:pPr>
        <w:pStyle w:val="24"/>
        <w:adjustRightInd w:val="0"/>
        <w:snapToGrid w:val="0"/>
        <w:spacing w:line="600" w:lineRule="exact"/>
        <w:ind w:left="640" w:firstLine="0" w:firstLineChars="0"/>
        <w:outlineLvl w:val="1"/>
        <w:rPr>
          <w:rFonts w:eastAsia="方正黑体简体"/>
          <w:color w:val="000000"/>
          <w:sz w:val="32"/>
          <w:szCs w:val="32"/>
        </w:rPr>
      </w:pPr>
      <w:r>
        <w:rPr>
          <w:rFonts w:eastAsia="方正黑体简体"/>
          <w:color w:val="000000"/>
          <w:sz w:val="32"/>
          <w:szCs w:val="32"/>
        </w:rPr>
        <w:t>四、财政拨款收入支出决算总体情况说明</w:t>
      </w:r>
      <w:bookmarkEnd w:id="32"/>
      <w:bookmarkEnd w:id="33"/>
    </w:p>
    <w:p>
      <w:pPr>
        <w:adjustRightInd w:val="0"/>
        <w:snapToGrid w:val="0"/>
        <w:spacing w:line="600" w:lineRule="exact"/>
        <w:ind w:firstLine="640" w:firstLineChars="200"/>
        <w:rPr>
          <w:rFonts w:eastAsia="方正仿宋简体"/>
          <w:color w:val="000000"/>
          <w:sz w:val="32"/>
          <w:szCs w:val="32"/>
        </w:rPr>
      </w:pPr>
      <w:bookmarkStart w:id="34" w:name="_Toc17103558"/>
      <w:bookmarkStart w:id="35" w:name="_Toc15377209"/>
      <w:r>
        <w:rPr>
          <w:rFonts w:hint="eastAsia" w:eastAsia="方正仿宋简体"/>
          <w:kern w:val="0"/>
          <w:sz w:val="32"/>
          <w:szCs w:val="32"/>
        </w:rPr>
        <w:t>2020年度财政拨款收入、支出决算总计107.46万元，比2019年财政拨款收入、支出决算总计87.23万元增加20.23万元，上升23.19%。变动主要原因：一是使用了存量资金；二是人员经费正常增长。</w:t>
      </w:r>
    </w:p>
    <w:tbl>
      <w:tblPr>
        <w:tblStyle w:val="16"/>
        <w:tblW w:w="8856" w:type="dxa"/>
        <w:tblInd w:w="108" w:type="dxa"/>
        <w:tblLayout w:type="fixed"/>
        <w:tblCellMar>
          <w:top w:w="0" w:type="dxa"/>
          <w:left w:w="108" w:type="dxa"/>
          <w:bottom w:w="0" w:type="dxa"/>
          <w:right w:w="108" w:type="dxa"/>
        </w:tblCellMar>
      </w:tblPr>
      <w:tblGrid>
        <w:gridCol w:w="1296"/>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19050</wp:posOffset>
                  </wp:positionV>
                  <wp:extent cx="4972050" cy="2714625"/>
                  <wp:effectExtent l="0" t="0" r="0" b="0"/>
                  <wp:wrapNone/>
                  <wp:docPr id="20" name="收、支决算总计变动情况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Style w:val="16"/>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adjustRightInd w:val="0"/>
        <w:snapToGrid w:val="0"/>
        <w:spacing w:line="600" w:lineRule="exact"/>
        <w:rPr>
          <w:rFonts w:eastAsia="仿宋"/>
          <w:color w:val="000000" w:themeColor="text1"/>
          <w:sz w:val="32"/>
          <w:szCs w:val="32"/>
        </w:rPr>
      </w:pPr>
    </w:p>
    <w:p>
      <w:pPr>
        <w:adjustRightInd w:val="0"/>
        <w:snapToGrid w:val="0"/>
        <w:spacing w:line="600" w:lineRule="exact"/>
        <w:ind w:firstLine="320" w:firstLineChars="100"/>
        <w:rPr>
          <w:rFonts w:eastAsia="方正黑体简体"/>
          <w:color w:val="000000"/>
          <w:sz w:val="32"/>
          <w:szCs w:val="32"/>
        </w:rPr>
      </w:pPr>
      <w:r>
        <w:rPr>
          <w:rFonts w:eastAsia="仿宋"/>
          <w:color w:val="000000" w:themeColor="text1"/>
          <w:sz w:val="32"/>
          <w:szCs w:val="32"/>
        </w:rPr>
        <w:t>（图4：财政拨款收、支决算总计变动情况）（柱状图）</w:t>
      </w:r>
    </w:p>
    <w:p>
      <w:pPr>
        <w:pStyle w:val="24"/>
        <w:adjustRightInd w:val="0"/>
        <w:snapToGrid w:val="0"/>
        <w:spacing w:line="600" w:lineRule="exact"/>
        <w:ind w:left="640" w:firstLine="0" w:firstLineChars="0"/>
        <w:outlineLvl w:val="1"/>
        <w:rPr>
          <w:rFonts w:eastAsia="方正黑体简体"/>
          <w:color w:val="000000"/>
          <w:sz w:val="32"/>
          <w:szCs w:val="32"/>
        </w:rPr>
      </w:pPr>
      <w:r>
        <w:rPr>
          <w:rFonts w:eastAsia="方正黑体简体"/>
          <w:color w:val="000000"/>
          <w:sz w:val="32"/>
          <w:szCs w:val="32"/>
        </w:rPr>
        <w:t>五、一般公共预算财政拨款支出决算情况说明</w:t>
      </w:r>
      <w:bookmarkEnd w:id="34"/>
      <w:bookmarkEnd w:id="35"/>
    </w:p>
    <w:p>
      <w:pPr>
        <w:adjustRightInd w:val="0"/>
        <w:snapToGrid w:val="0"/>
        <w:spacing w:line="600" w:lineRule="exact"/>
        <w:ind w:firstLine="640" w:firstLineChars="200"/>
        <w:outlineLvl w:val="2"/>
        <w:rPr>
          <w:rStyle w:val="26"/>
          <w:rFonts w:ascii="Times New Roman" w:hAnsi="Times New Roman" w:eastAsia="方正黑体简体" w:cs="Times New Roman"/>
          <w:b w:val="0"/>
        </w:rPr>
      </w:pPr>
      <w:bookmarkStart w:id="36" w:name="_Toc15377210"/>
      <w:bookmarkStart w:id="37" w:name="_Toc17103559"/>
      <w:bookmarkStart w:id="38" w:name="_Toc15377214"/>
      <w:r>
        <w:rPr>
          <w:rStyle w:val="26"/>
          <w:rFonts w:ascii="Times New Roman" w:hAnsi="Times New Roman" w:eastAsia="方正黑体简体" w:cs="Times New Roman"/>
          <w:b w:val="0"/>
        </w:rPr>
        <w:t>（一）一般公共预算财政拨款支出决算总体情况</w:t>
      </w:r>
      <w:bookmarkEnd w:id="36"/>
    </w:p>
    <w:p>
      <w:pPr>
        <w:adjustRightInd w:val="0"/>
        <w:snapToGrid w:val="0"/>
        <w:spacing w:line="600" w:lineRule="exact"/>
        <w:ind w:firstLine="640" w:firstLineChars="200"/>
        <w:rPr>
          <w:rFonts w:eastAsia="方正仿宋简体"/>
          <w:kern w:val="0"/>
          <w:sz w:val="32"/>
          <w:szCs w:val="32"/>
        </w:rPr>
      </w:pPr>
      <w:r>
        <w:rPr>
          <w:rFonts w:hint="eastAsia" w:eastAsia="方正仿宋简体"/>
          <w:kern w:val="0"/>
          <w:sz w:val="32"/>
          <w:szCs w:val="32"/>
        </w:rPr>
        <w:t>2020年度一般公共预算财政拨款支出决算数100.71万元，与2019年一般公共预算财政拨款支出决算数80.53万元相比增加20.18万元，上升25.06%。变动主要原因：一是使用了存量资金；二是人员经费正常增长。</w:t>
      </w:r>
    </w:p>
    <w:tbl>
      <w:tblPr>
        <w:tblStyle w:val="16"/>
        <w:tblW w:w="8856" w:type="dxa"/>
        <w:tblInd w:w="108" w:type="dxa"/>
        <w:tblLayout w:type="fixed"/>
        <w:tblCellMar>
          <w:top w:w="0" w:type="dxa"/>
          <w:left w:w="108" w:type="dxa"/>
          <w:bottom w:w="0" w:type="dxa"/>
          <w:right w:w="108" w:type="dxa"/>
        </w:tblCellMar>
      </w:tblPr>
      <w:tblGrid>
        <w:gridCol w:w="1296"/>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57150</wp:posOffset>
                  </wp:positionV>
                  <wp:extent cx="5248275" cy="2943225"/>
                  <wp:effectExtent l="0" t="0" r="0" b="0"/>
                  <wp:wrapNone/>
                  <wp:docPr id="21" name="收、支决算总计变动情况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Style w:val="16"/>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adjustRightInd w:val="0"/>
        <w:snapToGrid w:val="0"/>
        <w:spacing w:line="600" w:lineRule="exact"/>
        <w:rPr>
          <w:rFonts w:eastAsia="方正仿宋简体"/>
          <w:color w:val="000000"/>
          <w:sz w:val="32"/>
          <w:szCs w:val="32"/>
        </w:rPr>
      </w:pPr>
    </w:p>
    <w:p>
      <w:pPr>
        <w:adjustRightInd w:val="0"/>
        <w:snapToGrid w:val="0"/>
        <w:spacing w:line="600" w:lineRule="exact"/>
        <w:ind w:firstLine="320" w:firstLineChars="100"/>
        <w:rPr>
          <w:rFonts w:eastAsia="方正楷体简体"/>
          <w:b/>
          <w:color w:val="000000"/>
          <w:sz w:val="32"/>
          <w:szCs w:val="32"/>
        </w:rPr>
      </w:pPr>
      <w:r>
        <w:rPr>
          <w:rFonts w:eastAsia="方正仿宋简体"/>
          <w:color w:val="000000" w:themeColor="text1"/>
          <w:sz w:val="32"/>
          <w:szCs w:val="32"/>
        </w:rPr>
        <w:t>（图5：一般公共预算财政拨款支出决算变动情况）（柱状图）</w:t>
      </w:r>
      <w:bookmarkStart w:id="39" w:name="_Toc15377211"/>
    </w:p>
    <w:p>
      <w:pPr>
        <w:adjustRightInd w:val="0"/>
        <w:snapToGrid w:val="0"/>
        <w:spacing w:line="600" w:lineRule="exact"/>
        <w:ind w:firstLine="640" w:firstLineChars="200"/>
        <w:outlineLvl w:val="2"/>
        <w:rPr>
          <w:rStyle w:val="26"/>
          <w:rFonts w:ascii="Times New Roman" w:hAnsi="Times New Roman" w:eastAsia="方正黑体简体" w:cs="Times New Roman"/>
          <w:b w:val="0"/>
        </w:rPr>
      </w:pPr>
      <w:r>
        <w:rPr>
          <w:rStyle w:val="26"/>
          <w:rFonts w:ascii="Times New Roman" w:hAnsi="Times New Roman" w:eastAsia="方正黑体简体" w:cs="Times New Roman"/>
          <w:b w:val="0"/>
        </w:rPr>
        <w:t>（二）一般公共预算财政拨款支出决算结构情况</w:t>
      </w:r>
      <w:bookmarkEnd w:id="39"/>
    </w:p>
    <w:p>
      <w:pPr>
        <w:adjustRightInd w:val="0"/>
        <w:snapToGrid w:val="0"/>
        <w:spacing w:line="600" w:lineRule="exact"/>
        <w:ind w:firstLine="640"/>
        <w:rPr>
          <w:rFonts w:eastAsia="方正仿宋简体"/>
          <w:color w:val="000000" w:themeColor="text1"/>
          <w:sz w:val="32"/>
          <w:szCs w:val="32"/>
        </w:rPr>
      </w:pPr>
      <w:r>
        <w:rPr>
          <w:rFonts w:hint="eastAsia" w:eastAsia="方正仿宋简体"/>
          <w:color w:val="000000"/>
          <w:sz w:val="32"/>
          <w:szCs w:val="32"/>
        </w:rPr>
        <w:t>2020年一般公共预算财政拨款支出100.71万元，主要用于以下方面</w:t>
      </w:r>
      <w:r>
        <w:rPr>
          <w:rFonts w:hint="eastAsia" w:eastAsia="方正仿宋简体"/>
          <w:color w:val="000000"/>
          <w:sz w:val="32"/>
          <w:szCs w:val="32"/>
          <w:highlight w:val="none"/>
          <w:lang w:eastAsia="zh-CN"/>
        </w:rPr>
        <w:t>：</w:t>
      </w:r>
      <w:r>
        <w:rPr>
          <w:rFonts w:hint="eastAsia" w:eastAsia="方正仿宋简体"/>
          <w:color w:val="000000"/>
          <w:sz w:val="32"/>
          <w:szCs w:val="32"/>
        </w:rPr>
        <w:t>社会保障和就业（类）支出10.56万元，占10.49%；卫生健康（类）支出3.16万元，占3.14%；交通运输（类）支出79.54万元，占78.98%；住房保障（类）支出7.45万元，占7.40%。</w:t>
      </w:r>
    </w:p>
    <w:p>
      <w:pPr>
        <w:adjustRightInd w:val="0"/>
        <w:snapToGrid w:val="0"/>
        <w:spacing w:line="600" w:lineRule="exact"/>
        <w:ind w:firstLine="640"/>
        <w:rPr>
          <w:rFonts w:eastAsia="方正仿宋简体"/>
          <w:color w:val="000000" w:themeColor="text1"/>
          <w:sz w:val="32"/>
          <w:szCs w:val="32"/>
        </w:rPr>
      </w:pPr>
    </w:p>
    <w:p>
      <w:pPr>
        <w:adjustRightInd w:val="0"/>
        <w:snapToGrid w:val="0"/>
        <w:spacing w:line="600" w:lineRule="exact"/>
        <w:ind w:firstLine="640"/>
        <w:rPr>
          <w:rFonts w:eastAsia="方正仿宋简体"/>
          <w:color w:val="000000" w:themeColor="text1"/>
          <w:sz w:val="32"/>
          <w:szCs w:val="32"/>
        </w:rPr>
      </w:pPr>
    </w:p>
    <w:p>
      <w:pPr>
        <w:adjustRightInd w:val="0"/>
        <w:snapToGrid w:val="0"/>
        <w:spacing w:line="600" w:lineRule="exact"/>
        <w:ind w:firstLine="640"/>
        <w:rPr>
          <w:rFonts w:eastAsia="方正仿宋简体"/>
          <w:color w:val="000000" w:themeColor="text1"/>
          <w:sz w:val="32"/>
          <w:szCs w:val="32"/>
        </w:rPr>
      </w:pPr>
    </w:p>
    <w:p>
      <w:pPr>
        <w:adjustRightInd w:val="0"/>
        <w:snapToGrid w:val="0"/>
        <w:spacing w:line="600" w:lineRule="exact"/>
        <w:ind w:firstLine="640"/>
        <w:rPr>
          <w:rFonts w:eastAsia="方正仿宋简体"/>
          <w:color w:val="000000" w:themeColor="text1"/>
          <w:sz w:val="32"/>
          <w:szCs w:val="32"/>
        </w:rPr>
      </w:pPr>
    </w:p>
    <w:tbl>
      <w:tblPr>
        <w:tblStyle w:val="16"/>
        <w:tblW w:w="11160" w:type="dxa"/>
        <w:tblInd w:w="108" w:type="dxa"/>
        <w:tblLayout w:type="fixed"/>
        <w:tblCellMar>
          <w:top w:w="0" w:type="dxa"/>
          <w:left w:w="108" w:type="dxa"/>
          <w:bottom w:w="0" w:type="dxa"/>
          <w:right w:w="108" w:type="dxa"/>
        </w:tblCellMar>
      </w:tblPr>
      <w:tblGrid>
        <w:gridCol w:w="1296"/>
        <w:gridCol w:w="1096"/>
        <w:gridCol w:w="1096"/>
        <w:gridCol w:w="1096"/>
        <w:gridCol w:w="1096"/>
        <w:gridCol w:w="1096"/>
        <w:gridCol w:w="1096"/>
        <w:gridCol w:w="1096"/>
        <w:gridCol w:w="1096"/>
        <w:gridCol w:w="1096"/>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bl>
            <w:tblPr>
              <w:tblStyle w:val="16"/>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60288" behindDoc="0" locked="0" layoutInCell="1" allowOverlap="1">
                        <wp:simplePos x="0" y="0"/>
                        <wp:positionH relativeFrom="column">
                          <wp:posOffset>-549910</wp:posOffset>
                        </wp:positionH>
                        <wp:positionV relativeFrom="paragraph">
                          <wp:posOffset>5080</wp:posOffset>
                        </wp:positionV>
                        <wp:extent cx="6831330" cy="3110865"/>
                        <wp:effectExtent l="19050" t="0" r="26670" b="0"/>
                        <wp:wrapNone/>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bl>
    <w:p>
      <w:pPr>
        <w:adjustRightInd w:val="0"/>
        <w:snapToGrid w:val="0"/>
        <w:spacing w:line="600" w:lineRule="exact"/>
        <w:ind w:firstLine="320" w:firstLineChars="100"/>
        <w:rPr>
          <w:rFonts w:eastAsia="方正仿宋简体"/>
          <w:color w:val="000000"/>
          <w:sz w:val="32"/>
          <w:szCs w:val="32"/>
        </w:rPr>
      </w:pPr>
      <w:r>
        <w:rPr>
          <w:rFonts w:eastAsia="仿宋"/>
          <w:color w:val="000000"/>
          <w:sz w:val="32"/>
          <w:szCs w:val="32"/>
        </w:rPr>
        <w:t>（</w:t>
      </w:r>
      <w:r>
        <w:rPr>
          <w:rFonts w:eastAsia="方正仿宋简体"/>
          <w:color w:val="000000"/>
          <w:sz w:val="32"/>
          <w:szCs w:val="32"/>
        </w:rPr>
        <w:t>图6：一般公共预算财政拨款支出决算结构）（饼状图）</w:t>
      </w:r>
    </w:p>
    <w:p>
      <w:pPr>
        <w:adjustRightInd w:val="0"/>
        <w:snapToGrid w:val="0"/>
        <w:spacing w:line="600" w:lineRule="exact"/>
        <w:ind w:firstLine="640" w:firstLineChars="200"/>
        <w:outlineLvl w:val="2"/>
        <w:rPr>
          <w:rStyle w:val="26"/>
          <w:rFonts w:ascii="Times New Roman" w:hAnsi="Times New Roman" w:eastAsia="方正黑体简体" w:cs="Times New Roman"/>
          <w:b w:val="0"/>
        </w:rPr>
      </w:pPr>
      <w:bookmarkStart w:id="40" w:name="_Toc15377212"/>
      <w:r>
        <w:rPr>
          <w:rStyle w:val="26"/>
          <w:rFonts w:ascii="Times New Roman" w:hAnsi="Times New Roman" w:eastAsia="方正黑体简体" w:cs="Times New Roman"/>
          <w:b w:val="0"/>
        </w:rPr>
        <w:t>（三）一般公共预算财政拨款支出决算具体情况</w:t>
      </w:r>
      <w:bookmarkEnd w:id="40"/>
    </w:p>
    <w:p>
      <w:pPr>
        <w:adjustRightInd w:val="0"/>
        <w:snapToGrid w:val="0"/>
        <w:spacing w:line="600" w:lineRule="exact"/>
        <w:ind w:firstLine="640" w:firstLineChars="200"/>
        <w:outlineLvl w:val="2"/>
        <w:rPr>
          <w:rFonts w:eastAsia="方正仿宋简体"/>
          <w:b/>
          <w:color w:val="000000"/>
          <w:sz w:val="32"/>
          <w:szCs w:val="32"/>
        </w:rPr>
      </w:pPr>
      <w:r>
        <w:rPr>
          <w:rFonts w:hint="eastAsia" w:eastAsia="方正仿宋简体"/>
          <w:color w:val="000000"/>
          <w:sz w:val="32"/>
          <w:szCs w:val="32"/>
        </w:rPr>
        <w:t>2020年一般公共预算支出决算数为100.71万元，完成调整预算数100.77万元的99.94%。其中：</w:t>
      </w:r>
    </w:p>
    <w:p>
      <w:pPr>
        <w:adjustRightInd w:val="0"/>
        <w:snapToGrid w:val="0"/>
        <w:spacing w:line="600" w:lineRule="exact"/>
        <w:ind w:firstLine="640"/>
        <w:rPr>
          <w:rFonts w:ascii="方正仿宋简体" w:hAnsi="方正仿宋简体" w:eastAsia="方正仿宋简体" w:cs="方正仿宋简体"/>
          <w:b/>
          <w:bCs/>
          <w:sz w:val="32"/>
          <w:szCs w:val="32"/>
        </w:rPr>
      </w:pPr>
      <w:r>
        <w:rPr>
          <w:rStyle w:val="26"/>
          <w:rFonts w:hint="eastAsia" w:ascii="Times New Roman" w:hAnsi="Times New Roman" w:eastAsia="方正黑体简体" w:cs="Times New Roman"/>
          <w:b w:val="0"/>
          <w:bCs w:val="0"/>
        </w:rPr>
        <w:t xml:space="preserve">1. 社会保障和就业支出（类）行政事业单位离退休（款）事业单位离退休（项）: </w:t>
      </w:r>
      <w:r>
        <w:rPr>
          <w:rFonts w:hint="eastAsia" w:eastAsia="方正仿宋简体"/>
          <w:color w:val="000000"/>
          <w:sz w:val="32"/>
          <w:szCs w:val="32"/>
        </w:rPr>
        <w:t>支出决算为3.62万元，完成预算86.60%，决算数小于预算数的原因是部分生活补助未拨付到位。</w:t>
      </w:r>
    </w:p>
    <w:p>
      <w:pPr>
        <w:adjustRightInd w:val="0"/>
        <w:snapToGrid w:val="0"/>
        <w:spacing w:line="600" w:lineRule="exact"/>
        <w:ind w:firstLine="640"/>
        <w:rPr>
          <w:rFonts w:eastAsia="方正仿宋简体"/>
          <w:color w:val="000000"/>
          <w:sz w:val="32"/>
          <w:szCs w:val="32"/>
        </w:rPr>
      </w:pPr>
      <w:r>
        <w:rPr>
          <w:rStyle w:val="26"/>
          <w:rFonts w:hint="eastAsia" w:ascii="Times New Roman" w:hAnsi="Times New Roman" w:eastAsia="方正黑体简体" w:cs="Times New Roman"/>
          <w:b w:val="0"/>
        </w:rPr>
        <w:t xml:space="preserve">2. 社会保障和就业支出（类）行政事业单位离退休（款）机关事业单位基本养老保险缴费支出（项）: </w:t>
      </w:r>
      <w:r>
        <w:rPr>
          <w:rFonts w:hint="eastAsia" w:eastAsia="方正仿宋简体"/>
          <w:color w:val="000000"/>
          <w:sz w:val="32"/>
          <w:szCs w:val="32"/>
        </w:rPr>
        <w:t>支出决算为6.33万元，完成预算100.32%，决算数与预算数基本持平。</w:t>
      </w:r>
    </w:p>
    <w:p>
      <w:pPr>
        <w:adjustRightInd w:val="0"/>
        <w:snapToGrid w:val="0"/>
        <w:spacing w:line="600" w:lineRule="exact"/>
        <w:ind w:firstLine="640"/>
        <w:rPr>
          <w:rFonts w:eastAsia="方正仿宋简体"/>
          <w:color w:val="000000"/>
          <w:sz w:val="32"/>
          <w:szCs w:val="32"/>
        </w:rPr>
      </w:pPr>
      <w:r>
        <w:rPr>
          <w:rStyle w:val="26"/>
          <w:rFonts w:hint="eastAsia" w:ascii="Times New Roman" w:hAnsi="Times New Roman" w:eastAsia="方正黑体简体" w:cs="Times New Roman"/>
          <w:b w:val="0"/>
          <w:bCs w:val="0"/>
        </w:rPr>
        <w:t xml:space="preserve">3. 社会保障和就业支出（类）其他社会保障和就业支出（款）其他社会保障和就业支出（项）: </w:t>
      </w:r>
      <w:r>
        <w:rPr>
          <w:rFonts w:hint="eastAsia" w:eastAsia="方正仿宋简体"/>
          <w:color w:val="000000"/>
          <w:sz w:val="32"/>
          <w:szCs w:val="32"/>
        </w:rPr>
        <w:t>支出决算为0.61万元，完成预算100%，决算数等于预算数。</w:t>
      </w:r>
    </w:p>
    <w:p>
      <w:pPr>
        <w:adjustRightInd w:val="0"/>
        <w:snapToGrid w:val="0"/>
        <w:spacing w:line="600" w:lineRule="exact"/>
        <w:ind w:firstLine="640"/>
        <w:rPr>
          <w:rFonts w:eastAsia="方正仿宋简体"/>
          <w:color w:val="000000"/>
          <w:sz w:val="32"/>
          <w:szCs w:val="32"/>
        </w:rPr>
      </w:pPr>
      <w:r>
        <w:rPr>
          <w:rStyle w:val="26"/>
          <w:rFonts w:hint="eastAsia" w:ascii="Times New Roman" w:hAnsi="Times New Roman" w:eastAsia="方正黑体简体" w:cs="Times New Roman"/>
          <w:b w:val="0"/>
        </w:rPr>
        <w:t>4. 卫生健康支出（类）行政事业单位医疗（款）事业单位医疗（项）:</w:t>
      </w:r>
      <w:r>
        <w:rPr>
          <w:rFonts w:hint="eastAsia" w:ascii="方正仿宋简体" w:hAnsi="方正仿宋简体" w:eastAsia="方正仿宋简体" w:cs="方正仿宋简体"/>
          <w:b/>
          <w:bCs/>
          <w:sz w:val="32"/>
          <w:szCs w:val="32"/>
        </w:rPr>
        <w:t xml:space="preserve"> </w:t>
      </w:r>
      <w:r>
        <w:rPr>
          <w:rFonts w:hint="eastAsia" w:eastAsia="方正仿宋简体"/>
          <w:color w:val="000000"/>
          <w:sz w:val="32"/>
          <w:szCs w:val="32"/>
        </w:rPr>
        <w:t>支出决算为2.67万元，完成预算84.49%，决算数小于预算数的原因是部分医疗保险未拨付到位。</w:t>
      </w:r>
    </w:p>
    <w:p>
      <w:pPr>
        <w:adjustRightInd w:val="0"/>
        <w:snapToGrid w:val="0"/>
        <w:spacing w:line="600" w:lineRule="exact"/>
        <w:ind w:firstLine="640"/>
        <w:rPr>
          <w:rFonts w:eastAsia="方正仿宋简体"/>
          <w:color w:val="000000"/>
          <w:sz w:val="32"/>
          <w:szCs w:val="32"/>
        </w:rPr>
      </w:pPr>
      <w:r>
        <w:rPr>
          <w:rStyle w:val="26"/>
          <w:rFonts w:hint="eastAsia" w:ascii="Times New Roman" w:hAnsi="Times New Roman" w:eastAsia="方正黑体简体" w:cs="Times New Roman"/>
          <w:b w:val="0"/>
          <w:bCs w:val="0"/>
        </w:rPr>
        <w:t xml:space="preserve">5. 卫生健康支出（类）行政事业单位医疗（款）公务员医疗补助（项）: </w:t>
      </w:r>
      <w:r>
        <w:rPr>
          <w:rFonts w:hint="eastAsia" w:eastAsia="方正仿宋简体"/>
          <w:color w:val="000000"/>
          <w:sz w:val="32"/>
          <w:szCs w:val="32"/>
        </w:rPr>
        <w:t>支出决算为0.49万元，完成预算100%，决算数等于预算数。</w:t>
      </w:r>
    </w:p>
    <w:p>
      <w:pPr>
        <w:adjustRightInd w:val="0"/>
        <w:snapToGrid w:val="0"/>
        <w:spacing w:line="600" w:lineRule="exact"/>
        <w:ind w:firstLine="640"/>
        <w:rPr>
          <w:rFonts w:eastAsia="方正仿宋简体"/>
          <w:color w:val="000000"/>
          <w:sz w:val="32"/>
          <w:szCs w:val="32"/>
        </w:rPr>
      </w:pPr>
      <w:r>
        <w:rPr>
          <w:rStyle w:val="26"/>
          <w:rFonts w:hint="eastAsia" w:ascii="Times New Roman" w:hAnsi="Times New Roman" w:eastAsia="方正黑体简体" w:cs="Times New Roman"/>
          <w:b w:val="0"/>
        </w:rPr>
        <w:t>6. 交通运输支出（类）公路水路运输（款）其他公路水路运输支出（项）</w:t>
      </w:r>
      <w:r>
        <w:rPr>
          <w:rStyle w:val="26"/>
          <w:rFonts w:hint="eastAsia" w:eastAsia="方正黑体简体" w:cs="Times New Roman"/>
          <w:b w:val="0"/>
          <w:highlight w:val="none"/>
          <w:lang w:eastAsia="zh-CN"/>
        </w:rPr>
        <w:t>：</w:t>
      </w:r>
      <w:r>
        <w:rPr>
          <w:rFonts w:hint="eastAsia" w:eastAsia="方正仿宋简体"/>
          <w:color w:val="000000"/>
          <w:sz w:val="32"/>
          <w:szCs w:val="32"/>
        </w:rPr>
        <w:t>支出决算为79.54万元，完成预算97.25%，决算数小于预算数的主要原因是部分经费未拨付。</w:t>
      </w:r>
    </w:p>
    <w:p>
      <w:pPr>
        <w:adjustRightInd w:val="0"/>
        <w:snapToGrid w:val="0"/>
        <w:spacing w:line="600" w:lineRule="exact"/>
        <w:ind w:firstLine="640"/>
        <w:rPr>
          <w:rFonts w:eastAsia="方正仿宋简体"/>
          <w:color w:val="000000"/>
          <w:sz w:val="32"/>
          <w:szCs w:val="32"/>
        </w:rPr>
      </w:pPr>
      <w:r>
        <w:rPr>
          <w:rStyle w:val="26"/>
          <w:rFonts w:hint="eastAsia" w:ascii="Times New Roman" w:hAnsi="Times New Roman" w:eastAsia="方正黑体简体" w:cs="Times New Roman"/>
          <w:b w:val="0"/>
          <w:bCs w:val="0"/>
        </w:rPr>
        <w:t>7. 住房保障支出（类）住房改革支出（款）住房公积金（项）</w:t>
      </w:r>
      <w:r>
        <w:rPr>
          <w:rStyle w:val="26"/>
          <w:rFonts w:hint="eastAsia" w:eastAsia="方正黑体简体" w:cs="Times New Roman"/>
          <w:b w:val="0"/>
          <w:bCs w:val="0"/>
          <w:highlight w:val="none"/>
          <w:lang w:eastAsia="zh-CN"/>
        </w:rPr>
        <w:t>：</w:t>
      </w:r>
      <w:r>
        <w:rPr>
          <w:rFonts w:hint="eastAsia" w:eastAsia="方正仿宋简体"/>
          <w:color w:val="000000"/>
          <w:sz w:val="32"/>
          <w:szCs w:val="32"/>
        </w:rPr>
        <w:t>支出决算为7.45万元，完成预算157.84%，决算数大于预算数的主要原因是2019年住房公积金部分未拨付，结转至2020年进行了拨付。</w:t>
      </w:r>
    </w:p>
    <w:p>
      <w:pPr>
        <w:tabs>
          <w:tab w:val="right" w:pos="8306"/>
        </w:tabs>
        <w:adjustRightInd w:val="0"/>
        <w:snapToGrid w:val="0"/>
        <w:spacing w:line="600" w:lineRule="exact"/>
        <w:ind w:firstLine="640"/>
        <w:outlineLvl w:val="1"/>
        <w:rPr>
          <w:rStyle w:val="26"/>
          <w:rFonts w:ascii="Times New Roman" w:hAnsi="Times New Roman" w:cs="Times New Roman"/>
        </w:rPr>
      </w:pPr>
      <w:r>
        <w:rPr>
          <w:rFonts w:eastAsia="方正黑体简体"/>
          <w:color w:val="000000"/>
          <w:sz w:val="32"/>
          <w:szCs w:val="32"/>
        </w:rPr>
        <w:t>六、一般公共预算财政拨款基本支出决算情况说明</w:t>
      </w:r>
      <w:bookmarkEnd w:id="37"/>
      <w:bookmarkEnd w:id="38"/>
      <w:r>
        <w:rPr>
          <w:rStyle w:val="26"/>
          <w:rFonts w:ascii="Times New Roman" w:hAnsi="Times New Roman" w:eastAsia="黑体" w:cs="Times New Roman"/>
          <w:b w:val="0"/>
        </w:rPr>
        <w:tab/>
      </w:r>
    </w:p>
    <w:p>
      <w:pPr>
        <w:adjustRightInd w:val="0"/>
        <w:snapToGrid w:val="0"/>
        <w:spacing w:line="600" w:lineRule="exact"/>
        <w:ind w:firstLine="645"/>
        <w:rPr>
          <w:rFonts w:eastAsia="方正仿宋简体"/>
          <w:color w:val="000000"/>
          <w:sz w:val="32"/>
          <w:szCs w:val="32"/>
        </w:rPr>
      </w:pPr>
      <w:bookmarkStart w:id="41" w:name="_Toc15377215"/>
      <w:bookmarkStart w:id="42" w:name="_Toc17103560"/>
      <w:r>
        <w:rPr>
          <w:rStyle w:val="14"/>
          <w:rFonts w:hint="eastAsia" w:eastAsia="方正仿宋简体"/>
          <w:b w:val="0"/>
          <w:bCs/>
          <w:color w:val="000000"/>
          <w:sz w:val="32"/>
          <w:szCs w:val="32"/>
        </w:rPr>
        <w:t>2020年一般公共预算财政拨款基本支出95.61万元，其中：</w:t>
      </w:r>
    </w:p>
    <w:p>
      <w:pPr>
        <w:adjustRightInd w:val="0"/>
        <w:snapToGrid w:val="0"/>
        <w:spacing w:line="600" w:lineRule="exact"/>
        <w:ind w:firstLine="640" w:firstLineChars="200"/>
        <w:rPr>
          <w:rFonts w:eastAsia="方正仿宋简体"/>
          <w:color w:val="000000"/>
          <w:sz w:val="32"/>
          <w:szCs w:val="32"/>
        </w:rPr>
      </w:pPr>
      <w:r>
        <w:rPr>
          <w:rFonts w:hint="eastAsia" w:eastAsia="方正仿宋简体"/>
          <w:color w:val="000000"/>
          <w:sz w:val="32"/>
          <w:szCs w:val="32"/>
        </w:rPr>
        <w:t>人员经费91.20万元，主要包括：基本工资、津贴补贴、奖金、绩效工资、机关事业单位基本养老保险缴费、职业年金缴费、职工基本医疗保险缴费、公务员医疗补助缴费、其他社会保障缴费、其他工资福利支出、生活补助、奖励金、住房公积金、其他对个人和家庭的补助支出等。</w:t>
      </w:r>
    </w:p>
    <w:p>
      <w:pPr>
        <w:adjustRightInd w:val="0"/>
        <w:snapToGrid w:val="0"/>
        <w:spacing w:line="600" w:lineRule="exact"/>
        <w:rPr>
          <w:rFonts w:eastAsia="方正仿宋简体"/>
          <w:color w:val="000000"/>
          <w:sz w:val="32"/>
          <w:szCs w:val="32"/>
        </w:rPr>
      </w:pPr>
      <w:r>
        <w:rPr>
          <w:rFonts w:eastAsia="方正仿宋简体"/>
          <w:color w:val="000000"/>
          <w:sz w:val="32"/>
          <w:szCs w:val="32"/>
        </w:rPr>
        <w:t>　　</w:t>
      </w:r>
      <w:r>
        <w:rPr>
          <w:rFonts w:hint="eastAsia" w:eastAsia="方正仿宋简体"/>
          <w:color w:val="000000"/>
          <w:sz w:val="32"/>
          <w:szCs w:val="32"/>
        </w:rPr>
        <w:t>公用经费4.41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24"/>
        <w:adjustRightInd w:val="0"/>
        <w:snapToGrid w:val="0"/>
        <w:spacing w:line="600" w:lineRule="exact"/>
        <w:ind w:left="640" w:firstLine="0" w:firstLineChars="0"/>
        <w:outlineLvl w:val="1"/>
        <w:rPr>
          <w:rFonts w:eastAsia="方正黑体简体"/>
          <w:color w:val="000000"/>
          <w:sz w:val="32"/>
          <w:szCs w:val="32"/>
        </w:rPr>
      </w:pPr>
      <w:r>
        <w:rPr>
          <w:rFonts w:eastAsia="方正黑体简体"/>
          <w:color w:val="000000"/>
          <w:sz w:val="32"/>
          <w:szCs w:val="32"/>
        </w:rPr>
        <w:t>七、“三公”经费财政拨款支出决算情况说明</w:t>
      </w:r>
      <w:bookmarkEnd w:id="41"/>
      <w:bookmarkEnd w:id="42"/>
    </w:p>
    <w:p>
      <w:pPr>
        <w:adjustRightInd w:val="0"/>
        <w:snapToGrid w:val="0"/>
        <w:spacing w:line="600" w:lineRule="exact"/>
        <w:ind w:firstLine="640"/>
        <w:outlineLvl w:val="1"/>
        <w:rPr>
          <w:rStyle w:val="26"/>
          <w:rFonts w:ascii="Times New Roman" w:hAnsi="Times New Roman" w:eastAsia="方正黑体简体" w:cs="Times New Roman"/>
          <w:b w:val="0"/>
        </w:rPr>
      </w:pPr>
      <w:bookmarkStart w:id="43" w:name="_Toc17103561"/>
      <w:bookmarkStart w:id="44" w:name="_Toc15377218"/>
      <w:r>
        <w:rPr>
          <w:rStyle w:val="26"/>
          <w:rFonts w:hint="eastAsia" w:ascii="Times New Roman" w:hAnsi="Times New Roman" w:eastAsia="方正黑体简体" w:cs="Times New Roman"/>
          <w:b w:val="0"/>
        </w:rPr>
        <w:t>（一）“三公”经费财政拨款支出决算总体情况说明</w:t>
      </w:r>
    </w:p>
    <w:p>
      <w:pPr>
        <w:adjustRightInd w:val="0"/>
        <w:snapToGrid w:val="0"/>
        <w:spacing w:line="600" w:lineRule="exact"/>
        <w:ind w:firstLine="640"/>
        <w:outlineLvl w:val="1"/>
        <w:rPr>
          <w:rFonts w:eastAsia="方正仿宋简体"/>
          <w:color w:val="000000"/>
          <w:sz w:val="32"/>
          <w:szCs w:val="32"/>
        </w:rPr>
      </w:pPr>
      <w:r>
        <w:rPr>
          <w:rFonts w:hint="eastAsia" w:eastAsia="方正仿宋简体"/>
          <w:color w:val="000000"/>
          <w:sz w:val="32"/>
          <w:szCs w:val="32"/>
        </w:rPr>
        <w:t>2020年“三公”经费财政拨款支出决算为0万元，完成预算0%，决算数小于预算数的主要原因是认真贯彻落实中央八项规定及省委省政府十项规定等要求，严格控制接待规模及接待标准，厉行勤俭节约。</w:t>
      </w:r>
    </w:p>
    <w:p>
      <w:pPr>
        <w:adjustRightInd w:val="0"/>
        <w:snapToGrid w:val="0"/>
        <w:spacing w:line="600" w:lineRule="exact"/>
        <w:ind w:firstLine="640"/>
        <w:outlineLvl w:val="1"/>
        <w:rPr>
          <w:rStyle w:val="26"/>
          <w:rFonts w:ascii="Times New Roman" w:hAnsi="Times New Roman" w:eastAsia="方正黑体简体" w:cs="Times New Roman"/>
          <w:b w:val="0"/>
        </w:rPr>
      </w:pPr>
      <w:r>
        <w:rPr>
          <w:rStyle w:val="26"/>
          <w:rFonts w:hint="eastAsia" w:ascii="Times New Roman" w:hAnsi="Times New Roman" w:eastAsia="方正黑体简体" w:cs="Times New Roman"/>
          <w:b w:val="0"/>
        </w:rPr>
        <w:t>（二）“三公”经费财政拨款支出决算具体情况说明</w:t>
      </w:r>
    </w:p>
    <w:p>
      <w:pPr>
        <w:adjustRightInd w:val="0"/>
        <w:snapToGrid w:val="0"/>
        <w:spacing w:line="600" w:lineRule="exact"/>
        <w:ind w:firstLine="640"/>
        <w:outlineLvl w:val="1"/>
        <w:rPr>
          <w:rFonts w:eastAsia="方正仿宋简体"/>
          <w:color w:val="000000"/>
          <w:sz w:val="32"/>
          <w:szCs w:val="32"/>
        </w:rPr>
      </w:pPr>
      <w:r>
        <w:rPr>
          <w:rFonts w:hint="eastAsia" w:eastAsia="方正仿宋简体"/>
          <w:color w:val="000000"/>
          <w:sz w:val="32"/>
          <w:szCs w:val="32"/>
        </w:rPr>
        <w:t>2020年“三公”经费财政拨款支出决算中，因公出国（境）费支出决算0万元，占0%；公务用车购置及运行维护费支出决算0万元，占0%；公务接待费支出决算0万元，占0%。具体情况如下：</w:t>
      </w:r>
    </w:p>
    <w:p>
      <w:pPr>
        <w:adjustRightInd w:val="0"/>
        <w:snapToGrid w:val="0"/>
        <w:spacing w:line="600" w:lineRule="exact"/>
        <w:ind w:firstLine="640"/>
        <w:outlineLvl w:val="1"/>
        <w:rPr>
          <w:rFonts w:eastAsia="方正仿宋简体"/>
          <w:color w:val="000000"/>
          <w:sz w:val="32"/>
          <w:szCs w:val="32"/>
        </w:rPr>
      </w:pPr>
      <w:r>
        <w:rPr>
          <w:rFonts w:hint="eastAsia" w:eastAsia="方正仿宋简体"/>
          <w:color w:val="000000"/>
          <w:sz w:val="32"/>
          <w:szCs w:val="32"/>
        </w:rPr>
        <w:t xml:space="preserve"> “三公”经费财政拨款支出无数据，故不绘制“三公”经费财政拨款支出结构饼状图。</w:t>
      </w:r>
    </w:p>
    <w:p>
      <w:pPr>
        <w:adjustRightInd w:val="0"/>
        <w:snapToGrid w:val="0"/>
        <w:spacing w:line="600" w:lineRule="exact"/>
        <w:ind w:firstLine="640"/>
        <w:outlineLvl w:val="1"/>
        <w:rPr>
          <w:rFonts w:eastAsia="方正楷体简体"/>
          <w:b/>
          <w:color w:val="000000"/>
          <w:sz w:val="32"/>
          <w:szCs w:val="32"/>
        </w:rPr>
      </w:pPr>
      <w:r>
        <w:rPr>
          <w:rStyle w:val="26"/>
          <w:rFonts w:hint="eastAsia" w:ascii="Times New Roman" w:hAnsi="Times New Roman" w:eastAsia="方正黑体简体" w:cs="Times New Roman"/>
          <w:b w:val="0"/>
        </w:rPr>
        <w:t>1.因公出国（境）经费支出</w:t>
      </w:r>
      <w:r>
        <w:rPr>
          <w:rFonts w:hint="eastAsia" w:eastAsia="方正仿宋简体"/>
          <w:color w:val="000000"/>
          <w:sz w:val="32"/>
          <w:szCs w:val="32"/>
        </w:rPr>
        <w:t>0万元，完成预算0%。全年安排因公出国（境）团组0次，出国（境）0人。主要原因是本单位未安排因公出国（境）。</w:t>
      </w:r>
    </w:p>
    <w:p>
      <w:pPr>
        <w:adjustRightInd w:val="0"/>
        <w:snapToGrid w:val="0"/>
        <w:spacing w:line="600" w:lineRule="exact"/>
        <w:ind w:firstLine="640"/>
        <w:outlineLvl w:val="1"/>
        <w:rPr>
          <w:rFonts w:eastAsia="方正仿宋简体"/>
          <w:color w:val="000000"/>
          <w:sz w:val="32"/>
          <w:szCs w:val="32"/>
        </w:rPr>
      </w:pPr>
      <w:r>
        <w:rPr>
          <w:rStyle w:val="26"/>
          <w:rFonts w:hint="eastAsia" w:ascii="Times New Roman" w:hAnsi="Times New Roman" w:eastAsia="方正黑体简体" w:cs="Times New Roman"/>
          <w:b w:val="0"/>
        </w:rPr>
        <w:t>2.公务用车购置及运行维护费支出</w:t>
      </w:r>
      <w:r>
        <w:rPr>
          <w:rFonts w:hint="eastAsia" w:eastAsia="方正仿宋简体"/>
          <w:color w:val="000000"/>
          <w:sz w:val="32"/>
          <w:szCs w:val="32"/>
        </w:rPr>
        <w:t>0万元</w:t>
      </w:r>
      <w:r>
        <w:rPr>
          <w:rFonts w:hint="eastAsia" w:eastAsia="方正仿宋简体"/>
          <w:color w:val="000000"/>
          <w:sz w:val="32"/>
          <w:szCs w:val="32"/>
          <w:highlight w:val="none"/>
          <w:lang w:eastAsia="zh-CN"/>
        </w:rPr>
        <w:t>，</w:t>
      </w:r>
      <w:r>
        <w:rPr>
          <w:rFonts w:hint="eastAsia" w:eastAsia="方正仿宋简体"/>
          <w:color w:val="000000"/>
          <w:sz w:val="32"/>
          <w:szCs w:val="32"/>
        </w:rPr>
        <w:t>完成预算0%。主要原因是本单位一直没有公车，故没有产生公务用车运行维护费。</w:t>
      </w:r>
    </w:p>
    <w:p>
      <w:pPr>
        <w:adjustRightInd w:val="0"/>
        <w:snapToGrid w:val="0"/>
        <w:spacing w:line="600" w:lineRule="exact"/>
        <w:ind w:firstLine="640"/>
        <w:outlineLvl w:val="1"/>
        <w:rPr>
          <w:rFonts w:eastAsia="方正仿宋简体"/>
          <w:color w:val="000000"/>
          <w:sz w:val="32"/>
          <w:szCs w:val="32"/>
        </w:rPr>
      </w:pPr>
      <w:r>
        <w:rPr>
          <w:rFonts w:hint="eastAsia" w:eastAsia="方正仿宋简体"/>
          <w:color w:val="000000"/>
          <w:sz w:val="32"/>
          <w:szCs w:val="32"/>
        </w:rPr>
        <w:t>其中：公务用车购置支出0万元。全年按规定更新购置公务用车0辆。截至2020年12月底，单位共有公务用车0辆。</w:t>
      </w:r>
    </w:p>
    <w:p>
      <w:pPr>
        <w:adjustRightInd w:val="0"/>
        <w:snapToGrid w:val="0"/>
        <w:spacing w:line="600" w:lineRule="exact"/>
        <w:ind w:firstLine="640"/>
        <w:outlineLvl w:val="1"/>
        <w:rPr>
          <w:rFonts w:eastAsia="方正仿宋简体"/>
          <w:color w:val="000000"/>
          <w:sz w:val="32"/>
          <w:szCs w:val="32"/>
        </w:rPr>
      </w:pPr>
      <w:r>
        <w:rPr>
          <w:rStyle w:val="26"/>
          <w:rFonts w:hint="eastAsia" w:ascii="Times New Roman" w:hAnsi="Times New Roman" w:eastAsia="方正黑体简体" w:cs="Times New Roman"/>
          <w:b w:val="0"/>
        </w:rPr>
        <w:t>公务用车运行维护费支出</w:t>
      </w:r>
      <w:r>
        <w:rPr>
          <w:rFonts w:hint="eastAsia" w:eastAsia="方正仿宋简体"/>
          <w:color w:val="000000"/>
          <w:sz w:val="32"/>
          <w:szCs w:val="32"/>
        </w:rPr>
        <w:t>0万元。</w:t>
      </w:r>
    </w:p>
    <w:p>
      <w:pPr>
        <w:adjustRightInd w:val="0"/>
        <w:snapToGrid w:val="0"/>
        <w:spacing w:line="600" w:lineRule="exact"/>
        <w:ind w:firstLine="640"/>
        <w:outlineLvl w:val="1"/>
        <w:rPr>
          <w:rFonts w:eastAsia="方正仿宋简体"/>
          <w:color w:val="000000"/>
          <w:sz w:val="32"/>
          <w:szCs w:val="32"/>
        </w:rPr>
      </w:pPr>
      <w:r>
        <w:rPr>
          <w:rStyle w:val="26"/>
          <w:rFonts w:hint="eastAsia" w:ascii="Times New Roman" w:hAnsi="Times New Roman" w:eastAsia="方正黑体简体" w:cs="Times New Roman"/>
          <w:b w:val="0"/>
        </w:rPr>
        <w:t>3.公务接待费支出</w:t>
      </w:r>
      <w:r>
        <w:rPr>
          <w:rFonts w:hint="eastAsia" w:eastAsia="方正仿宋简体"/>
          <w:color w:val="000000"/>
          <w:sz w:val="32"/>
          <w:szCs w:val="32"/>
        </w:rPr>
        <w:t>0万元，完成预算0%。公务接待费支出决算比2019年无变化。主要原因是未进行公务接待。</w:t>
      </w:r>
    </w:p>
    <w:p>
      <w:pPr>
        <w:adjustRightInd w:val="0"/>
        <w:snapToGrid w:val="0"/>
        <w:spacing w:line="600" w:lineRule="exact"/>
        <w:ind w:firstLine="640"/>
        <w:outlineLvl w:val="1"/>
        <w:rPr>
          <w:rFonts w:eastAsia="方正仿宋简体"/>
          <w:color w:val="000000"/>
          <w:sz w:val="32"/>
          <w:szCs w:val="32"/>
        </w:rPr>
      </w:pPr>
      <w:r>
        <w:rPr>
          <w:rFonts w:hint="eastAsia" w:eastAsia="方正仿宋简体"/>
          <w:color w:val="000000"/>
          <w:sz w:val="32"/>
          <w:szCs w:val="32"/>
        </w:rPr>
        <w:t>主要用于执行公务、开展业务活动开支的交通费、住宿费、用餐费等。国内公务接待0批次，0人次（不包括陪同人员），共计支出0万元。其中：</w:t>
      </w:r>
    </w:p>
    <w:p>
      <w:pPr>
        <w:adjustRightInd w:val="0"/>
        <w:snapToGrid w:val="0"/>
        <w:spacing w:line="600" w:lineRule="exact"/>
        <w:ind w:firstLine="640"/>
        <w:outlineLvl w:val="1"/>
        <w:rPr>
          <w:rFonts w:eastAsia="方正仿宋简体"/>
          <w:color w:val="000000"/>
          <w:sz w:val="32"/>
          <w:szCs w:val="32"/>
        </w:rPr>
      </w:pPr>
      <w:r>
        <w:rPr>
          <w:rStyle w:val="26"/>
          <w:rFonts w:hint="eastAsia" w:ascii="Times New Roman" w:hAnsi="Times New Roman" w:eastAsia="方正黑体简体" w:cs="Times New Roman"/>
          <w:b w:val="0"/>
        </w:rPr>
        <w:t>外事接待支出</w:t>
      </w:r>
      <w:r>
        <w:rPr>
          <w:rFonts w:hint="eastAsia" w:eastAsia="方正仿宋简体"/>
          <w:color w:val="000000"/>
          <w:sz w:val="32"/>
          <w:szCs w:val="32"/>
        </w:rPr>
        <w:t>0万元，外事接待0批次，0人，共计支出0万元。主要原因是未安排外事接待。</w:t>
      </w:r>
    </w:p>
    <w:p>
      <w:pPr>
        <w:adjustRightInd w:val="0"/>
        <w:snapToGrid w:val="0"/>
        <w:spacing w:line="600" w:lineRule="exact"/>
        <w:ind w:firstLine="640"/>
        <w:outlineLvl w:val="1"/>
        <w:rPr>
          <w:rFonts w:eastAsia="方正仿宋简体"/>
          <w:color w:val="000000"/>
          <w:sz w:val="32"/>
          <w:szCs w:val="32"/>
        </w:rPr>
      </w:pPr>
      <w:r>
        <w:rPr>
          <w:rStyle w:val="26"/>
          <w:rFonts w:hint="eastAsia" w:ascii="Times New Roman" w:hAnsi="Times New Roman" w:eastAsia="方正黑体简体" w:cs="Times New Roman"/>
          <w:b w:val="0"/>
        </w:rPr>
        <w:t>其他国内公务接待支出</w:t>
      </w:r>
      <w:r>
        <w:rPr>
          <w:rFonts w:hint="eastAsia" w:eastAsia="方正仿宋简体"/>
          <w:color w:val="000000"/>
          <w:sz w:val="32"/>
          <w:szCs w:val="32"/>
        </w:rPr>
        <w:t>0万元，主要原因是未安排其他国内公务接待。</w:t>
      </w:r>
    </w:p>
    <w:p>
      <w:pPr>
        <w:pStyle w:val="24"/>
        <w:adjustRightInd w:val="0"/>
        <w:snapToGrid w:val="0"/>
        <w:spacing w:line="600" w:lineRule="exact"/>
        <w:ind w:left="640" w:firstLine="0" w:firstLineChars="0"/>
        <w:outlineLvl w:val="1"/>
        <w:rPr>
          <w:rFonts w:eastAsia="方正黑体简体"/>
          <w:color w:val="000000"/>
          <w:sz w:val="32"/>
          <w:szCs w:val="32"/>
        </w:rPr>
      </w:pPr>
      <w:r>
        <w:rPr>
          <w:rFonts w:eastAsia="方正黑体简体"/>
          <w:color w:val="000000"/>
          <w:sz w:val="32"/>
          <w:szCs w:val="32"/>
        </w:rPr>
        <w:t>八、政府性基金预算支出决算情况说明</w:t>
      </w:r>
      <w:bookmarkEnd w:id="43"/>
      <w:bookmarkEnd w:id="44"/>
    </w:p>
    <w:p>
      <w:pPr>
        <w:pStyle w:val="24"/>
        <w:adjustRightInd w:val="0"/>
        <w:snapToGrid w:val="0"/>
        <w:spacing w:line="600" w:lineRule="exact"/>
        <w:ind w:left="640" w:firstLine="0" w:firstLineChars="0"/>
        <w:outlineLvl w:val="1"/>
        <w:rPr>
          <w:rFonts w:eastAsia="仿宋_GB2312"/>
          <w:color w:val="000000"/>
          <w:sz w:val="32"/>
          <w:szCs w:val="32"/>
        </w:rPr>
      </w:pPr>
      <w:bookmarkStart w:id="45" w:name="_Toc15377219"/>
      <w:bookmarkStart w:id="46" w:name="_Toc17103562"/>
      <w:r>
        <w:rPr>
          <w:rStyle w:val="14"/>
          <w:rFonts w:hint="eastAsia" w:eastAsia="方正仿宋简体"/>
          <w:b w:val="0"/>
          <w:bCs/>
          <w:color w:val="000000"/>
          <w:sz w:val="32"/>
          <w:szCs w:val="32"/>
        </w:rPr>
        <w:t>2020年政府性基金预算拨款支出0万元。</w:t>
      </w:r>
    </w:p>
    <w:p>
      <w:pPr>
        <w:pStyle w:val="24"/>
        <w:adjustRightInd w:val="0"/>
        <w:snapToGrid w:val="0"/>
        <w:spacing w:line="600" w:lineRule="exact"/>
        <w:ind w:left="640" w:firstLine="0" w:firstLineChars="0"/>
        <w:outlineLvl w:val="1"/>
        <w:rPr>
          <w:rFonts w:eastAsia="方正黑体简体"/>
          <w:color w:val="000000"/>
          <w:sz w:val="32"/>
          <w:szCs w:val="32"/>
        </w:rPr>
      </w:pPr>
      <w:r>
        <w:rPr>
          <w:rFonts w:eastAsia="方正黑体简体"/>
          <w:color w:val="000000"/>
          <w:sz w:val="32"/>
          <w:szCs w:val="32"/>
        </w:rPr>
        <w:t>九、国有资本经营预算支出决算情况说明</w:t>
      </w:r>
      <w:bookmarkEnd w:id="45"/>
      <w:bookmarkEnd w:id="46"/>
    </w:p>
    <w:p>
      <w:pPr>
        <w:adjustRightInd w:val="0"/>
        <w:snapToGrid w:val="0"/>
        <w:spacing w:line="600" w:lineRule="exact"/>
        <w:ind w:firstLine="640"/>
        <w:rPr>
          <w:rFonts w:eastAsia="仿宋_GB2312"/>
          <w:color w:val="000000"/>
          <w:sz w:val="32"/>
          <w:szCs w:val="32"/>
        </w:rPr>
      </w:pPr>
      <w:r>
        <w:rPr>
          <w:rStyle w:val="14"/>
          <w:rFonts w:hint="eastAsia" w:eastAsia="方正仿宋简体"/>
          <w:b w:val="0"/>
          <w:bCs/>
          <w:color w:val="000000"/>
          <w:sz w:val="32"/>
          <w:szCs w:val="32"/>
        </w:rPr>
        <w:t>2020年</w:t>
      </w:r>
      <w:r>
        <w:rPr>
          <w:rFonts w:eastAsia="仿宋_GB2312"/>
          <w:color w:val="000000"/>
          <w:sz w:val="32"/>
          <w:szCs w:val="32"/>
        </w:rPr>
        <w:t>国有资本经营预算拨款支出</w:t>
      </w:r>
      <w:r>
        <w:rPr>
          <w:rStyle w:val="14"/>
          <w:rFonts w:eastAsia="方正仿宋简体"/>
          <w:b w:val="0"/>
          <w:bCs/>
          <w:color w:val="000000"/>
          <w:sz w:val="32"/>
          <w:szCs w:val="32"/>
        </w:rPr>
        <w:t>0</w:t>
      </w:r>
      <w:r>
        <w:rPr>
          <w:rFonts w:eastAsia="仿宋_GB2312"/>
          <w:color w:val="000000"/>
          <w:sz w:val="32"/>
          <w:szCs w:val="32"/>
        </w:rPr>
        <w:t>万元。</w:t>
      </w:r>
    </w:p>
    <w:p>
      <w:pPr>
        <w:pStyle w:val="24"/>
        <w:adjustRightInd w:val="0"/>
        <w:snapToGrid w:val="0"/>
        <w:spacing w:line="600" w:lineRule="exact"/>
        <w:ind w:left="640" w:firstLine="0" w:firstLineChars="0"/>
        <w:outlineLvl w:val="1"/>
        <w:rPr>
          <w:rFonts w:eastAsia="方正黑体简体"/>
          <w:color w:val="000000"/>
          <w:sz w:val="32"/>
          <w:szCs w:val="32"/>
        </w:rPr>
      </w:pPr>
      <w:bookmarkStart w:id="47" w:name="_Toc17103563"/>
      <w:r>
        <w:rPr>
          <w:rFonts w:eastAsia="方正黑体简体"/>
          <w:color w:val="000000"/>
          <w:sz w:val="32"/>
          <w:szCs w:val="32"/>
        </w:rPr>
        <w:t>十、预算绩效情况说明</w:t>
      </w:r>
      <w:bookmarkEnd w:id="47"/>
    </w:p>
    <w:p>
      <w:pPr>
        <w:numPr>
          <w:ilvl w:val="0"/>
          <w:numId w:val="2"/>
        </w:numPr>
        <w:adjustRightInd w:val="0"/>
        <w:snapToGrid w:val="0"/>
        <w:spacing w:line="600" w:lineRule="exact"/>
        <w:ind w:firstLine="640" w:firstLineChars="200"/>
        <w:rPr>
          <w:rStyle w:val="26"/>
          <w:rFonts w:ascii="Times New Roman" w:hAnsi="Times New Roman" w:eastAsia="方正黑体简体" w:cs="Times New Roman"/>
          <w:b w:val="0"/>
          <w:bCs w:val="0"/>
        </w:rPr>
      </w:pPr>
      <w:r>
        <w:rPr>
          <w:rStyle w:val="26"/>
          <w:rFonts w:ascii="Times New Roman" w:hAnsi="Times New Roman" w:eastAsia="方正黑体简体" w:cs="Times New Roman"/>
          <w:b w:val="0"/>
          <w:bCs w:val="0"/>
        </w:rPr>
        <w:t>预算绩效管理工作开展情况</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根据预算绩效管理要求，本单位在年初预算编制阶段，组织对项目开展了预算事前绩效评估，本单位年初预算中无大于50万的项目预算。</w:t>
      </w:r>
    </w:p>
    <w:p>
      <w:pPr>
        <w:adjustRightInd w:val="0"/>
        <w:snapToGrid w:val="0"/>
        <w:spacing w:line="600" w:lineRule="exact"/>
        <w:ind w:firstLine="640" w:firstLineChars="200"/>
        <w:rPr>
          <w:rFonts w:eastAsia="方正仿宋简体"/>
          <w:color w:val="000000"/>
          <w:kern w:val="0"/>
          <w:szCs w:val="21"/>
        </w:rPr>
      </w:pPr>
      <w:r>
        <w:rPr>
          <w:rFonts w:hint="eastAsia" w:eastAsia="方正仿宋简体"/>
          <w:sz w:val="32"/>
          <w:szCs w:val="32"/>
        </w:rPr>
        <w:t>本部门按要求对2020年部门整体支出开展绩效自评，从评价情况来看2020年整体支出，严格按照国家的相关财务管理制度，财务制度健全、会计核算规范，依照计划管理使用，整体支出对保障全区渡口管理及监管工作的正常运行、贯彻执行省、市、区的方针、政策、法律法规，发挥了重要作用，强化部门的责任，取得了一定的成绩。本部门未自行组织项目绩效评价。</w:t>
      </w:r>
    </w:p>
    <w:p>
      <w:pPr>
        <w:numPr>
          <w:ilvl w:val="0"/>
          <w:numId w:val="2"/>
        </w:numPr>
        <w:adjustRightInd w:val="0"/>
        <w:snapToGrid w:val="0"/>
        <w:spacing w:line="600" w:lineRule="exact"/>
        <w:ind w:firstLine="640" w:firstLineChars="200"/>
        <w:rPr>
          <w:rStyle w:val="26"/>
          <w:rFonts w:ascii="Times New Roman" w:hAnsi="Times New Roman" w:eastAsia="方正黑体简体" w:cs="Times New Roman"/>
          <w:b w:val="0"/>
        </w:rPr>
      </w:pPr>
      <w:r>
        <w:rPr>
          <w:rStyle w:val="26"/>
          <w:rFonts w:ascii="Times New Roman" w:hAnsi="Times New Roman" w:eastAsia="方正黑体简体" w:cs="Times New Roman"/>
          <w:b w:val="0"/>
        </w:rPr>
        <w:t>部门开展绩效评价结果</w:t>
      </w:r>
    </w:p>
    <w:p>
      <w:pPr>
        <w:adjustRightInd w:val="0"/>
        <w:snapToGrid w:val="0"/>
        <w:spacing w:line="600" w:lineRule="exact"/>
        <w:ind w:firstLine="640" w:firstLineChars="200"/>
        <w:rPr>
          <w:rFonts w:eastAsia="方正仿宋简体"/>
          <w:sz w:val="32"/>
          <w:szCs w:val="32"/>
        </w:rPr>
      </w:pPr>
      <w:r>
        <w:rPr>
          <w:rFonts w:eastAsia="方正仿宋简体"/>
          <w:sz w:val="32"/>
          <w:szCs w:val="32"/>
        </w:rPr>
        <w:t>本部门按要求对</w:t>
      </w:r>
      <w:r>
        <w:rPr>
          <w:rStyle w:val="14"/>
          <w:rFonts w:eastAsia="方正仿宋简体"/>
          <w:b w:val="0"/>
          <w:bCs/>
          <w:color w:val="000000"/>
          <w:sz w:val="32"/>
          <w:szCs w:val="32"/>
        </w:rPr>
        <w:t>2020年</w:t>
      </w:r>
      <w:r>
        <w:rPr>
          <w:rFonts w:eastAsia="方正仿宋简体"/>
          <w:sz w:val="32"/>
          <w:szCs w:val="32"/>
        </w:rPr>
        <w:t>部门整体支出绩效评价情况开展了自评，《</w:t>
      </w:r>
      <w:r>
        <w:rPr>
          <w:rFonts w:hint="eastAsia" w:eastAsia="方正仿宋简体"/>
          <w:sz w:val="32"/>
          <w:szCs w:val="32"/>
        </w:rPr>
        <w:t>资阳市雁江区渡口管理所</w:t>
      </w:r>
      <w:r>
        <w:rPr>
          <w:rFonts w:eastAsia="方正仿宋简体"/>
          <w:sz w:val="32"/>
          <w:szCs w:val="32"/>
        </w:rPr>
        <w:t>关于</w:t>
      </w:r>
      <w:r>
        <w:rPr>
          <w:rStyle w:val="14"/>
          <w:rFonts w:eastAsia="方正仿宋简体"/>
          <w:b w:val="0"/>
          <w:bCs/>
          <w:color w:val="000000"/>
          <w:sz w:val="32"/>
          <w:szCs w:val="32"/>
        </w:rPr>
        <w:t>2020年</w:t>
      </w:r>
      <w:r>
        <w:rPr>
          <w:rFonts w:eastAsia="方正仿宋简体"/>
          <w:sz w:val="32"/>
          <w:szCs w:val="32"/>
        </w:rPr>
        <w:t>部门整体支出绩效评价报告》见附件。</w:t>
      </w:r>
      <w:r>
        <w:rPr>
          <w:rFonts w:hint="eastAsia" w:eastAsia="方正仿宋简体"/>
          <w:sz w:val="32"/>
          <w:szCs w:val="32"/>
        </w:rPr>
        <w:t>本单位年初预算中无大于50万的项目预算，本单位无大于50万的项目支出，本部门未自行组织对项目开展绩效评价。</w:t>
      </w:r>
    </w:p>
    <w:p>
      <w:pPr>
        <w:pStyle w:val="24"/>
        <w:adjustRightInd w:val="0"/>
        <w:snapToGrid w:val="0"/>
        <w:spacing w:line="600" w:lineRule="exact"/>
        <w:ind w:left="640" w:firstLine="0" w:firstLineChars="0"/>
        <w:outlineLvl w:val="1"/>
        <w:rPr>
          <w:rFonts w:eastAsia="方正黑体简体"/>
          <w:color w:val="000000"/>
          <w:sz w:val="32"/>
          <w:szCs w:val="32"/>
        </w:rPr>
      </w:pPr>
      <w:bookmarkStart w:id="48" w:name="_Toc15377221"/>
      <w:bookmarkStart w:id="49" w:name="_Toc17103564"/>
      <w:r>
        <w:rPr>
          <w:rFonts w:eastAsia="方正黑体简体"/>
          <w:color w:val="000000"/>
          <w:sz w:val="32"/>
          <w:szCs w:val="32"/>
        </w:rPr>
        <w:t>十一、其他重要事项的情况说明</w:t>
      </w:r>
      <w:bookmarkEnd w:id="48"/>
      <w:bookmarkEnd w:id="49"/>
    </w:p>
    <w:p>
      <w:pPr>
        <w:adjustRightInd w:val="0"/>
        <w:snapToGrid w:val="0"/>
        <w:spacing w:line="600" w:lineRule="exact"/>
        <w:ind w:firstLine="643" w:firstLineChars="200"/>
        <w:outlineLvl w:val="2"/>
        <w:rPr>
          <w:rFonts w:eastAsia="方正楷体简体"/>
          <w:b/>
          <w:color w:val="000000"/>
          <w:sz w:val="32"/>
          <w:szCs w:val="32"/>
        </w:rPr>
      </w:pPr>
      <w:bookmarkStart w:id="50" w:name="_Toc15377222"/>
      <w:r>
        <w:rPr>
          <w:rFonts w:eastAsia="方正楷体简体"/>
          <w:b/>
          <w:color w:val="000000"/>
          <w:sz w:val="32"/>
          <w:szCs w:val="32"/>
        </w:rPr>
        <w:t>（一）</w:t>
      </w:r>
      <w:r>
        <w:rPr>
          <w:rStyle w:val="26"/>
          <w:rFonts w:ascii="Times New Roman" w:hAnsi="Times New Roman" w:eastAsia="方正黑体简体" w:cs="Times New Roman"/>
          <w:b w:val="0"/>
        </w:rPr>
        <w:t>机关运行经费支出情况</w:t>
      </w:r>
      <w:bookmarkEnd w:id="50"/>
    </w:p>
    <w:p>
      <w:pPr>
        <w:adjustRightInd w:val="0"/>
        <w:snapToGrid w:val="0"/>
        <w:spacing w:line="600" w:lineRule="exact"/>
        <w:ind w:firstLine="640" w:firstLineChars="200"/>
        <w:rPr>
          <w:rFonts w:eastAsia="方正仿宋简体"/>
          <w:b/>
          <w:color w:val="000000"/>
          <w:sz w:val="32"/>
          <w:szCs w:val="32"/>
        </w:rPr>
      </w:pPr>
      <w:bookmarkStart w:id="51" w:name="_Toc15377223"/>
      <w:r>
        <w:rPr>
          <w:rStyle w:val="14"/>
          <w:rFonts w:hint="eastAsia" w:eastAsia="方正仿宋简体"/>
          <w:b w:val="0"/>
          <w:bCs/>
          <w:color w:val="000000"/>
          <w:sz w:val="32"/>
          <w:szCs w:val="32"/>
        </w:rPr>
        <w:t>2020年，机关运行经费支出4.41万元，比2019年7.51万元减少3.1万元，下降41.28%。主要原因是财政资金紧张，未及时拨付公用经费。</w:t>
      </w:r>
    </w:p>
    <w:p>
      <w:pPr>
        <w:autoSpaceDE w:val="0"/>
        <w:autoSpaceDN w:val="0"/>
        <w:adjustRightInd w:val="0"/>
        <w:snapToGrid w:val="0"/>
        <w:spacing w:line="600" w:lineRule="exact"/>
        <w:ind w:firstLine="643" w:firstLineChars="200"/>
        <w:jc w:val="left"/>
        <w:outlineLvl w:val="2"/>
        <w:rPr>
          <w:rFonts w:eastAsia="方正楷体简体"/>
          <w:b/>
          <w:color w:val="000000"/>
          <w:sz w:val="32"/>
          <w:szCs w:val="32"/>
        </w:rPr>
      </w:pPr>
      <w:r>
        <w:rPr>
          <w:rFonts w:eastAsia="方正楷体简体"/>
          <w:b/>
          <w:color w:val="000000"/>
          <w:sz w:val="32"/>
          <w:szCs w:val="32"/>
        </w:rPr>
        <w:t>（二）</w:t>
      </w:r>
      <w:r>
        <w:rPr>
          <w:rStyle w:val="26"/>
          <w:rFonts w:ascii="Times New Roman" w:hAnsi="Times New Roman" w:eastAsia="方正黑体简体" w:cs="Times New Roman"/>
          <w:b w:val="0"/>
        </w:rPr>
        <w:t>政府采购支出情况</w:t>
      </w:r>
      <w:bookmarkEnd w:id="51"/>
    </w:p>
    <w:p>
      <w:pPr>
        <w:adjustRightInd w:val="0"/>
        <w:snapToGrid w:val="0"/>
        <w:spacing w:line="600" w:lineRule="exact"/>
        <w:ind w:firstLine="640" w:firstLineChars="200"/>
        <w:rPr>
          <w:rFonts w:eastAsia="方正仿宋简体"/>
          <w:color w:val="000000"/>
          <w:sz w:val="32"/>
          <w:szCs w:val="32"/>
        </w:rPr>
      </w:pPr>
      <w:r>
        <w:rPr>
          <w:rStyle w:val="14"/>
          <w:rFonts w:hint="eastAsia" w:eastAsia="方正仿宋简体"/>
          <w:b w:val="0"/>
          <w:bCs/>
          <w:color w:val="000000"/>
          <w:sz w:val="32"/>
          <w:szCs w:val="32"/>
        </w:rPr>
        <w:t>2020年，资阳市雁江区渡口管理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napToGrid w:val="0"/>
        <w:spacing w:line="600" w:lineRule="exact"/>
        <w:ind w:firstLine="643" w:firstLineChars="200"/>
        <w:jc w:val="left"/>
        <w:outlineLvl w:val="2"/>
        <w:rPr>
          <w:rFonts w:eastAsia="方正楷体简体"/>
          <w:b/>
          <w:color w:val="000000"/>
          <w:sz w:val="32"/>
          <w:szCs w:val="32"/>
        </w:rPr>
      </w:pPr>
      <w:bookmarkStart w:id="52" w:name="_Toc15377224"/>
      <w:r>
        <w:rPr>
          <w:rFonts w:eastAsia="方正楷体简体"/>
          <w:b/>
          <w:color w:val="000000"/>
          <w:sz w:val="32"/>
          <w:szCs w:val="32"/>
        </w:rPr>
        <w:t>（三）</w:t>
      </w:r>
      <w:r>
        <w:rPr>
          <w:rStyle w:val="26"/>
          <w:rFonts w:ascii="Times New Roman" w:hAnsi="Times New Roman" w:eastAsia="方正黑体简体" w:cs="Times New Roman"/>
          <w:b w:val="0"/>
        </w:rPr>
        <w:t>国有资产占有使用情况</w:t>
      </w:r>
      <w:bookmarkEnd w:id="52"/>
    </w:p>
    <w:p>
      <w:pPr>
        <w:autoSpaceDE w:val="0"/>
        <w:autoSpaceDN w:val="0"/>
        <w:adjustRightInd w:val="0"/>
        <w:snapToGrid w:val="0"/>
        <w:spacing w:line="600" w:lineRule="exact"/>
        <w:ind w:firstLine="640" w:firstLineChars="200"/>
        <w:jc w:val="left"/>
        <w:rPr>
          <w:rFonts w:eastAsia="方正仿宋简体"/>
          <w:color w:val="000000"/>
          <w:sz w:val="32"/>
          <w:szCs w:val="32"/>
        </w:rPr>
      </w:pPr>
      <w:r>
        <w:rPr>
          <w:rFonts w:hint="eastAsia" w:eastAsia="方正仿宋简体"/>
          <w:color w:val="000000"/>
          <w:sz w:val="32"/>
          <w:szCs w:val="32"/>
        </w:rPr>
        <w:t>截至2020年12月31日，资阳市雁江区渡口管理所共有车辆0辆，其中：部级领导干部用车0辆、一般公务用车0辆、一般执法执勤用车0辆、特种专业技术用车0辆、其他用车0辆。单价50万元以上通用设备0台（套），单价100万元以上专用设备0台（套）。</w:t>
      </w:r>
    </w:p>
    <w:p>
      <w:pPr>
        <w:widowControl/>
        <w:adjustRightInd w:val="0"/>
        <w:snapToGrid w:val="0"/>
        <w:spacing w:line="600" w:lineRule="exact"/>
        <w:jc w:val="left"/>
        <w:rPr>
          <w:rFonts w:eastAsia="方正仿宋简体"/>
          <w:b/>
          <w:color w:val="000000"/>
          <w:sz w:val="32"/>
          <w:szCs w:val="32"/>
        </w:rPr>
      </w:pPr>
      <w:r>
        <w:rPr>
          <w:rFonts w:eastAsia="方正仿宋简体"/>
          <w:b/>
          <w:color w:val="000000"/>
          <w:sz w:val="32"/>
          <w:szCs w:val="32"/>
        </w:rPr>
        <w:br w:type="page"/>
      </w:r>
    </w:p>
    <w:p>
      <w:pPr>
        <w:numPr>
          <w:ilvl w:val="0"/>
          <w:numId w:val="3"/>
        </w:numPr>
        <w:adjustRightInd w:val="0"/>
        <w:snapToGrid w:val="0"/>
        <w:spacing w:line="600" w:lineRule="exact"/>
        <w:ind w:firstLine="663" w:firstLineChars="150"/>
        <w:jc w:val="center"/>
        <w:outlineLvl w:val="0"/>
        <w:rPr>
          <w:rStyle w:val="25"/>
          <w:rFonts w:eastAsia="黑体"/>
          <w:b w:val="0"/>
        </w:rPr>
      </w:pPr>
      <w:bookmarkStart w:id="53" w:name="_Toc17103565"/>
      <w:bookmarkStart w:id="54" w:name="_Toc15377225"/>
      <w:r>
        <w:rPr>
          <w:rFonts w:eastAsia="黑体"/>
          <w:b/>
          <w:color w:val="000000"/>
          <w:sz w:val="44"/>
          <w:szCs w:val="44"/>
        </w:rPr>
        <w:t>名</w:t>
      </w:r>
      <w:r>
        <w:rPr>
          <w:rStyle w:val="25"/>
          <w:rFonts w:eastAsia="黑体"/>
          <w:b w:val="0"/>
        </w:rPr>
        <w:t>词解释</w:t>
      </w:r>
      <w:bookmarkEnd w:id="53"/>
      <w:bookmarkEnd w:id="54"/>
    </w:p>
    <w:p>
      <w:pPr>
        <w:adjustRightInd w:val="0"/>
        <w:snapToGrid w:val="0"/>
        <w:spacing w:line="600" w:lineRule="exact"/>
        <w:jc w:val="left"/>
        <w:rPr>
          <w:b/>
          <w:color w:val="000000"/>
          <w:sz w:val="44"/>
          <w:szCs w:val="44"/>
        </w:rPr>
      </w:pPr>
    </w:p>
    <w:p>
      <w:pPr>
        <w:pStyle w:val="5"/>
        <w:adjustRightInd w:val="0"/>
        <w:snapToGrid w:val="0"/>
        <w:spacing w:beforeLines="0" w:line="600" w:lineRule="exact"/>
        <w:ind w:firstLine="640" w:firstLineChars="200"/>
        <w:rPr>
          <w:rFonts w:ascii="Times New Roman" w:eastAsia="方正仿宋简体"/>
          <w:sz w:val="32"/>
          <w:szCs w:val="32"/>
        </w:rPr>
      </w:pPr>
      <w:bookmarkStart w:id="55" w:name="_Toc15377226"/>
      <w:r>
        <w:rPr>
          <w:rFonts w:hint="eastAsia" w:ascii="Times New Roman" w:eastAsia="方正仿宋简体"/>
          <w:sz w:val="32"/>
          <w:szCs w:val="32"/>
        </w:rPr>
        <w:t>1.财政拨款收入：指单位从同级财政部门取得的财政预算资金。</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 xml:space="preserve">2.其他收入：指单位取得的除上述收入以外的各项收入。主要是上级拨款等。 </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 xml:space="preserve">3.年初结转和结余：指以前年度尚未完成、结转到本年按有关规定继续使用的资金。 </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4.结余分配：指事业单位按照事业单位会计制度的规定从非财政补助结余中分配的事业基金和职工福利基金等。</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5、年末结转和结余：指单位按有关规定结转到下年或以后年度继续使用的资金。</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6.社会保障和就业支出（类）行政事业单位离退休（款） 事业单位离退休（项）：指实行归口管理的事业单位开支的离退休经费。</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7.社会保障和就业支出（类）行政事业单位离退休（款） 机关事业单位基本养老保险缴费支出（项）: 指机关事业单位实施养老保险制度由单位缴纳的基本养老保险费支出。</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8. 社会保障和就业支出（类）其他社会保障和就业支出（款）其他社会保障和就业支出（项）: 指机关事业单位由单位实际缴纳的工伤保险、生育保险等其他社会保障缴费。</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9.卫生健康支出（类）行政事业单位医疗（款）事业单位医疗（项）</w:t>
      </w:r>
      <w:r>
        <w:rPr>
          <w:rFonts w:hint="eastAsia" w:ascii="Times New Roman" w:eastAsia="方正仿宋简体"/>
          <w:sz w:val="32"/>
          <w:szCs w:val="32"/>
          <w:highlight w:val="none"/>
          <w:lang w:eastAsia="zh-CN"/>
        </w:rPr>
        <w:t>：</w:t>
      </w:r>
      <w:r>
        <w:rPr>
          <w:rFonts w:hint="eastAsia" w:ascii="Times New Roman" w:eastAsia="方正仿宋简体"/>
          <w:sz w:val="32"/>
          <w:szCs w:val="32"/>
        </w:rPr>
        <w:t>指事业单位集中安排对职工的基本医疗保险缴费。</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10. 卫生健康支出（类）行政事业单位医疗（款）公务员医疗补助（项）</w:t>
      </w:r>
      <w:r>
        <w:rPr>
          <w:rFonts w:hint="eastAsia" w:ascii="Times New Roman" w:eastAsia="方正仿宋简体"/>
          <w:sz w:val="32"/>
          <w:szCs w:val="32"/>
          <w:highlight w:val="none"/>
          <w:lang w:eastAsia="zh-CN"/>
        </w:rPr>
        <w:t>：</w:t>
      </w:r>
      <w:r>
        <w:rPr>
          <w:rFonts w:hint="eastAsia" w:ascii="Times New Roman" w:eastAsia="方正仿宋简体"/>
          <w:sz w:val="32"/>
          <w:szCs w:val="32"/>
        </w:rPr>
        <w:t>指单位集中安排对职工的公务员医疗补助经费。</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11.交通运输支出（类）公路水路运输（款）其他公路水路运输支出（项）</w:t>
      </w:r>
      <w:r>
        <w:rPr>
          <w:rFonts w:hint="eastAsia" w:ascii="Times New Roman" w:eastAsia="方正仿宋简体"/>
          <w:sz w:val="32"/>
          <w:szCs w:val="32"/>
          <w:highlight w:val="none"/>
          <w:lang w:eastAsia="zh-CN"/>
        </w:rPr>
        <w:t>：</w:t>
      </w:r>
      <w:r>
        <w:rPr>
          <w:rFonts w:hint="eastAsia" w:ascii="Times New Roman" w:eastAsia="方正仿宋简体"/>
          <w:sz w:val="32"/>
          <w:szCs w:val="32"/>
        </w:rPr>
        <w:t>事业单位的基本支出和项目支出。</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12.住房保障支出（类）住房改革支出（款）住房公积金（项）</w:t>
      </w:r>
      <w:r>
        <w:rPr>
          <w:rFonts w:hint="eastAsia" w:ascii="Times New Roman" w:eastAsia="方正仿宋简体"/>
          <w:sz w:val="32"/>
          <w:szCs w:val="32"/>
          <w:highlight w:val="none"/>
          <w:lang w:eastAsia="zh-CN"/>
        </w:rPr>
        <w:t>：</w:t>
      </w:r>
      <w:r>
        <w:rPr>
          <w:rFonts w:hint="eastAsia" w:ascii="Times New Roman" w:eastAsia="方正仿宋简体"/>
          <w:sz w:val="32"/>
          <w:szCs w:val="32"/>
        </w:rPr>
        <w:t>指行政事业单位按人力资源和社会保障部、财政部规定的基本工资和津贴补贴以及规定比例为职工缴纳的住房公积金。</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13.基本支出：指为保障机构正常运转、完成日常工作任务而发生的人员支出和公用支出。</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 xml:space="preserve">14.项目支出：指在基本支出之外为完成特定行政任务和事业发展目标所发生的支出。 </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600" w:lineRule="exact"/>
        <w:jc w:val="center"/>
        <w:outlineLvl w:val="0"/>
        <w:rPr>
          <w:rStyle w:val="25"/>
        </w:rPr>
      </w:pPr>
      <w:r>
        <w:rPr>
          <w:rFonts w:eastAsia="方正仿宋简体"/>
          <w:b/>
          <w:color w:val="000000"/>
          <w:sz w:val="44"/>
          <w:szCs w:val="44"/>
        </w:rPr>
        <w:br w:type="page"/>
      </w:r>
      <w:bookmarkStart w:id="56" w:name="_Toc17103566"/>
      <w:r>
        <w:rPr>
          <w:rFonts w:eastAsia="方正小标宋简体"/>
          <w:color w:val="000000"/>
          <w:sz w:val="44"/>
          <w:szCs w:val="44"/>
        </w:rPr>
        <w:t>第</w:t>
      </w:r>
      <w:r>
        <w:rPr>
          <w:rStyle w:val="25"/>
          <w:rFonts w:eastAsia="方正小标宋简体"/>
          <w:b w:val="0"/>
        </w:rPr>
        <w:t>四部分 附件</w:t>
      </w:r>
      <w:bookmarkEnd w:id="56"/>
    </w:p>
    <w:p>
      <w:pPr>
        <w:widowControl/>
        <w:autoSpaceDN w:val="0"/>
        <w:adjustRightInd w:val="0"/>
        <w:snapToGrid w:val="0"/>
        <w:spacing w:line="600" w:lineRule="exact"/>
        <w:jc w:val="center"/>
        <w:rPr>
          <w:rFonts w:eastAsia="仿宋_GB2312"/>
          <w:sz w:val="32"/>
          <w:szCs w:val="32"/>
        </w:rPr>
      </w:pPr>
    </w:p>
    <w:p>
      <w:pPr>
        <w:spacing w:line="660" w:lineRule="exact"/>
        <w:jc w:val="center"/>
        <w:rPr>
          <w:rFonts w:eastAsia="方正小标宋简体"/>
          <w:sz w:val="44"/>
          <w:szCs w:val="44"/>
        </w:rPr>
      </w:pPr>
      <w:r>
        <w:rPr>
          <w:rFonts w:eastAsia="仿宋_GB2312"/>
          <w:sz w:val="32"/>
          <w:szCs w:val="32"/>
        </w:rPr>
        <w:tab/>
      </w:r>
      <w:bookmarkStart w:id="57" w:name="_Toc17103570"/>
      <w:r>
        <w:rPr>
          <w:rFonts w:eastAsia="方正小标宋简体"/>
          <w:sz w:val="44"/>
          <w:szCs w:val="44"/>
        </w:rPr>
        <w:t>资阳市雁江区渡口管理所</w:t>
      </w:r>
    </w:p>
    <w:p>
      <w:pPr>
        <w:spacing w:line="660" w:lineRule="exact"/>
        <w:jc w:val="center"/>
        <w:rPr>
          <w:rFonts w:eastAsia="方正楷体简体"/>
          <w:b/>
          <w:sz w:val="32"/>
          <w:szCs w:val="32"/>
        </w:rPr>
      </w:pPr>
      <w:r>
        <w:rPr>
          <w:rFonts w:eastAsia="方正小标宋简体"/>
          <w:color w:val="000000"/>
          <w:kern w:val="0"/>
          <w:sz w:val="40"/>
          <w:szCs w:val="40"/>
        </w:rPr>
        <w:t>20</w:t>
      </w:r>
      <w:r>
        <w:rPr>
          <w:rFonts w:hint="eastAsia" w:eastAsia="方正小标宋简体"/>
          <w:color w:val="000000"/>
          <w:kern w:val="0"/>
          <w:sz w:val="40"/>
          <w:szCs w:val="40"/>
        </w:rPr>
        <w:t>20</w:t>
      </w:r>
      <w:r>
        <w:rPr>
          <w:rFonts w:eastAsia="方正小标宋简体"/>
          <w:color w:val="000000"/>
          <w:kern w:val="0"/>
          <w:sz w:val="40"/>
          <w:szCs w:val="40"/>
        </w:rPr>
        <w:t>年整体支出绩效自评报告</w:t>
      </w:r>
    </w:p>
    <w:p>
      <w:pPr>
        <w:spacing w:line="620" w:lineRule="exact"/>
        <w:ind w:firstLine="643" w:firstLineChars="200"/>
        <w:jc w:val="left"/>
        <w:rPr>
          <w:rFonts w:eastAsia="方正楷体简体"/>
          <w:b/>
          <w:sz w:val="32"/>
          <w:szCs w:val="32"/>
        </w:rPr>
      </w:pPr>
    </w:p>
    <w:p>
      <w:pPr>
        <w:spacing w:line="600" w:lineRule="exact"/>
        <w:rPr>
          <w:rFonts w:eastAsia="方正仿宋简体"/>
          <w:sz w:val="32"/>
          <w:szCs w:val="32"/>
        </w:rPr>
      </w:pPr>
      <w:r>
        <w:rPr>
          <w:rFonts w:eastAsia="方正仿宋简体"/>
          <w:sz w:val="32"/>
          <w:szCs w:val="32"/>
        </w:rPr>
        <w:t>区财政局：</w:t>
      </w:r>
    </w:p>
    <w:p>
      <w:pPr>
        <w:spacing w:line="600" w:lineRule="exact"/>
        <w:ind w:firstLine="640" w:firstLineChars="200"/>
        <w:rPr>
          <w:rFonts w:eastAsia="方正仿宋简体"/>
          <w:b/>
          <w:sz w:val="32"/>
          <w:szCs w:val="32"/>
        </w:rPr>
      </w:pPr>
      <w:r>
        <w:rPr>
          <w:rFonts w:eastAsia="方正仿宋简体"/>
          <w:sz w:val="32"/>
          <w:szCs w:val="32"/>
        </w:rPr>
        <w:t>为深入推进全面实施预算绩效管理，根据《资阳市雁江区财政局关于开展20</w:t>
      </w:r>
      <w:r>
        <w:rPr>
          <w:rFonts w:hint="eastAsia" w:eastAsia="方正仿宋简体"/>
          <w:sz w:val="32"/>
          <w:szCs w:val="32"/>
        </w:rPr>
        <w:t>20</w:t>
      </w:r>
      <w:r>
        <w:rPr>
          <w:rFonts w:eastAsia="方正仿宋简体"/>
          <w:sz w:val="32"/>
          <w:szCs w:val="32"/>
        </w:rPr>
        <w:t>年度区级部门支出绩效自评工作的通知》（资雁财发</w:t>
      </w:r>
      <w:r>
        <w:rPr>
          <w:rFonts w:eastAsia="方正仿宋简体"/>
          <w:color w:val="000000"/>
          <w:sz w:val="32"/>
        </w:rPr>
        <w:t>〔202</w:t>
      </w:r>
      <w:r>
        <w:rPr>
          <w:rFonts w:hint="eastAsia" w:eastAsia="方正仿宋简体"/>
          <w:color w:val="000000"/>
          <w:sz w:val="32"/>
        </w:rPr>
        <w:t>1</w:t>
      </w:r>
      <w:r>
        <w:rPr>
          <w:rFonts w:eastAsia="方正仿宋简体"/>
          <w:color w:val="000000"/>
          <w:sz w:val="32"/>
        </w:rPr>
        <w:t>〕</w:t>
      </w:r>
      <w:r>
        <w:rPr>
          <w:rFonts w:hint="eastAsia" w:eastAsia="方正仿宋简体"/>
          <w:color w:val="000000"/>
          <w:sz w:val="32"/>
        </w:rPr>
        <w:t>85</w:t>
      </w:r>
      <w:r>
        <w:rPr>
          <w:rFonts w:eastAsia="方正仿宋简体"/>
          <w:sz w:val="32"/>
          <w:szCs w:val="32"/>
        </w:rPr>
        <w:t>号）规定，我单位对20</w:t>
      </w:r>
      <w:r>
        <w:rPr>
          <w:rFonts w:hint="eastAsia" w:eastAsia="方正仿宋简体"/>
          <w:sz w:val="32"/>
          <w:szCs w:val="32"/>
        </w:rPr>
        <w:t>20</w:t>
      </w:r>
      <w:r>
        <w:rPr>
          <w:rFonts w:eastAsia="方正仿宋简体"/>
          <w:sz w:val="32"/>
          <w:szCs w:val="32"/>
        </w:rPr>
        <w:t>年度支出绩效开展了自评工作，现将情况报告如下。</w:t>
      </w:r>
    </w:p>
    <w:p>
      <w:pPr>
        <w:spacing w:line="600" w:lineRule="exact"/>
        <w:ind w:firstLine="640" w:firstLineChars="200"/>
        <w:rPr>
          <w:rFonts w:eastAsia="方正黑体简体"/>
          <w:bCs/>
          <w:sz w:val="32"/>
          <w:szCs w:val="32"/>
        </w:rPr>
      </w:pPr>
      <w:r>
        <w:rPr>
          <w:rFonts w:eastAsia="方正黑体简体"/>
          <w:bCs/>
          <w:sz w:val="32"/>
          <w:szCs w:val="32"/>
        </w:rPr>
        <w:t>一、部门（单位）概况</w:t>
      </w:r>
    </w:p>
    <w:p>
      <w:pPr>
        <w:spacing w:line="600" w:lineRule="exact"/>
        <w:ind w:firstLine="643" w:firstLineChars="200"/>
        <w:rPr>
          <w:rFonts w:eastAsia="方正楷体简体"/>
          <w:b/>
          <w:sz w:val="32"/>
          <w:szCs w:val="32"/>
        </w:rPr>
      </w:pPr>
      <w:r>
        <w:rPr>
          <w:rFonts w:eastAsia="方正楷体简体"/>
          <w:b/>
          <w:sz w:val="32"/>
          <w:szCs w:val="32"/>
        </w:rPr>
        <w:t>（一）机构组成。</w:t>
      </w:r>
    </w:p>
    <w:p>
      <w:pPr>
        <w:pStyle w:val="5"/>
        <w:spacing w:before="93" w:line="600" w:lineRule="exact"/>
        <w:rPr>
          <w:rFonts w:eastAsia="方正仿宋简体"/>
          <w:sz w:val="32"/>
          <w:szCs w:val="32"/>
        </w:rPr>
      </w:pPr>
      <w:r>
        <w:rPr>
          <w:rFonts w:eastAsia="方正仿宋简体"/>
          <w:sz w:val="32"/>
          <w:szCs w:val="32"/>
        </w:rPr>
        <w:t xml:space="preserve">    本部门由一个财政拨款事业单位组成，是雁江区交通运输局的下属财政一级预算管理的公益一类事业单位。</w:t>
      </w:r>
    </w:p>
    <w:p>
      <w:pPr>
        <w:spacing w:line="600" w:lineRule="exact"/>
        <w:ind w:firstLine="643" w:firstLineChars="200"/>
        <w:rPr>
          <w:rFonts w:eastAsia="方正楷体简体"/>
          <w:b/>
          <w:sz w:val="32"/>
          <w:szCs w:val="32"/>
        </w:rPr>
      </w:pPr>
      <w:r>
        <w:rPr>
          <w:rFonts w:eastAsia="方正楷体简体"/>
          <w:b/>
          <w:sz w:val="32"/>
          <w:szCs w:val="32"/>
        </w:rPr>
        <w:t xml:space="preserve">（二）机构职能 </w:t>
      </w:r>
      <w:r>
        <w:rPr>
          <w:rFonts w:hint="eastAsia" w:eastAsia="方正楷体简体"/>
          <w:b/>
          <w:sz w:val="32"/>
          <w:szCs w:val="32"/>
          <w:highlight w:val="none"/>
          <w:lang w:eastAsia="zh-CN"/>
        </w:rPr>
        <w:t>（</w:t>
      </w:r>
      <w:r>
        <w:rPr>
          <w:rFonts w:eastAsia="方正楷体简体"/>
          <w:b/>
          <w:sz w:val="32"/>
          <w:szCs w:val="32"/>
        </w:rPr>
        <w:t>根据自己单位情况填写</w:t>
      </w:r>
      <w:r>
        <w:rPr>
          <w:rFonts w:hint="eastAsia" w:eastAsia="方正楷体简体"/>
          <w:b/>
          <w:sz w:val="32"/>
          <w:szCs w:val="32"/>
          <w:highlight w:val="none"/>
          <w:lang w:eastAsia="zh-CN"/>
        </w:rPr>
        <w:t>）</w:t>
      </w:r>
      <w:r>
        <w:rPr>
          <w:rFonts w:eastAsia="方正楷体简体"/>
          <w:b/>
          <w:sz w:val="32"/>
          <w:szCs w:val="32"/>
        </w:rPr>
        <w:t>。</w:t>
      </w:r>
    </w:p>
    <w:p>
      <w:pPr>
        <w:pStyle w:val="5"/>
        <w:spacing w:before="93" w:line="600" w:lineRule="exact"/>
        <w:ind w:firstLine="640" w:firstLineChars="200"/>
        <w:rPr>
          <w:rFonts w:eastAsia="方正仿宋简体"/>
          <w:sz w:val="32"/>
          <w:szCs w:val="32"/>
        </w:rPr>
      </w:pPr>
      <w:r>
        <w:rPr>
          <w:rFonts w:eastAsia="方正仿宋简体"/>
          <w:sz w:val="32"/>
          <w:szCs w:val="32"/>
        </w:rPr>
        <w:t xml:space="preserve">资阳市雁江区渡口管理所严格执行《四川省渡口管理办法》，负责全区渡口日常安全管理工作，督促船工每年进行年检，完成上级部门安排的其他工作任务。 </w:t>
      </w:r>
    </w:p>
    <w:p>
      <w:pPr>
        <w:spacing w:line="600" w:lineRule="exact"/>
        <w:ind w:firstLine="640" w:firstLineChars="200"/>
        <w:rPr>
          <w:rFonts w:eastAsia="方正仿宋简体"/>
          <w:b/>
          <w:sz w:val="32"/>
          <w:szCs w:val="32"/>
        </w:rPr>
      </w:pPr>
      <w:r>
        <w:rPr>
          <w:rFonts w:eastAsia="方正仿宋简体"/>
          <w:b/>
          <w:sz w:val="32"/>
          <w:szCs w:val="32"/>
        </w:rPr>
        <w:t>（三）人员概况</w:t>
      </w:r>
    </w:p>
    <w:p>
      <w:pPr>
        <w:snapToGrid w:val="0"/>
        <w:spacing w:line="600" w:lineRule="exact"/>
        <w:ind w:firstLine="640" w:firstLineChars="200"/>
        <w:rPr>
          <w:rFonts w:eastAsia="方正仿宋简体"/>
          <w:sz w:val="32"/>
          <w:szCs w:val="32"/>
        </w:rPr>
      </w:pPr>
      <w:r>
        <w:rPr>
          <w:rFonts w:eastAsia="方正仿宋简体"/>
          <w:sz w:val="32"/>
          <w:szCs w:val="32"/>
        </w:rPr>
        <w:t>单位现实有人员6人（其中：事业编制内3人），与上年无变动情</w:t>
      </w:r>
      <w:r>
        <w:rPr>
          <w:rFonts w:hint="eastAsia" w:eastAsia="方正仿宋简体"/>
          <w:sz w:val="32"/>
          <w:szCs w:val="32"/>
          <w:lang w:val="en-US" w:eastAsia="zh-CN"/>
        </w:rPr>
        <w:t>况</w:t>
      </w:r>
      <w:r>
        <w:rPr>
          <w:rFonts w:eastAsia="方正仿宋简体"/>
          <w:sz w:val="32"/>
          <w:szCs w:val="32"/>
        </w:rPr>
        <w:t>。</w:t>
      </w:r>
    </w:p>
    <w:p>
      <w:pPr>
        <w:spacing w:line="600" w:lineRule="exact"/>
        <w:ind w:firstLine="640" w:firstLineChars="200"/>
        <w:rPr>
          <w:rFonts w:eastAsia="方正黑体简体"/>
          <w:bCs/>
          <w:sz w:val="32"/>
          <w:szCs w:val="32"/>
        </w:rPr>
      </w:pPr>
      <w:r>
        <w:rPr>
          <w:rFonts w:eastAsia="方正黑体简体"/>
          <w:bCs/>
          <w:sz w:val="32"/>
          <w:szCs w:val="32"/>
        </w:rPr>
        <w:t>二、部门财政资金收支情况</w:t>
      </w:r>
    </w:p>
    <w:p>
      <w:pPr>
        <w:spacing w:line="600" w:lineRule="exact"/>
        <w:ind w:firstLine="643" w:firstLineChars="200"/>
        <w:rPr>
          <w:rFonts w:eastAsia="方正楷体简体"/>
          <w:b/>
          <w:sz w:val="32"/>
          <w:szCs w:val="32"/>
        </w:rPr>
      </w:pPr>
      <w:r>
        <w:rPr>
          <w:rFonts w:eastAsia="方正楷体简体"/>
          <w:b/>
          <w:sz w:val="32"/>
          <w:szCs w:val="32"/>
        </w:rPr>
        <w:t>（一）部门财政资金收入情况。</w:t>
      </w:r>
    </w:p>
    <w:p>
      <w:pPr>
        <w:spacing w:line="600" w:lineRule="exact"/>
        <w:ind w:firstLine="640" w:firstLineChars="20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年雁江区渡口管理所收入决算总额为</w:t>
      </w:r>
      <w:r>
        <w:rPr>
          <w:rFonts w:hint="eastAsia" w:eastAsia="方正仿宋简体"/>
          <w:sz w:val="32"/>
          <w:szCs w:val="32"/>
        </w:rPr>
        <w:t>100.8</w:t>
      </w:r>
      <w:r>
        <w:rPr>
          <w:rFonts w:eastAsia="方正仿宋简体"/>
          <w:sz w:val="32"/>
          <w:szCs w:val="32"/>
        </w:rPr>
        <w:t>万元，上年应返还额度</w:t>
      </w:r>
      <w:r>
        <w:rPr>
          <w:rFonts w:hint="eastAsia" w:eastAsia="方正仿宋简体"/>
          <w:sz w:val="32"/>
          <w:szCs w:val="32"/>
        </w:rPr>
        <w:t>6.7</w:t>
      </w:r>
      <w:r>
        <w:rPr>
          <w:rFonts w:eastAsia="方正仿宋简体"/>
          <w:sz w:val="32"/>
          <w:szCs w:val="32"/>
        </w:rPr>
        <w:t>万元，共计</w:t>
      </w:r>
      <w:r>
        <w:rPr>
          <w:rFonts w:hint="eastAsia" w:eastAsia="方正仿宋简体"/>
          <w:sz w:val="32"/>
          <w:szCs w:val="32"/>
        </w:rPr>
        <w:t>107.5</w:t>
      </w:r>
      <w:r>
        <w:rPr>
          <w:rFonts w:eastAsia="方正仿宋简体"/>
          <w:sz w:val="32"/>
          <w:szCs w:val="32"/>
        </w:rPr>
        <w:t>万元。其中：当年财政拨款收入</w:t>
      </w:r>
      <w:r>
        <w:rPr>
          <w:rFonts w:hint="eastAsia" w:eastAsia="方正仿宋简体"/>
          <w:sz w:val="32"/>
          <w:szCs w:val="32"/>
        </w:rPr>
        <w:t>100.8</w:t>
      </w:r>
      <w:r>
        <w:rPr>
          <w:rFonts w:eastAsia="方正仿宋简体"/>
          <w:sz w:val="32"/>
          <w:szCs w:val="32"/>
        </w:rPr>
        <w:t>万元</w:t>
      </w:r>
      <w:r>
        <w:rPr>
          <w:rFonts w:hint="eastAsia" w:eastAsia="方正仿宋简体"/>
          <w:sz w:val="32"/>
          <w:szCs w:val="32"/>
          <w:highlight w:val="none"/>
          <w:lang w:eastAsia="zh-CN"/>
        </w:rPr>
        <w:t>，</w:t>
      </w:r>
      <w:r>
        <w:rPr>
          <w:rFonts w:eastAsia="方正仿宋简体"/>
          <w:sz w:val="32"/>
          <w:szCs w:val="32"/>
        </w:rPr>
        <w:t>上年结转收入</w:t>
      </w:r>
      <w:r>
        <w:rPr>
          <w:rFonts w:hint="eastAsia" w:eastAsia="方正仿宋简体"/>
          <w:sz w:val="32"/>
          <w:szCs w:val="32"/>
        </w:rPr>
        <w:t>6.7</w:t>
      </w:r>
      <w:r>
        <w:rPr>
          <w:rFonts w:eastAsia="方正仿宋简体"/>
          <w:sz w:val="32"/>
          <w:szCs w:val="32"/>
        </w:rPr>
        <w:t>万元。</w:t>
      </w:r>
    </w:p>
    <w:p>
      <w:pPr>
        <w:spacing w:line="600" w:lineRule="exact"/>
        <w:ind w:firstLine="643" w:firstLineChars="200"/>
        <w:rPr>
          <w:rFonts w:eastAsia="方正楷体简体"/>
          <w:b/>
          <w:sz w:val="32"/>
          <w:szCs w:val="32"/>
        </w:rPr>
      </w:pPr>
      <w:r>
        <w:rPr>
          <w:rFonts w:eastAsia="方正楷体简体"/>
          <w:b/>
          <w:sz w:val="32"/>
          <w:szCs w:val="32"/>
        </w:rPr>
        <w:t>（二）部门财政资金支出情况。</w:t>
      </w:r>
    </w:p>
    <w:p>
      <w:pPr>
        <w:spacing w:line="600" w:lineRule="exact"/>
        <w:ind w:firstLine="640" w:firstLineChars="20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年资阳市雁江区渡口管理所支出决算总额为</w:t>
      </w:r>
      <w:r>
        <w:rPr>
          <w:rFonts w:hint="eastAsia" w:eastAsia="方正仿宋简体"/>
          <w:sz w:val="32"/>
          <w:szCs w:val="32"/>
        </w:rPr>
        <w:t>100.7</w:t>
      </w:r>
      <w:r>
        <w:rPr>
          <w:rFonts w:eastAsia="方正仿宋简体"/>
          <w:sz w:val="32"/>
          <w:szCs w:val="32"/>
        </w:rPr>
        <w:t>万元，其中：社会保障和就业</w:t>
      </w:r>
      <w:r>
        <w:rPr>
          <w:rFonts w:hint="eastAsia" w:eastAsia="方正仿宋简体"/>
          <w:sz w:val="32"/>
          <w:szCs w:val="32"/>
        </w:rPr>
        <w:t>10.6</w:t>
      </w:r>
      <w:r>
        <w:rPr>
          <w:rFonts w:eastAsia="方正仿宋简体"/>
          <w:sz w:val="32"/>
          <w:szCs w:val="32"/>
        </w:rPr>
        <w:t>万元，医疗卫生与计划生育支出</w:t>
      </w:r>
      <w:r>
        <w:rPr>
          <w:rFonts w:hint="eastAsia" w:eastAsia="方正仿宋简体"/>
          <w:sz w:val="32"/>
          <w:szCs w:val="32"/>
        </w:rPr>
        <w:t>3.2</w:t>
      </w:r>
      <w:r>
        <w:rPr>
          <w:rFonts w:eastAsia="方正仿宋简体"/>
          <w:sz w:val="32"/>
          <w:szCs w:val="32"/>
        </w:rPr>
        <w:t>万元，交通运输支出</w:t>
      </w:r>
      <w:r>
        <w:rPr>
          <w:rFonts w:hint="eastAsia" w:eastAsia="方正仿宋简体"/>
          <w:sz w:val="32"/>
          <w:szCs w:val="32"/>
        </w:rPr>
        <w:t>79.5</w:t>
      </w:r>
      <w:r>
        <w:rPr>
          <w:rFonts w:eastAsia="方正仿宋简体"/>
          <w:sz w:val="32"/>
          <w:szCs w:val="32"/>
        </w:rPr>
        <w:t>万元，住房保障支出</w:t>
      </w:r>
      <w:r>
        <w:rPr>
          <w:rFonts w:hint="eastAsia" w:eastAsia="方正仿宋简体"/>
          <w:sz w:val="32"/>
          <w:szCs w:val="32"/>
        </w:rPr>
        <w:t>7.4</w:t>
      </w:r>
      <w:r>
        <w:rPr>
          <w:rFonts w:eastAsia="方正仿宋简体"/>
          <w:sz w:val="32"/>
          <w:szCs w:val="32"/>
        </w:rPr>
        <w:t>万元，年末结转和结余</w:t>
      </w:r>
      <w:r>
        <w:rPr>
          <w:rFonts w:hint="eastAsia" w:eastAsia="方正仿宋简体"/>
          <w:sz w:val="32"/>
          <w:szCs w:val="32"/>
        </w:rPr>
        <w:t>6.8</w:t>
      </w:r>
      <w:r>
        <w:rPr>
          <w:rFonts w:eastAsia="方正仿宋简体"/>
          <w:sz w:val="32"/>
          <w:szCs w:val="32"/>
        </w:rPr>
        <w:t>万元。其中基本支出</w:t>
      </w:r>
      <w:r>
        <w:rPr>
          <w:rFonts w:hint="eastAsia" w:eastAsia="方正仿宋简体"/>
          <w:sz w:val="32"/>
          <w:szCs w:val="32"/>
        </w:rPr>
        <w:t>95.6</w:t>
      </w:r>
      <w:r>
        <w:rPr>
          <w:rFonts w:eastAsia="方正仿宋简体"/>
          <w:sz w:val="32"/>
          <w:szCs w:val="32"/>
        </w:rPr>
        <w:t>万元，项目支出</w:t>
      </w:r>
      <w:r>
        <w:rPr>
          <w:rFonts w:hint="eastAsia" w:eastAsia="方正仿宋简体"/>
          <w:sz w:val="32"/>
          <w:szCs w:val="32"/>
        </w:rPr>
        <w:t>5.1</w:t>
      </w:r>
      <w:r>
        <w:rPr>
          <w:rFonts w:eastAsia="方正仿宋简体"/>
          <w:sz w:val="32"/>
          <w:szCs w:val="32"/>
        </w:rPr>
        <w:t>万元。</w:t>
      </w:r>
    </w:p>
    <w:p>
      <w:pPr>
        <w:spacing w:line="600" w:lineRule="exact"/>
        <w:ind w:firstLine="640" w:firstLineChars="200"/>
        <w:rPr>
          <w:rFonts w:eastAsia="方正黑体简体"/>
          <w:bCs/>
          <w:sz w:val="32"/>
          <w:szCs w:val="32"/>
        </w:rPr>
      </w:pPr>
      <w:r>
        <w:rPr>
          <w:rFonts w:eastAsia="方正黑体简体"/>
          <w:bCs/>
          <w:sz w:val="32"/>
          <w:szCs w:val="32"/>
        </w:rPr>
        <w:t>三、评价工作开展情况</w:t>
      </w:r>
    </w:p>
    <w:p>
      <w:pPr>
        <w:spacing w:line="600" w:lineRule="exact"/>
        <w:ind w:firstLine="643" w:firstLineChars="200"/>
        <w:rPr>
          <w:rFonts w:eastAsia="方正楷体简体"/>
          <w:b/>
          <w:sz w:val="32"/>
          <w:szCs w:val="32"/>
        </w:rPr>
      </w:pPr>
      <w:r>
        <w:rPr>
          <w:rFonts w:eastAsia="方正楷体简体"/>
          <w:b/>
          <w:sz w:val="32"/>
          <w:szCs w:val="32"/>
        </w:rPr>
        <w:t>（一）自评工作组织领导。</w:t>
      </w:r>
    </w:p>
    <w:p>
      <w:pPr>
        <w:pStyle w:val="5"/>
        <w:spacing w:before="93" w:line="600" w:lineRule="exact"/>
        <w:rPr>
          <w:rFonts w:eastAsia="方正仿宋简体"/>
          <w:sz w:val="32"/>
          <w:szCs w:val="32"/>
        </w:rPr>
      </w:pPr>
      <w:r>
        <w:rPr>
          <w:rFonts w:eastAsia="方正仿宋简体"/>
          <w:sz w:val="32"/>
          <w:szCs w:val="32"/>
        </w:rPr>
        <w:t xml:space="preserve">      组   长：张仕良</w:t>
      </w:r>
    </w:p>
    <w:p>
      <w:pPr>
        <w:pStyle w:val="5"/>
        <w:spacing w:before="93" w:line="600" w:lineRule="exact"/>
        <w:rPr>
          <w:rFonts w:eastAsia="方正仿宋简体"/>
          <w:sz w:val="32"/>
          <w:szCs w:val="32"/>
        </w:rPr>
      </w:pPr>
      <w:r>
        <w:rPr>
          <w:rFonts w:eastAsia="方正仿宋简体"/>
          <w:sz w:val="32"/>
          <w:szCs w:val="32"/>
        </w:rPr>
        <w:t xml:space="preserve">      成   员：查治明        </w:t>
      </w:r>
    </w:p>
    <w:p>
      <w:pPr>
        <w:spacing w:line="600" w:lineRule="exact"/>
        <w:ind w:firstLine="643" w:firstLineChars="200"/>
        <w:rPr>
          <w:rFonts w:eastAsia="方正楷体简体"/>
          <w:b/>
          <w:sz w:val="32"/>
          <w:szCs w:val="32"/>
        </w:rPr>
      </w:pPr>
      <w:r>
        <w:rPr>
          <w:rFonts w:eastAsia="方正楷体简体"/>
          <w:b/>
          <w:sz w:val="32"/>
          <w:szCs w:val="32"/>
        </w:rPr>
        <w:t>（二）自评方式、方法、重点。</w:t>
      </w:r>
    </w:p>
    <w:p>
      <w:pPr>
        <w:pStyle w:val="5"/>
        <w:spacing w:before="93" w:line="600" w:lineRule="exact"/>
        <w:ind w:firstLine="640" w:firstLineChars="200"/>
        <w:rPr>
          <w:rFonts w:eastAsia="方正仿宋简体"/>
          <w:sz w:val="32"/>
          <w:szCs w:val="32"/>
        </w:rPr>
      </w:pPr>
      <w:r>
        <w:rPr>
          <w:rFonts w:eastAsia="方正仿宋简体"/>
          <w:sz w:val="32"/>
          <w:szCs w:val="32"/>
        </w:rPr>
        <w:t>1.收集绩效评价相关资料，如20</w:t>
      </w:r>
      <w:r>
        <w:rPr>
          <w:rFonts w:hint="eastAsia" w:eastAsia="方正仿宋简体"/>
          <w:sz w:val="32"/>
          <w:szCs w:val="32"/>
        </w:rPr>
        <w:t>20</w:t>
      </w:r>
      <w:r>
        <w:rPr>
          <w:rFonts w:eastAsia="方正仿宋简体"/>
          <w:sz w:val="32"/>
          <w:szCs w:val="32"/>
        </w:rPr>
        <w:t>年决算报表、20</w:t>
      </w:r>
      <w:r>
        <w:rPr>
          <w:rFonts w:hint="eastAsia" w:eastAsia="方正仿宋简体"/>
          <w:sz w:val="32"/>
          <w:szCs w:val="32"/>
        </w:rPr>
        <w:t>20</w:t>
      </w:r>
      <w:r>
        <w:rPr>
          <w:rFonts w:eastAsia="方正仿宋简体"/>
          <w:sz w:val="32"/>
          <w:szCs w:val="32"/>
        </w:rPr>
        <w:t>年全年工作计划及20</w:t>
      </w:r>
      <w:r>
        <w:rPr>
          <w:rFonts w:hint="eastAsia" w:eastAsia="方正仿宋简体"/>
          <w:sz w:val="32"/>
          <w:szCs w:val="32"/>
        </w:rPr>
        <w:t>20</w:t>
      </w:r>
      <w:r>
        <w:rPr>
          <w:rFonts w:eastAsia="方正仿宋简体"/>
          <w:sz w:val="32"/>
          <w:szCs w:val="32"/>
        </w:rPr>
        <w:t>年全年工作总结等。</w:t>
      </w:r>
    </w:p>
    <w:p>
      <w:pPr>
        <w:pStyle w:val="5"/>
        <w:spacing w:before="93" w:line="600" w:lineRule="exact"/>
        <w:ind w:firstLine="640" w:firstLineChars="200"/>
        <w:rPr>
          <w:rFonts w:eastAsia="方正仿宋简体"/>
          <w:sz w:val="32"/>
          <w:szCs w:val="32"/>
        </w:rPr>
      </w:pPr>
      <w:r>
        <w:rPr>
          <w:rFonts w:eastAsia="方正仿宋简体"/>
          <w:sz w:val="32"/>
          <w:szCs w:val="32"/>
        </w:rPr>
        <w:t>2.对资料进行审查核实。</w:t>
      </w:r>
    </w:p>
    <w:p>
      <w:pPr>
        <w:pStyle w:val="5"/>
        <w:spacing w:before="93" w:line="600" w:lineRule="exact"/>
        <w:ind w:firstLine="640" w:firstLineChars="200"/>
        <w:rPr>
          <w:rFonts w:eastAsia="方正仿宋简体"/>
          <w:sz w:val="32"/>
          <w:szCs w:val="32"/>
        </w:rPr>
      </w:pPr>
      <w:r>
        <w:rPr>
          <w:rFonts w:eastAsia="方正仿宋简体"/>
          <w:sz w:val="32"/>
          <w:szCs w:val="32"/>
        </w:rPr>
        <w:t>3.综合分析并形成评价结论。</w:t>
      </w:r>
    </w:p>
    <w:p>
      <w:pPr>
        <w:spacing w:line="600" w:lineRule="exact"/>
        <w:ind w:firstLine="640" w:firstLineChars="200"/>
        <w:rPr>
          <w:rFonts w:eastAsia="方正仿宋简体"/>
          <w:sz w:val="32"/>
          <w:szCs w:val="32"/>
        </w:rPr>
      </w:pPr>
      <w:r>
        <w:rPr>
          <w:rFonts w:eastAsia="方正仿宋简体"/>
          <w:sz w:val="32"/>
          <w:szCs w:val="32"/>
        </w:rPr>
        <w:t>此次绩效自评的重点在于评估项目资金使用率，资金使用是否专款专用，单位运转经费及“三公”经费支出是否合规合理等。</w:t>
      </w:r>
    </w:p>
    <w:p>
      <w:pPr>
        <w:spacing w:line="600" w:lineRule="exact"/>
        <w:ind w:firstLine="640" w:firstLineChars="200"/>
        <w:rPr>
          <w:rFonts w:eastAsia="方正黑体简体"/>
          <w:bCs/>
          <w:sz w:val="32"/>
          <w:szCs w:val="32"/>
        </w:rPr>
      </w:pPr>
      <w:r>
        <w:rPr>
          <w:rFonts w:eastAsia="方正黑体简体"/>
          <w:bCs/>
          <w:sz w:val="32"/>
          <w:szCs w:val="32"/>
        </w:rPr>
        <w:t>四、评价结论</w:t>
      </w:r>
    </w:p>
    <w:p>
      <w:pPr>
        <w:pStyle w:val="12"/>
        <w:widowControl w:val="0"/>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color w:val="333333"/>
          <w:sz w:val="32"/>
          <w:szCs w:val="32"/>
        </w:rPr>
      </w:pPr>
      <w:r>
        <w:rPr>
          <w:rFonts w:ascii="Times New Roman" w:hAnsi="Times New Roman" w:eastAsia="方正仿宋简体" w:cs="Times New Roman"/>
          <w:sz w:val="32"/>
          <w:szCs w:val="32"/>
        </w:rPr>
        <w:t>资阳市雁江区渡口管理所</w:t>
      </w:r>
      <w:r>
        <w:rPr>
          <w:rFonts w:ascii="Times New Roman" w:hAnsi="Times New Roman" w:eastAsia="方正仿宋简体" w:cs="Times New Roman"/>
          <w:color w:val="333333"/>
          <w:sz w:val="32"/>
          <w:szCs w:val="32"/>
        </w:rPr>
        <w:t>20</w:t>
      </w:r>
      <w:r>
        <w:rPr>
          <w:rFonts w:hint="eastAsia" w:ascii="Times New Roman" w:hAnsi="Times New Roman" w:eastAsia="方正仿宋简体" w:cs="Times New Roman"/>
          <w:color w:val="333333"/>
          <w:sz w:val="32"/>
          <w:szCs w:val="32"/>
        </w:rPr>
        <w:t>20</w:t>
      </w:r>
      <w:r>
        <w:rPr>
          <w:rFonts w:ascii="Times New Roman" w:hAnsi="Times New Roman" w:eastAsia="方正仿宋简体" w:cs="Times New Roman"/>
          <w:color w:val="333333"/>
          <w:sz w:val="32"/>
          <w:szCs w:val="32"/>
        </w:rPr>
        <w:t>年度项目绩效评价结果良好，能准确反映出整体绩效支出的情况。20</w:t>
      </w:r>
      <w:r>
        <w:rPr>
          <w:rFonts w:hint="eastAsia" w:ascii="Times New Roman" w:hAnsi="Times New Roman" w:eastAsia="方正仿宋简体" w:cs="Times New Roman"/>
          <w:color w:val="333333"/>
          <w:sz w:val="32"/>
          <w:szCs w:val="32"/>
        </w:rPr>
        <w:t>20</w:t>
      </w:r>
      <w:r>
        <w:rPr>
          <w:rFonts w:ascii="Times New Roman" w:hAnsi="Times New Roman" w:eastAsia="方正仿宋简体" w:cs="Times New Roman"/>
          <w:color w:val="333333"/>
          <w:sz w:val="32"/>
          <w:szCs w:val="32"/>
        </w:rPr>
        <w:t>年单位项目支出绩效自评分 9</w:t>
      </w:r>
      <w:r>
        <w:rPr>
          <w:rFonts w:hint="eastAsia" w:ascii="Times New Roman" w:hAnsi="Times New Roman" w:eastAsia="方正仿宋简体" w:cs="Times New Roman"/>
          <w:color w:val="333333"/>
          <w:sz w:val="32"/>
          <w:szCs w:val="32"/>
        </w:rPr>
        <w:t>6</w:t>
      </w:r>
      <w:r>
        <w:rPr>
          <w:rFonts w:ascii="Times New Roman" w:hAnsi="Times New Roman" w:eastAsia="方正仿宋简体" w:cs="Times New Roman"/>
          <w:color w:val="333333"/>
          <w:sz w:val="32"/>
          <w:szCs w:val="32"/>
        </w:rPr>
        <w:t>分，自评结果为良。</w:t>
      </w:r>
    </w:p>
    <w:p>
      <w:pPr>
        <w:spacing w:line="600" w:lineRule="exact"/>
        <w:ind w:firstLine="640" w:firstLineChars="200"/>
        <w:rPr>
          <w:rFonts w:eastAsia="方正黑体简体"/>
          <w:bCs/>
          <w:sz w:val="32"/>
          <w:szCs w:val="32"/>
        </w:rPr>
      </w:pPr>
      <w:r>
        <w:rPr>
          <w:rFonts w:eastAsia="方正黑体简体"/>
          <w:bCs/>
          <w:sz w:val="32"/>
          <w:szCs w:val="32"/>
        </w:rPr>
        <w:t>五、绩效分析</w:t>
      </w:r>
    </w:p>
    <w:p>
      <w:pPr>
        <w:spacing w:line="600" w:lineRule="exact"/>
        <w:ind w:firstLine="643" w:firstLineChars="200"/>
        <w:rPr>
          <w:rFonts w:eastAsia="方正楷体简体"/>
          <w:b/>
          <w:sz w:val="32"/>
          <w:szCs w:val="32"/>
        </w:rPr>
      </w:pPr>
      <w:r>
        <w:rPr>
          <w:rFonts w:eastAsia="方正楷体简体"/>
          <w:b/>
          <w:sz w:val="32"/>
          <w:szCs w:val="32"/>
        </w:rPr>
        <w:t>（一）指标分析。</w:t>
      </w:r>
    </w:p>
    <w:p>
      <w:pPr>
        <w:adjustRightInd w:val="0"/>
        <w:snapToGrid w:val="0"/>
        <w:spacing w:line="600" w:lineRule="exact"/>
        <w:ind w:firstLine="640" w:firstLineChars="20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年初预算为</w:t>
      </w:r>
      <w:r>
        <w:rPr>
          <w:rFonts w:hint="eastAsia" w:eastAsia="方正仿宋简体"/>
          <w:sz w:val="32"/>
          <w:szCs w:val="32"/>
        </w:rPr>
        <w:t>69.9</w:t>
      </w:r>
      <w:r>
        <w:rPr>
          <w:rFonts w:eastAsia="方正仿宋简体"/>
          <w:sz w:val="32"/>
          <w:szCs w:val="32"/>
        </w:rPr>
        <w:t>万元，调整预算为</w:t>
      </w:r>
      <w:r>
        <w:rPr>
          <w:rFonts w:hint="eastAsia" w:eastAsia="方正仿宋简体"/>
          <w:sz w:val="32"/>
          <w:szCs w:val="32"/>
        </w:rPr>
        <w:t>100.8</w:t>
      </w:r>
      <w:r>
        <w:rPr>
          <w:rFonts w:eastAsia="方正仿宋简体"/>
          <w:sz w:val="32"/>
          <w:szCs w:val="32"/>
        </w:rPr>
        <w:t>万元，</w:t>
      </w:r>
      <w:r>
        <w:rPr>
          <w:rFonts w:eastAsia="方正仿宋简体"/>
          <w:sz w:val="32"/>
          <w:szCs w:val="32"/>
          <w:highlight w:val="none"/>
        </w:rPr>
        <w:t>上年</w:t>
      </w:r>
      <w:r>
        <w:rPr>
          <w:rFonts w:eastAsia="方正仿宋简体"/>
          <w:sz w:val="32"/>
          <w:szCs w:val="32"/>
        </w:rPr>
        <w:t>结余</w:t>
      </w:r>
      <w:r>
        <w:rPr>
          <w:rFonts w:hint="eastAsia" w:eastAsia="方正仿宋简体"/>
          <w:sz w:val="32"/>
          <w:szCs w:val="32"/>
        </w:rPr>
        <w:t>6.7</w:t>
      </w:r>
      <w:r>
        <w:rPr>
          <w:rFonts w:eastAsia="方正仿宋简体"/>
          <w:sz w:val="32"/>
          <w:szCs w:val="32"/>
        </w:rPr>
        <w:t>万，执行预算</w:t>
      </w:r>
      <w:r>
        <w:rPr>
          <w:rFonts w:hint="eastAsia" w:eastAsia="方正仿宋简体"/>
          <w:sz w:val="32"/>
          <w:szCs w:val="32"/>
        </w:rPr>
        <w:t>100.7</w:t>
      </w:r>
      <w:r>
        <w:rPr>
          <w:rFonts w:eastAsia="方正仿宋简体"/>
          <w:sz w:val="32"/>
          <w:szCs w:val="32"/>
        </w:rPr>
        <w:t>万元，当年结余</w:t>
      </w:r>
      <w:r>
        <w:rPr>
          <w:rFonts w:hint="eastAsia" w:eastAsia="方正仿宋简体"/>
          <w:sz w:val="32"/>
          <w:szCs w:val="32"/>
        </w:rPr>
        <w:t>6.8</w:t>
      </w:r>
      <w:r>
        <w:rPr>
          <w:rFonts w:eastAsia="方正仿宋简体"/>
          <w:sz w:val="32"/>
          <w:szCs w:val="32"/>
        </w:rPr>
        <w:t>万元。其中基本支出年初预算</w:t>
      </w:r>
      <w:r>
        <w:rPr>
          <w:rFonts w:hint="eastAsia" w:eastAsia="方正仿宋简体"/>
          <w:sz w:val="32"/>
          <w:szCs w:val="32"/>
        </w:rPr>
        <w:t>69.6</w:t>
      </w:r>
      <w:r>
        <w:rPr>
          <w:rFonts w:eastAsia="方正仿宋简体"/>
          <w:sz w:val="32"/>
          <w:szCs w:val="32"/>
        </w:rPr>
        <w:t>万元，调整预算为</w:t>
      </w:r>
      <w:r>
        <w:rPr>
          <w:rFonts w:hint="eastAsia" w:eastAsia="方正仿宋简体"/>
          <w:sz w:val="32"/>
          <w:szCs w:val="32"/>
        </w:rPr>
        <w:t>102.4</w:t>
      </w:r>
      <w:r>
        <w:rPr>
          <w:rFonts w:eastAsia="方正仿宋简体"/>
          <w:sz w:val="32"/>
          <w:szCs w:val="32"/>
        </w:rPr>
        <w:t>万元，执行预算</w:t>
      </w:r>
      <w:r>
        <w:rPr>
          <w:rFonts w:hint="eastAsia" w:eastAsia="方正仿宋简体"/>
          <w:sz w:val="32"/>
          <w:szCs w:val="32"/>
        </w:rPr>
        <w:t>95.6</w:t>
      </w:r>
      <w:r>
        <w:rPr>
          <w:rFonts w:eastAsia="方正仿宋简体"/>
          <w:sz w:val="32"/>
          <w:szCs w:val="32"/>
        </w:rPr>
        <w:t>万元，当年结余6.</w:t>
      </w:r>
      <w:r>
        <w:rPr>
          <w:rFonts w:hint="eastAsia" w:eastAsia="方正仿宋简体"/>
          <w:sz w:val="32"/>
          <w:szCs w:val="32"/>
        </w:rPr>
        <w:t>8</w:t>
      </w:r>
      <w:r>
        <w:rPr>
          <w:rFonts w:eastAsia="方正仿宋简体"/>
          <w:sz w:val="32"/>
          <w:szCs w:val="32"/>
        </w:rPr>
        <w:t>万元。项目支出年初预算</w:t>
      </w:r>
      <w:r>
        <w:rPr>
          <w:rFonts w:hint="eastAsia" w:eastAsia="方正仿宋简体"/>
          <w:sz w:val="32"/>
          <w:szCs w:val="32"/>
        </w:rPr>
        <w:t>6</w:t>
      </w:r>
      <w:r>
        <w:rPr>
          <w:rFonts w:eastAsia="方正仿宋简体"/>
          <w:sz w:val="32"/>
          <w:szCs w:val="32"/>
        </w:rPr>
        <w:t>万元，调整预算数</w:t>
      </w:r>
      <w:r>
        <w:rPr>
          <w:rFonts w:hint="eastAsia" w:eastAsia="方正仿宋简体"/>
          <w:sz w:val="32"/>
          <w:szCs w:val="32"/>
        </w:rPr>
        <w:t>5.1</w:t>
      </w:r>
      <w:r>
        <w:rPr>
          <w:rFonts w:eastAsia="方正仿宋简体"/>
          <w:sz w:val="32"/>
          <w:szCs w:val="32"/>
        </w:rPr>
        <w:t>万元，执行预算</w:t>
      </w:r>
      <w:r>
        <w:rPr>
          <w:rFonts w:hint="eastAsia" w:eastAsia="方正仿宋简体"/>
          <w:sz w:val="32"/>
          <w:szCs w:val="32"/>
        </w:rPr>
        <w:t>5.1</w:t>
      </w:r>
      <w:r>
        <w:rPr>
          <w:rFonts w:eastAsia="方正仿宋简体"/>
          <w:sz w:val="32"/>
          <w:szCs w:val="32"/>
        </w:rPr>
        <w:t>万元，当年结余0万元。结转结余率</w:t>
      </w:r>
      <w:r>
        <w:rPr>
          <w:rFonts w:hint="eastAsia" w:eastAsia="方正仿宋简体"/>
          <w:sz w:val="32"/>
          <w:szCs w:val="32"/>
        </w:rPr>
        <w:t>0.1</w:t>
      </w:r>
      <w:r>
        <w:rPr>
          <w:rFonts w:eastAsia="方正仿宋简体"/>
          <w:sz w:val="32"/>
          <w:szCs w:val="32"/>
        </w:rPr>
        <w:t>%，结转结余变动率</w:t>
      </w:r>
      <w:r>
        <w:rPr>
          <w:rFonts w:hint="eastAsia" w:eastAsia="方正仿宋简体"/>
          <w:sz w:val="32"/>
          <w:szCs w:val="32"/>
        </w:rPr>
        <w:t>1.5</w:t>
      </w:r>
      <w:r>
        <w:rPr>
          <w:rFonts w:eastAsia="方正仿宋简体"/>
          <w:sz w:val="32"/>
          <w:szCs w:val="32"/>
        </w:rPr>
        <w:t>%。</w:t>
      </w:r>
      <w:bookmarkStart w:id="66" w:name="_GoBack"/>
      <w:bookmarkEnd w:id="66"/>
    </w:p>
    <w:p>
      <w:pPr>
        <w:adjustRightInd w:val="0"/>
        <w:snapToGrid w:val="0"/>
        <w:spacing w:line="600" w:lineRule="exact"/>
        <w:ind w:firstLine="640" w:firstLineChars="200"/>
        <w:rPr>
          <w:rFonts w:eastAsia="方正仿宋简体"/>
          <w:color w:val="333333"/>
          <w:sz w:val="32"/>
          <w:szCs w:val="32"/>
        </w:rPr>
      </w:pPr>
      <w:r>
        <w:rPr>
          <w:rFonts w:eastAsia="方正仿宋简体"/>
          <w:sz w:val="32"/>
          <w:szCs w:val="32"/>
        </w:rPr>
        <w:t>通过对20</w:t>
      </w:r>
      <w:r>
        <w:rPr>
          <w:rFonts w:hint="eastAsia" w:eastAsia="方正仿宋简体"/>
          <w:sz w:val="32"/>
          <w:szCs w:val="32"/>
        </w:rPr>
        <w:t>20</w:t>
      </w:r>
      <w:r>
        <w:rPr>
          <w:rFonts w:eastAsia="方正仿宋简体"/>
          <w:sz w:val="32"/>
          <w:szCs w:val="32"/>
        </w:rPr>
        <w:t>年预算绩效</w:t>
      </w:r>
      <w:r>
        <w:rPr>
          <w:rFonts w:hint="eastAsia" w:eastAsia="方正仿宋简体"/>
          <w:sz w:val="32"/>
          <w:szCs w:val="32"/>
          <w:highlight w:val="none"/>
          <w:lang w:eastAsia="zh-CN"/>
        </w:rPr>
        <w:t>管理工作</w:t>
      </w:r>
      <w:r>
        <w:rPr>
          <w:rFonts w:eastAsia="方正仿宋简体"/>
          <w:sz w:val="32"/>
          <w:szCs w:val="32"/>
        </w:rPr>
        <w:t>的每一项考核自评，我</w:t>
      </w:r>
      <w:r>
        <w:rPr>
          <w:rFonts w:hint="eastAsia" w:eastAsia="方正仿宋简体"/>
          <w:sz w:val="32"/>
          <w:szCs w:val="32"/>
          <w:lang w:val="en-US" w:eastAsia="zh-CN"/>
        </w:rPr>
        <w:t>所</w:t>
      </w:r>
      <w:r>
        <w:rPr>
          <w:rFonts w:eastAsia="方正仿宋简体"/>
          <w:sz w:val="32"/>
          <w:szCs w:val="32"/>
        </w:rPr>
        <w:t>得分为9</w:t>
      </w:r>
      <w:r>
        <w:rPr>
          <w:rFonts w:hint="eastAsia" w:eastAsia="方正仿宋简体"/>
          <w:sz w:val="32"/>
          <w:szCs w:val="32"/>
        </w:rPr>
        <w:t>6</w:t>
      </w:r>
      <w:r>
        <w:rPr>
          <w:rFonts w:eastAsia="方正仿宋简体"/>
          <w:sz w:val="32"/>
          <w:szCs w:val="32"/>
        </w:rPr>
        <w:t>分。主要扣分是体现在预算完成率、结转结余率上，</w:t>
      </w:r>
      <w:r>
        <w:rPr>
          <w:rFonts w:eastAsia="方正仿宋简体"/>
          <w:color w:val="2B2B2B"/>
          <w:sz w:val="32"/>
          <w:szCs w:val="32"/>
        </w:rPr>
        <w:t>主要原因是上级财力不足，资金未到位。</w:t>
      </w:r>
    </w:p>
    <w:p>
      <w:pPr>
        <w:spacing w:line="600" w:lineRule="exact"/>
        <w:ind w:firstLine="643" w:firstLineChars="200"/>
        <w:rPr>
          <w:rFonts w:eastAsia="方正楷体简体"/>
          <w:b/>
          <w:sz w:val="32"/>
          <w:szCs w:val="32"/>
        </w:rPr>
      </w:pPr>
      <w:r>
        <w:rPr>
          <w:rFonts w:eastAsia="方正楷体简体"/>
          <w:b/>
          <w:sz w:val="32"/>
          <w:szCs w:val="32"/>
        </w:rPr>
        <w:t>（二）综合绩效分析。</w:t>
      </w:r>
    </w:p>
    <w:p>
      <w:pPr>
        <w:spacing w:line="600" w:lineRule="exact"/>
        <w:ind w:firstLine="640" w:firstLineChars="200"/>
        <w:rPr>
          <w:rFonts w:eastAsia="方正仿宋简体"/>
          <w:sz w:val="32"/>
          <w:szCs w:val="32"/>
        </w:rPr>
      </w:pPr>
      <w:r>
        <w:rPr>
          <w:rFonts w:eastAsia="方正仿宋简体"/>
          <w:color w:val="2B2B2B"/>
          <w:sz w:val="32"/>
          <w:szCs w:val="32"/>
        </w:rPr>
        <w:t>1．</w:t>
      </w:r>
      <w:r>
        <w:rPr>
          <w:rFonts w:eastAsia="方正仿宋简体"/>
          <w:sz w:val="32"/>
          <w:szCs w:val="32"/>
        </w:rPr>
        <w:t>20</w:t>
      </w:r>
      <w:r>
        <w:rPr>
          <w:rFonts w:hint="eastAsia" w:eastAsia="方正仿宋简体"/>
          <w:sz w:val="32"/>
          <w:szCs w:val="32"/>
        </w:rPr>
        <w:t>20</w:t>
      </w:r>
      <w:r>
        <w:rPr>
          <w:rFonts w:eastAsia="方正仿宋简体"/>
          <w:sz w:val="32"/>
          <w:szCs w:val="32"/>
        </w:rPr>
        <w:t>年，我所在区委、区政府及区交通运输局的坚强领导下，在全体干部职工共同努力下，认真贯彻执行水上交通安全各项法律、法规，深化党的建设和党风廉政建设各项工作，扎实开展“不忘初心，牢记使命”专题教育活动，确保了我区渡运安全形势的基本稳定。</w:t>
      </w:r>
      <w:r>
        <w:rPr>
          <w:rFonts w:eastAsia="方正仿宋简体"/>
          <w:b/>
          <w:sz w:val="32"/>
          <w:szCs w:val="32"/>
        </w:rPr>
        <w:t>一是</w:t>
      </w:r>
      <w:r>
        <w:rPr>
          <w:rFonts w:eastAsia="方正仿宋简体"/>
          <w:sz w:val="32"/>
          <w:szCs w:val="32"/>
        </w:rPr>
        <w:t>常态化抓牢抓实党建及党风廉政建设工作，重点开展了“不忘初心、牢记使命”主题教育；</w:t>
      </w:r>
      <w:r>
        <w:rPr>
          <w:rFonts w:eastAsia="方正仿宋简体"/>
          <w:b/>
          <w:sz w:val="32"/>
          <w:szCs w:val="32"/>
        </w:rPr>
        <w:t>二是</w:t>
      </w:r>
      <w:r>
        <w:rPr>
          <w:rFonts w:eastAsia="方正仿宋简体"/>
          <w:sz w:val="32"/>
          <w:szCs w:val="32"/>
        </w:rPr>
        <w:t xml:space="preserve">继续落实安全监管主体责任，协助区海事处完成了安全巡查工作，扎实做好防汛工作。 </w:t>
      </w:r>
    </w:p>
    <w:p>
      <w:pPr>
        <w:spacing w:line="600" w:lineRule="exact"/>
        <w:ind w:firstLine="640" w:firstLineChars="200"/>
        <w:rPr>
          <w:rFonts w:eastAsia="方正仿宋简体"/>
          <w:b/>
          <w:sz w:val="32"/>
          <w:szCs w:val="32"/>
        </w:rPr>
      </w:pPr>
      <w:r>
        <w:rPr>
          <w:rFonts w:eastAsia="方正仿宋简体"/>
          <w:b/>
          <w:sz w:val="32"/>
          <w:szCs w:val="32"/>
        </w:rPr>
        <w:t>2．部门履职有效性</w:t>
      </w:r>
    </w:p>
    <w:p>
      <w:pPr>
        <w:spacing w:line="600" w:lineRule="exact"/>
        <w:ind w:firstLine="640" w:firstLineChars="20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年，我所积极履职，强化管理，较好地完成了年度工作目标。通过加强预算收支管理，不断建立健全内部管理制度，梳理内部管理流程，部门整体支出管理水平得到提升。</w:t>
      </w:r>
    </w:p>
    <w:p>
      <w:pPr>
        <w:spacing w:line="600" w:lineRule="exact"/>
        <w:ind w:firstLine="640" w:firstLineChars="200"/>
        <w:rPr>
          <w:rFonts w:eastAsia="方正仿宋简体"/>
          <w:b/>
          <w:sz w:val="32"/>
          <w:szCs w:val="32"/>
        </w:rPr>
      </w:pPr>
      <w:r>
        <w:rPr>
          <w:rFonts w:eastAsia="方正仿宋简体"/>
          <w:b/>
          <w:sz w:val="32"/>
          <w:szCs w:val="32"/>
        </w:rPr>
        <w:t>3．部门职能实现程度</w:t>
      </w:r>
    </w:p>
    <w:p>
      <w:pPr>
        <w:spacing w:line="600" w:lineRule="exact"/>
        <w:ind w:firstLine="640" w:firstLineChars="20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年，我所能够完成区委、区政府和区交通运输局下达的工作任务，工程项目实施进度符合要求，水路运输服务质量不断提高，群众满意度显著提升。</w:t>
      </w:r>
    </w:p>
    <w:p>
      <w:pPr>
        <w:spacing w:line="600" w:lineRule="exact"/>
        <w:ind w:firstLine="640" w:firstLineChars="200"/>
        <w:rPr>
          <w:rFonts w:eastAsia="方正黑体简体"/>
          <w:bCs/>
          <w:sz w:val="32"/>
          <w:szCs w:val="32"/>
        </w:rPr>
      </w:pPr>
      <w:r>
        <w:rPr>
          <w:rFonts w:eastAsia="方正黑体简体"/>
          <w:bCs/>
          <w:sz w:val="32"/>
          <w:szCs w:val="32"/>
        </w:rPr>
        <w:t>六、问题分析</w:t>
      </w:r>
    </w:p>
    <w:p>
      <w:pPr>
        <w:adjustRightInd w:val="0"/>
        <w:snapToGrid w:val="0"/>
        <w:spacing w:line="600" w:lineRule="exact"/>
        <w:ind w:firstLine="640" w:firstLineChars="200"/>
        <w:rPr>
          <w:rFonts w:eastAsia="方正仿宋简体"/>
          <w:color w:val="2B2B2B"/>
          <w:sz w:val="32"/>
          <w:szCs w:val="32"/>
        </w:rPr>
      </w:pPr>
      <w:r>
        <w:rPr>
          <w:rFonts w:eastAsia="方正仿宋简体"/>
          <w:color w:val="2B2B2B"/>
          <w:sz w:val="32"/>
          <w:szCs w:val="32"/>
        </w:rPr>
        <w:t>一是工作机制有待进一步完善，在平时工作中开展绩效动态监控工作。二是财务资金紧张，在部门整体支出的资金安排和使用上仍有不可预见性，在实际工作中有资金延迟到位的情况。</w:t>
      </w:r>
    </w:p>
    <w:p>
      <w:pPr>
        <w:spacing w:line="600" w:lineRule="exact"/>
        <w:ind w:firstLine="640" w:firstLineChars="200"/>
        <w:rPr>
          <w:rFonts w:eastAsia="方正黑体简体"/>
          <w:bCs/>
          <w:sz w:val="32"/>
          <w:szCs w:val="32"/>
        </w:rPr>
      </w:pPr>
      <w:r>
        <w:rPr>
          <w:rFonts w:eastAsia="方正黑体简体"/>
          <w:bCs/>
          <w:sz w:val="32"/>
          <w:szCs w:val="32"/>
        </w:rPr>
        <w:t>七、建议</w:t>
      </w:r>
    </w:p>
    <w:p>
      <w:pPr>
        <w:pStyle w:val="12"/>
        <w:widowControl w:val="0"/>
        <w:shd w:val="clear" w:color="auto" w:fill="FFFFFF"/>
        <w:spacing w:before="0" w:beforeAutospacing="0" w:after="0" w:afterAutospacing="0" w:line="600" w:lineRule="exact"/>
        <w:ind w:firstLine="480"/>
        <w:jc w:val="both"/>
        <w:rPr>
          <w:rFonts w:ascii="Times New Roman" w:hAnsi="Times New Roman" w:eastAsia="方正仿宋简体" w:cs="Times New Roman"/>
          <w:color w:val="333333"/>
          <w:sz w:val="32"/>
          <w:szCs w:val="32"/>
        </w:rPr>
      </w:pPr>
      <w:r>
        <w:rPr>
          <w:rFonts w:ascii="Times New Roman" w:hAnsi="Times New Roman" w:eastAsia="方正仿宋简体" w:cs="Times New Roman"/>
          <w:color w:val="333333"/>
          <w:sz w:val="32"/>
          <w:szCs w:val="32"/>
        </w:rPr>
        <w:t>一是进一步加强对绩效目标动态监控的重视，对预算执行情况进行监控，使绩效目标监控与日常工作、财务工作挂钩，做到及时监控，及时控制，避免疏忽。二是加强各部门衔接，使预算绩效目标实施进度得到及时反馈，便于及时监控。</w:t>
      </w:r>
    </w:p>
    <w:p>
      <w:pPr>
        <w:spacing w:line="600" w:lineRule="exact"/>
        <w:ind w:firstLine="480"/>
        <w:rPr>
          <w:rFonts w:eastAsia="方正仿宋简体"/>
          <w:sz w:val="32"/>
          <w:szCs w:val="32"/>
        </w:rPr>
      </w:pPr>
    </w:p>
    <w:p>
      <w:pPr>
        <w:spacing w:line="600" w:lineRule="exact"/>
        <w:ind w:firstLine="640" w:firstLineChars="200"/>
        <w:rPr>
          <w:rFonts w:eastAsia="方正仿宋简体"/>
          <w:color w:val="000000"/>
          <w:kern w:val="0"/>
          <w:sz w:val="32"/>
          <w:szCs w:val="32"/>
        </w:rPr>
      </w:pPr>
      <w:r>
        <w:rPr>
          <w:rFonts w:eastAsia="方正仿宋简体"/>
          <w:sz w:val="32"/>
          <w:szCs w:val="32"/>
        </w:rPr>
        <w:t>附</w:t>
      </w:r>
      <w:r>
        <w:rPr>
          <w:rFonts w:hint="eastAsia" w:eastAsia="方正仿宋简体"/>
          <w:sz w:val="32"/>
          <w:szCs w:val="32"/>
        </w:rPr>
        <w:t>件</w:t>
      </w:r>
      <w:r>
        <w:rPr>
          <w:rFonts w:eastAsia="方正仿宋简体"/>
          <w:sz w:val="32"/>
          <w:szCs w:val="32"/>
        </w:rPr>
        <w:t>：</w:t>
      </w:r>
      <w:r>
        <w:rPr>
          <w:rFonts w:eastAsia="方正仿宋简体"/>
          <w:color w:val="000000"/>
          <w:kern w:val="0"/>
          <w:sz w:val="32"/>
          <w:szCs w:val="32"/>
        </w:rPr>
        <w:t>1．20</w:t>
      </w:r>
      <w:r>
        <w:rPr>
          <w:rFonts w:hint="eastAsia" w:eastAsia="方正仿宋简体"/>
          <w:color w:val="000000"/>
          <w:kern w:val="0"/>
          <w:sz w:val="32"/>
          <w:szCs w:val="32"/>
        </w:rPr>
        <w:t>20</w:t>
      </w:r>
      <w:r>
        <w:rPr>
          <w:rFonts w:eastAsia="方正仿宋简体"/>
          <w:color w:val="000000"/>
          <w:kern w:val="0"/>
          <w:sz w:val="32"/>
          <w:szCs w:val="32"/>
        </w:rPr>
        <w:t>年度区本级部门整体支出绩效自评计分表</w:t>
      </w:r>
    </w:p>
    <w:p>
      <w:pPr>
        <w:spacing w:line="600" w:lineRule="exact"/>
        <w:ind w:firstLine="1600" w:firstLineChars="500"/>
        <w:rPr>
          <w:rFonts w:eastAsia="方正仿宋简体"/>
          <w:w w:val="96"/>
          <w:sz w:val="32"/>
          <w:szCs w:val="32"/>
        </w:rPr>
      </w:pPr>
      <w:r>
        <w:rPr>
          <w:rFonts w:eastAsia="方正仿宋简体"/>
          <w:sz w:val="32"/>
          <w:szCs w:val="32"/>
        </w:rPr>
        <w:t>2．</w:t>
      </w:r>
      <w:r>
        <w:rPr>
          <w:rFonts w:eastAsia="方正仿宋简体"/>
          <w:color w:val="000000"/>
          <w:w w:val="96"/>
          <w:kern w:val="0"/>
          <w:sz w:val="32"/>
          <w:szCs w:val="32"/>
        </w:rPr>
        <w:t>20</w:t>
      </w:r>
      <w:r>
        <w:rPr>
          <w:rFonts w:hint="eastAsia" w:eastAsia="方正仿宋简体"/>
          <w:color w:val="000000"/>
          <w:w w:val="96"/>
          <w:kern w:val="0"/>
          <w:sz w:val="32"/>
          <w:szCs w:val="32"/>
        </w:rPr>
        <w:t>20</w:t>
      </w:r>
      <w:r>
        <w:rPr>
          <w:rFonts w:eastAsia="方正仿宋简体"/>
          <w:color w:val="000000"/>
          <w:w w:val="96"/>
          <w:kern w:val="0"/>
          <w:sz w:val="32"/>
          <w:szCs w:val="32"/>
        </w:rPr>
        <w:t>年度区本级部门整体支出绩效目标完成情况表</w:t>
      </w:r>
    </w:p>
    <w:p>
      <w:pPr>
        <w:spacing w:line="600" w:lineRule="exact"/>
        <w:ind w:firstLine="640" w:firstLineChars="200"/>
        <w:rPr>
          <w:rFonts w:eastAsia="方正仿宋简体"/>
          <w:sz w:val="32"/>
          <w:szCs w:val="32"/>
        </w:rPr>
      </w:pPr>
    </w:p>
    <w:p>
      <w:pPr>
        <w:pStyle w:val="5"/>
        <w:spacing w:before="93"/>
      </w:pPr>
    </w:p>
    <w:p>
      <w:pPr>
        <w:spacing w:line="600" w:lineRule="exact"/>
        <w:ind w:firstLine="640" w:firstLineChars="200"/>
        <w:rPr>
          <w:rFonts w:eastAsia="方正仿宋简体"/>
          <w:sz w:val="32"/>
          <w:szCs w:val="32"/>
        </w:rPr>
      </w:pPr>
      <w:r>
        <w:rPr>
          <w:rFonts w:eastAsia="方正仿宋简体"/>
          <w:sz w:val="32"/>
          <w:szCs w:val="32"/>
        </w:rPr>
        <w:t xml:space="preserve">                         资阳市雁江区渡口管理所</w:t>
      </w:r>
    </w:p>
    <w:p>
      <w:pPr>
        <w:tabs>
          <w:tab w:val="left" w:pos="5195"/>
        </w:tabs>
        <w:spacing w:line="600" w:lineRule="exact"/>
        <w:ind w:firstLine="640" w:firstLineChars="200"/>
        <w:rPr>
          <w:rFonts w:eastAsia="方正仿宋简体"/>
          <w:sz w:val="32"/>
          <w:szCs w:val="32"/>
        </w:rPr>
      </w:pPr>
      <w:r>
        <w:rPr>
          <w:rFonts w:eastAsia="方正仿宋简体"/>
          <w:sz w:val="32"/>
          <w:szCs w:val="32"/>
        </w:rPr>
        <w:t xml:space="preserve">                       </w:t>
      </w:r>
      <w:r>
        <w:rPr>
          <w:rFonts w:eastAsia="方正仿宋简体"/>
          <w:sz w:val="32"/>
          <w:szCs w:val="32"/>
        </w:rPr>
        <w:tab/>
      </w:r>
      <w:r>
        <w:rPr>
          <w:rFonts w:eastAsia="方正仿宋简体"/>
          <w:sz w:val="32"/>
          <w:szCs w:val="32"/>
        </w:rPr>
        <w:t>20</w:t>
      </w:r>
      <w:r>
        <w:rPr>
          <w:rFonts w:hint="eastAsia" w:eastAsia="方正仿宋简体"/>
          <w:sz w:val="32"/>
          <w:szCs w:val="32"/>
        </w:rPr>
        <w:t>21</w:t>
      </w:r>
      <w:r>
        <w:rPr>
          <w:rFonts w:eastAsia="方正仿宋简体"/>
          <w:sz w:val="32"/>
          <w:szCs w:val="32"/>
        </w:rPr>
        <w:t>年</w:t>
      </w:r>
      <w:r>
        <w:rPr>
          <w:rFonts w:hint="eastAsia" w:eastAsia="方正仿宋简体"/>
          <w:sz w:val="32"/>
          <w:szCs w:val="32"/>
        </w:rPr>
        <w:t>4</w:t>
      </w:r>
      <w:r>
        <w:rPr>
          <w:rFonts w:eastAsia="方正仿宋简体"/>
          <w:sz w:val="32"/>
          <w:szCs w:val="32"/>
        </w:rPr>
        <w:t>月29日</w:t>
      </w:r>
    </w:p>
    <w:p>
      <w:pPr>
        <w:spacing w:line="600" w:lineRule="exact"/>
        <w:rPr>
          <w:rFonts w:eastAsia="方正仿宋简体"/>
          <w:color w:val="000000"/>
          <w:sz w:val="32"/>
          <w:szCs w:val="32"/>
        </w:rPr>
      </w:pPr>
    </w:p>
    <w:p>
      <w:pPr>
        <w:spacing w:line="660" w:lineRule="exact"/>
        <w:rPr>
          <w:rFonts w:eastAsia="方正黑体简体"/>
          <w:color w:val="000000"/>
          <w:sz w:val="32"/>
          <w:szCs w:val="32"/>
        </w:rPr>
      </w:pPr>
    </w:p>
    <w:p>
      <w:pPr>
        <w:spacing w:line="660" w:lineRule="exact"/>
        <w:rPr>
          <w:rFonts w:eastAsia="方正黑体简体"/>
          <w:color w:val="000000"/>
          <w:sz w:val="32"/>
          <w:szCs w:val="32"/>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0" w:lineRule="auto"/>
        <w:rPr>
          <w:rFonts w:eastAsia="方正仿宋简体"/>
          <w:sz w:val="28"/>
          <w:szCs w:val="28"/>
        </w:rPr>
      </w:pPr>
    </w:p>
    <w:p>
      <w:pPr>
        <w:spacing w:line="620" w:lineRule="exact"/>
        <w:jc w:val="left"/>
        <w:rPr>
          <w:rFonts w:eastAsia="方正黑体简体"/>
          <w:kern w:val="0"/>
          <w:sz w:val="32"/>
          <w:szCs w:val="32"/>
        </w:rPr>
      </w:pPr>
    </w:p>
    <w:p>
      <w:pPr>
        <w:spacing w:line="620" w:lineRule="exact"/>
        <w:jc w:val="left"/>
        <w:rPr>
          <w:rFonts w:eastAsia="方正黑体简体"/>
          <w:kern w:val="0"/>
          <w:sz w:val="32"/>
          <w:szCs w:val="32"/>
        </w:rPr>
      </w:pPr>
    </w:p>
    <w:p>
      <w:pPr>
        <w:spacing w:line="620" w:lineRule="exact"/>
        <w:jc w:val="left"/>
        <w:rPr>
          <w:rFonts w:eastAsia="方正黑体简体"/>
          <w:kern w:val="0"/>
          <w:sz w:val="32"/>
          <w:szCs w:val="32"/>
        </w:rPr>
      </w:pPr>
    </w:p>
    <w:p>
      <w:pPr>
        <w:spacing w:line="620" w:lineRule="exact"/>
        <w:jc w:val="left"/>
        <w:rPr>
          <w:rFonts w:eastAsia="方正黑体简体"/>
          <w:kern w:val="0"/>
          <w:sz w:val="32"/>
          <w:szCs w:val="32"/>
        </w:rPr>
      </w:pPr>
      <w:r>
        <w:rPr>
          <w:rFonts w:eastAsia="方正黑体简体"/>
          <w:kern w:val="0"/>
          <w:sz w:val="32"/>
          <w:szCs w:val="32"/>
        </w:rPr>
        <w:t>附件1</w:t>
      </w:r>
    </w:p>
    <w:p>
      <w:pPr>
        <w:spacing w:before="156" w:beforeLines="50" w:after="156" w:afterLines="50" w:line="620" w:lineRule="exact"/>
        <w:ind w:firstLine="400" w:firstLineChars="100"/>
        <w:jc w:val="left"/>
        <w:rPr>
          <w:rFonts w:eastAsia="方正黑体简体"/>
          <w:kern w:val="0"/>
          <w:sz w:val="32"/>
          <w:szCs w:val="32"/>
        </w:rPr>
      </w:pPr>
      <w:r>
        <w:rPr>
          <w:rFonts w:eastAsia="方正小标宋简体"/>
          <w:bCs/>
          <w:kern w:val="0"/>
          <w:sz w:val="40"/>
          <w:szCs w:val="40"/>
        </w:rPr>
        <w:t>20</w:t>
      </w:r>
      <w:r>
        <w:rPr>
          <w:rFonts w:hint="eastAsia" w:eastAsia="方正小标宋简体"/>
          <w:bCs/>
          <w:kern w:val="0"/>
          <w:sz w:val="40"/>
          <w:szCs w:val="40"/>
        </w:rPr>
        <w:t>20</w:t>
      </w:r>
      <w:r>
        <w:rPr>
          <w:rFonts w:eastAsia="方正小标宋简体"/>
          <w:bCs/>
          <w:kern w:val="0"/>
          <w:sz w:val="40"/>
          <w:szCs w:val="40"/>
        </w:rPr>
        <w:t>年度区本级部门整体支出绩效自评计分表</w:t>
      </w:r>
    </w:p>
    <w:p>
      <w:pPr>
        <w:spacing w:line="620" w:lineRule="exact"/>
        <w:rPr>
          <w:rFonts w:hint="eastAsia" w:eastAsia="方正小标宋简体"/>
          <w:color w:val="000000"/>
          <w:kern w:val="0"/>
          <w:szCs w:val="21"/>
        </w:rPr>
      </w:pPr>
      <w:r>
        <w:rPr>
          <w:rFonts w:eastAsia="方正小标宋简体"/>
          <w:color w:val="000000"/>
          <w:kern w:val="0"/>
          <w:szCs w:val="21"/>
        </w:rPr>
        <w:t>部门（单位）名称：            预算单位编码：257             自评等级：</w:t>
      </w:r>
      <w:r>
        <w:rPr>
          <w:rFonts w:hint="eastAsia" w:eastAsia="方正小标宋简体"/>
          <w:color w:val="000000"/>
          <w:kern w:val="0"/>
          <w:szCs w:val="21"/>
        </w:rPr>
        <w:t>优</w:t>
      </w:r>
    </w:p>
    <w:tbl>
      <w:tblPr>
        <w:tblStyle w:val="16"/>
        <w:tblW w:w="9594" w:type="dxa"/>
        <w:tblInd w:w="-176" w:type="dxa"/>
        <w:tblLayout w:type="fixed"/>
        <w:tblCellMar>
          <w:top w:w="0" w:type="dxa"/>
          <w:left w:w="108" w:type="dxa"/>
          <w:bottom w:w="0" w:type="dxa"/>
          <w:right w:w="108" w:type="dxa"/>
        </w:tblCellMar>
      </w:tblPr>
      <w:tblGrid>
        <w:gridCol w:w="534"/>
        <w:gridCol w:w="536"/>
        <w:gridCol w:w="698"/>
        <w:gridCol w:w="2107"/>
        <w:gridCol w:w="2851"/>
        <w:gridCol w:w="696"/>
        <w:gridCol w:w="2172"/>
      </w:tblGrid>
      <w:tr>
        <w:tblPrEx>
          <w:tblLayout w:type="fixed"/>
          <w:tblCellMar>
            <w:top w:w="0" w:type="dxa"/>
            <w:left w:w="108" w:type="dxa"/>
            <w:bottom w:w="0" w:type="dxa"/>
            <w:right w:w="108" w:type="dxa"/>
          </w:tblCellMar>
        </w:tblPrEx>
        <w:trPr>
          <w:trHeight w:val="660"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一级指标</w:t>
            </w:r>
          </w:p>
        </w:tc>
        <w:tc>
          <w:tcPr>
            <w:tcW w:w="536"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二级指标</w:t>
            </w:r>
          </w:p>
        </w:tc>
        <w:tc>
          <w:tcPr>
            <w:tcW w:w="698"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2107"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指标解释</w:t>
            </w:r>
          </w:p>
        </w:tc>
        <w:tc>
          <w:tcPr>
            <w:tcW w:w="2851"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指标说明</w:t>
            </w:r>
            <w:r>
              <w:rPr>
                <w:rFonts w:hint="eastAsia"/>
                <w:b/>
                <w:bCs/>
                <w:kern w:val="0"/>
                <w:sz w:val="20"/>
                <w:szCs w:val="20"/>
                <w:highlight w:val="none"/>
                <w:lang w:eastAsia="zh-CN"/>
              </w:rPr>
              <w:t>（</w:t>
            </w:r>
            <w:r>
              <w:rPr>
                <w:b/>
                <w:bCs/>
                <w:kern w:val="0"/>
                <w:sz w:val="20"/>
                <w:szCs w:val="20"/>
              </w:rPr>
              <w:t>评价计分标准）</w:t>
            </w:r>
          </w:p>
        </w:tc>
        <w:tc>
          <w:tcPr>
            <w:tcW w:w="696"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2172" w:type="dxa"/>
            <w:tcBorders>
              <w:top w:val="single" w:color="auto" w:sz="4" w:space="0"/>
              <w:left w:val="nil"/>
              <w:bottom w:val="single" w:color="auto" w:sz="4" w:space="0"/>
              <w:right w:val="single" w:color="auto" w:sz="4" w:space="0"/>
            </w:tcBorders>
            <w:vAlign w:val="center"/>
          </w:tcPr>
          <w:p>
            <w:pPr>
              <w:widowControl/>
              <w:rPr>
                <w:b/>
                <w:bCs/>
                <w:kern w:val="0"/>
                <w:sz w:val="20"/>
                <w:szCs w:val="20"/>
              </w:rPr>
            </w:pPr>
            <w:r>
              <w:rPr>
                <w:b/>
                <w:bCs/>
                <w:kern w:val="0"/>
                <w:sz w:val="20"/>
                <w:szCs w:val="20"/>
              </w:rPr>
              <w:t>自评依据及说明</w:t>
            </w:r>
          </w:p>
        </w:tc>
      </w:tr>
      <w:tr>
        <w:tblPrEx>
          <w:tblLayout w:type="fixed"/>
          <w:tblCellMar>
            <w:top w:w="0" w:type="dxa"/>
            <w:left w:w="108" w:type="dxa"/>
            <w:bottom w:w="0" w:type="dxa"/>
            <w:right w:w="108" w:type="dxa"/>
          </w:tblCellMar>
        </w:tblPrEx>
        <w:trPr>
          <w:trHeight w:val="1695" w:hRule="atLeast"/>
        </w:trPr>
        <w:tc>
          <w:tcPr>
            <w:tcW w:w="534"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kern w:val="0"/>
                <w:sz w:val="20"/>
                <w:szCs w:val="20"/>
              </w:rPr>
            </w:pPr>
            <w:r>
              <w:rPr>
                <w:kern w:val="0"/>
                <w:sz w:val="20"/>
                <w:szCs w:val="20"/>
              </w:rPr>
              <w:t>投入（20分）</w:t>
            </w: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目标设定（5分）</w:t>
            </w: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绩效目标合理性（2分）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部门（单位）所设立的整体绩效目标依据是否充分，是否符合客观实际，用以反映和考核部门（单位）整体绩效目标与部门履职、年度工作任务的相符性情况。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①是否符合国家法律法规、国民经济和社会发展总体规划；</w:t>
            </w:r>
            <w:r>
              <w:rPr>
                <w:rFonts w:hint="eastAsia"/>
                <w:kern w:val="0"/>
                <w:sz w:val="20"/>
                <w:szCs w:val="20"/>
                <w:highlight w:val="none"/>
                <w:lang w:eastAsia="zh-CN"/>
              </w:rPr>
              <w:t>（</w:t>
            </w:r>
            <w:r>
              <w:rPr>
                <w:kern w:val="0"/>
                <w:sz w:val="20"/>
                <w:szCs w:val="20"/>
              </w:rPr>
              <w:t>1分）</w:t>
            </w:r>
            <w:r>
              <w:rPr>
                <w:kern w:val="0"/>
                <w:sz w:val="20"/>
                <w:szCs w:val="20"/>
              </w:rPr>
              <w:br w:type="textWrapping"/>
            </w:r>
            <w:r>
              <w:rPr>
                <w:kern w:val="0"/>
                <w:sz w:val="20"/>
                <w:szCs w:val="20"/>
              </w:rPr>
              <w:t>②是否符合部门“三定”方案确定的职责；（0.5分）</w:t>
            </w:r>
            <w:r>
              <w:rPr>
                <w:kern w:val="0"/>
                <w:sz w:val="20"/>
                <w:szCs w:val="20"/>
              </w:rPr>
              <w:br w:type="textWrapping"/>
            </w:r>
            <w:r>
              <w:rPr>
                <w:kern w:val="0"/>
                <w:sz w:val="20"/>
                <w:szCs w:val="20"/>
              </w:rPr>
              <w:t>③是否符合部门制定的中长期实施规划。（0.5分）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2</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84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绩效指标明确性（3分）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部门（单位）依据整体绩效目标所设定的绩效指标是否清晰、细化、可衡量，用以反映和考核部门（单位）整体绩效目标的明细化情况。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①是</w:t>
            </w:r>
            <w:r>
              <w:rPr>
                <w:spacing w:val="-16"/>
                <w:kern w:val="0"/>
                <w:sz w:val="20"/>
                <w:szCs w:val="20"/>
              </w:rPr>
              <w:t>否将部门整体的绩效目标细化分解为具体的工作任务；（1分）</w:t>
            </w:r>
            <w:r>
              <w:rPr>
                <w:kern w:val="0"/>
                <w:sz w:val="20"/>
                <w:szCs w:val="20"/>
              </w:rPr>
              <w:br w:type="textWrapping"/>
            </w:r>
            <w:r>
              <w:rPr>
                <w:kern w:val="0"/>
                <w:sz w:val="20"/>
                <w:szCs w:val="20"/>
              </w:rPr>
              <w:t>②是否通过清晰、可衡量的指标值予以体现</w:t>
            </w:r>
            <w:r>
              <w:rPr>
                <w:rFonts w:hint="eastAsia"/>
                <w:kern w:val="0"/>
                <w:sz w:val="20"/>
                <w:szCs w:val="20"/>
                <w:highlight w:val="none"/>
                <w:lang w:eastAsia="zh-CN"/>
              </w:rPr>
              <w:t>（</w:t>
            </w:r>
            <w:r>
              <w:rPr>
                <w:kern w:val="0"/>
                <w:sz w:val="20"/>
                <w:szCs w:val="20"/>
              </w:rPr>
              <w:t>0.5分）</w:t>
            </w:r>
          </w:p>
          <w:p>
            <w:pPr>
              <w:widowControl/>
              <w:jc w:val="left"/>
              <w:rPr>
                <w:kern w:val="0"/>
                <w:sz w:val="20"/>
                <w:szCs w:val="20"/>
              </w:rPr>
            </w:pPr>
            <w:r>
              <w:rPr>
                <w:kern w:val="0"/>
                <w:sz w:val="20"/>
                <w:szCs w:val="20"/>
              </w:rPr>
              <w:t>③是否与部门年度的任务数或计划数相对应；（0.5分）</w:t>
            </w:r>
            <w:r>
              <w:rPr>
                <w:kern w:val="0"/>
                <w:sz w:val="20"/>
                <w:szCs w:val="20"/>
              </w:rPr>
              <w:br w:type="textWrapping"/>
            </w:r>
            <w:r>
              <w:rPr>
                <w:kern w:val="0"/>
                <w:sz w:val="20"/>
                <w:szCs w:val="20"/>
              </w:rPr>
              <w:t>④是否与本年度部门预算资金相匹配。（1分）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3</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53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20"/>
                <w:szCs w:val="20"/>
              </w:rPr>
            </w:pPr>
            <w:r>
              <w:rPr>
                <w:spacing w:val="-20"/>
                <w:kern w:val="0"/>
                <w:sz w:val="20"/>
                <w:szCs w:val="20"/>
              </w:rPr>
              <w:t>预算配置（15分）</w:t>
            </w: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在职人员控制率（5分）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部门（单位）本年度实际在职人员数与编制数的比率，用以反映和考核部门（单位）对人员成本的控制程度。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在职人员控制率=（在职人员数/编制数）×100%。（小于或等于1计5分，否则按比例计分）</w:t>
            </w:r>
            <w:r>
              <w:rPr>
                <w:kern w:val="0"/>
                <w:sz w:val="20"/>
                <w:szCs w:val="20"/>
              </w:rPr>
              <w:br w:type="textWrapping"/>
            </w:r>
            <w:r>
              <w:rPr>
                <w:kern w:val="0"/>
                <w:sz w:val="20"/>
                <w:szCs w:val="20"/>
              </w:rPr>
              <w:t>在职人员数：部门（单位）实际在职人数，以财政部确定的部门决算编制口径为准。</w:t>
            </w:r>
            <w:r>
              <w:rPr>
                <w:kern w:val="0"/>
                <w:sz w:val="20"/>
                <w:szCs w:val="20"/>
              </w:rPr>
              <w:br w:type="textWrapping"/>
            </w:r>
            <w:r>
              <w:rPr>
                <w:kern w:val="0"/>
                <w:sz w:val="20"/>
                <w:szCs w:val="20"/>
              </w:rPr>
              <w:t>编制数：机构编制部门核定批复的部门（单位）的人员编制数。</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60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“三公经费”变动率（5分）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部门（单位）本年度“三公经费”预算数与上年度“三公经费”预算数的变动比率，用以反映和考核部门（单位）对控制重点行政成本的努力程度。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“三公经费”变动率=[（本年度“三公经费”总额</w:t>
            </w:r>
            <w:r>
              <w:rPr>
                <w:rFonts w:hint="eastAsia"/>
                <w:kern w:val="0"/>
                <w:sz w:val="20"/>
                <w:szCs w:val="20"/>
                <w:highlight w:val="none"/>
                <w:lang w:eastAsia="zh-CN"/>
              </w:rPr>
              <w:t>－</w:t>
            </w:r>
            <w:r>
              <w:rPr>
                <w:kern w:val="0"/>
                <w:sz w:val="20"/>
                <w:szCs w:val="20"/>
              </w:rPr>
              <w:t>上年度“三公经费”总额）/上年度“三公经费”总额]×100%。（下降的计5分，增加的按比例扣减）</w:t>
            </w:r>
            <w:r>
              <w:rPr>
                <w:kern w:val="0"/>
                <w:sz w:val="20"/>
                <w:szCs w:val="20"/>
              </w:rPr>
              <w:br w:type="textWrapping"/>
            </w:r>
            <w:r>
              <w:rPr>
                <w:kern w:val="0"/>
                <w:sz w:val="20"/>
                <w:szCs w:val="20"/>
              </w:rPr>
              <w:t>“三公经费”：年度预算安排的因公出国（境）费、公务车辆购置及运行费和公务招待费。</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956"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重点支出安排率（5分）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部门（单位）本年度预算安排的重点项目支出与部门项目总支出的比率，用以反映和考核部门（单位）对履行主要职责或完成重点任务的保障程度。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重点支出安排率=（重点项目支出/项目总支出）×100%。（实际得分=支出安排率*5分）</w:t>
            </w:r>
            <w:r>
              <w:rPr>
                <w:kern w:val="0"/>
                <w:sz w:val="20"/>
                <w:szCs w:val="20"/>
              </w:rPr>
              <w:br w:type="textWrapping"/>
            </w:r>
            <w:r>
              <w:rPr>
                <w:kern w:val="0"/>
                <w:sz w:val="20"/>
                <w:szCs w:val="20"/>
              </w:rPr>
              <w:t>重点项目支出：部门（单位）年度预算安排的，与本部门履职和发展密切相关、具有明显社会和经济影响、党委政府关心或社会比较关注的项目支出总额。</w:t>
            </w:r>
            <w:r>
              <w:rPr>
                <w:kern w:val="0"/>
                <w:sz w:val="20"/>
                <w:szCs w:val="20"/>
              </w:rPr>
              <w:br w:type="textWrapping"/>
            </w:r>
            <w:r>
              <w:rPr>
                <w:kern w:val="0"/>
                <w:sz w:val="20"/>
                <w:szCs w:val="20"/>
              </w:rPr>
              <w:t>项目总支出：部门（单位）年度预算安排的项目支出总额。</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695" w:hRule="atLeast"/>
        </w:trPr>
        <w:tc>
          <w:tcPr>
            <w:tcW w:w="534"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kern w:val="0"/>
                <w:sz w:val="20"/>
                <w:szCs w:val="20"/>
              </w:rPr>
            </w:pPr>
            <w:r>
              <w:rPr>
                <w:kern w:val="0"/>
                <w:sz w:val="20"/>
                <w:szCs w:val="20"/>
              </w:rPr>
              <w:t>过程（30分）</w:t>
            </w:r>
          </w:p>
        </w:tc>
        <w:tc>
          <w:tcPr>
            <w:tcW w:w="536" w:type="dxa"/>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20"/>
                <w:szCs w:val="20"/>
              </w:rPr>
            </w:pPr>
            <w:r>
              <w:rPr>
                <w:spacing w:val="-20"/>
                <w:kern w:val="0"/>
                <w:sz w:val="20"/>
                <w:szCs w:val="20"/>
              </w:rPr>
              <w:t>预算执行（20分）</w:t>
            </w: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预算完成率（4分）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部门（单位）本年度预算完成数与预算数的比率，用以反映和考核部门（单位）预算完成程度。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预算完成率=（预算完成数/预算数）×100%。（完成年初预算计4分，未完成年初按比例扣减）</w:t>
            </w:r>
            <w:r>
              <w:rPr>
                <w:kern w:val="0"/>
                <w:sz w:val="20"/>
                <w:szCs w:val="20"/>
              </w:rPr>
              <w:br w:type="textWrapping"/>
            </w:r>
            <w:r>
              <w:rPr>
                <w:kern w:val="0"/>
                <w:sz w:val="20"/>
                <w:szCs w:val="20"/>
              </w:rPr>
              <w:t>预算完成数：部门（单位）本年度实际完成的预算数。</w:t>
            </w:r>
            <w:r>
              <w:rPr>
                <w:kern w:val="0"/>
                <w:sz w:val="20"/>
                <w:szCs w:val="20"/>
              </w:rPr>
              <w:br w:type="textWrapping"/>
            </w:r>
            <w:r>
              <w:rPr>
                <w:kern w:val="0"/>
                <w:sz w:val="20"/>
                <w:szCs w:val="20"/>
              </w:rPr>
              <w:t>预算数：财政部门批复的本年度部门（单位）预算数。</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3</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86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预算调整率（2分）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部门（单位）本年度预算调整数与预算数的比率，用以反映和考核部门（单位）预算的调整程度。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预算调整率=（预算调整数/预算数）×100%。（未调整的计2分，调整了的除特殊原因外按比例扣减）</w:t>
            </w:r>
            <w:r>
              <w:rPr>
                <w:kern w:val="0"/>
                <w:sz w:val="20"/>
                <w:szCs w:val="20"/>
              </w:rPr>
              <w:br w:type="textWrapping"/>
            </w:r>
            <w:r>
              <w:rPr>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2</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93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支付进度率（2分）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部门（单位）实际支付进度与既定支付进度的比率，用以反映和考核部门（单位）预算执行的及时性和均衡性程度。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支付进度率=（实际支付进度/既定支付进度）×100%。完成年终进度的计1分，按季度完成预算进度的计1分。</w:t>
            </w:r>
            <w:r>
              <w:rPr>
                <w:kern w:val="0"/>
                <w:sz w:val="20"/>
                <w:szCs w:val="20"/>
              </w:rPr>
              <w:br w:type="textWrapping"/>
            </w:r>
            <w:r>
              <w:rPr>
                <w:kern w:val="0"/>
                <w:sz w:val="20"/>
                <w:szCs w:val="20"/>
              </w:rPr>
              <w:t>实际支付进度：部门（单位）在某一时点的支出预算执行总数与年度支出预算数的比率。</w:t>
            </w:r>
            <w:r>
              <w:rPr>
                <w:kern w:val="0"/>
                <w:sz w:val="20"/>
                <w:szCs w:val="20"/>
              </w:rPr>
              <w:br w:type="textWrapping"/>
            </w:r>
            <w:r>
              <w:rPr>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32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结转结余率（2分）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部门（单位）本年度结转结余总额与支出预算数的比率，用以反映和考核部门（单位）对本年度结转结余资金的实际控制程度。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结转结余率=结转结余总额/支出预算数×100%。低于5%的计1分，每超过5个百分点扣1分，扣完为止。</w:t>
            </w:r>
            <w:r>
              <w:rPr>
                <w:kern w:val="0"/>
                <w:sz w:val="20"/>
                <w:szCs w:val="20"/>
              </w:rPr>
              <w:br w:type="textWrapping"/>
            </w:r>
            <w:r>
              <w:rPr>
                <w:kern w:val="0"/>
                <w:sz w:val="20"/>
                <w:szCs w:val="20"/>
              </w:rPr>
              <w:t>结转结余总额：部门（单位）本年度的结转资金与结余资金之和（以决算数为准）。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2</w:t>
            </w:r>
            <w:r>
              <w:rPr>
                <w:kern w:val="0"/>
                <w:sz w:val="24"/>
              </w:rPr>
              <w:t>　</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0.1÷100.8=0.1%</w:t>
            </w:r>
          </w:p>
        </w:tc>
      </w:tr>
      <w:tr>
        <w:tblPrEx>
          <w:tblLayout w:type="fixed"/>
          <w:tblCellMar>
            <w:top w:w="0" w:type="dxa"/>
            <w:left w:w="108" w:type="dxa"/>
            <w:bottom w:w="0" w:type="dxa"/>
            <w:right w:w="108" w:type="dxa"/>
          </w:tblCellMar>
        </w:tblPrEx>
        <w:trPr>
          <w:trHeight w:val="159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结转结余变动率（2分）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部门（单位）本年度结转结余资金总额与上年度结转结余资金总额的变动比率，用以反映和考核部门（单位）对控制结转结余资金的努力程度。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结转结余变动率=[（本年度累计结转结余资金总额</w:t>
            </w:r>
            <w:r>
              <w:rPr>
                <w:rFonts w:hint="eastAsia"/>
                <w:kern w:val="0"/>
                <w:sz w:val="20"/>
                <w:szCs w:val="20"/>
                <w:highlight w:val="none"/>
                <w:lang w:eastAsia="zh-CN"/>
              </w:rPr>
              <w:t>－</w:t>
            </w:r>
            <w:r>
              <w:rPr>
                <w:kern w:val="0"/>
                <w:sz w:val="20"/>
                <w:szCs w:val="20"/>
              </w:rPr>
              <w:t>上年度累计结转结余资金总额）/上年度累计结转结余资金总额]×100%。（低于15%的计2分，每超过5个百分点扣1分，扣完为止）</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2</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0.1÷6.7=1.5%</w:t>
            </w:r>
          </w:p>
        </w:tc>
      </w:tr>
      <w:tr>
        <w:tblPrEx>
          <w:tblLayout w:type="fixed"/>
          <w:tblCellMar>
            <w:top w:w="0" w:type="dxa"/>
            <w:left w:w="108" w:type="dxa"/>
            <w:bottom w:w="0" w:type="dxa"/>
            <w:right w:w="108" w:type="dxa"/>
          </w:tblCellMar>
        </w:tblPrEx>
        <w:trPr>
          <w:trHeight w:val="147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公用经费控制率（2分）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部门（单位）本年度实际支出的公用经费总额与预算安排的公用经费总额的比率，用以反映和考核部门（单位）对机构运转成本的实际控制程度。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公用经费控制率=（实际支出公用经费总额/预算安排公用经费总额）×100%。（为100%的计2分，每超过1个百分点扣0.1分，扣完为止）</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2</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4.4÷11.3=38.9%</w:t>
            </w:r>
          </w:p>
        </w:tc>
      </w:tr>
      <w:tr>
        <w:tblPrEx>
          <w:tblLayout w:type="fixed"/>
          <w:tblCellMar>
            <w:top w:w="0" w:type="dxa"/>
            <w:left w:w="108" w:type="dxa"/>
            <w:bottom w:w="0" w:type="dxa"/>
            <w:right w:w="108" w:type="dxa"/>
          </w:tblCellMar>
        </w:tblPrEx>
        <w:trPr>
          <w:trHeight w:val="1494"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“三公经费”控制率（2分）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部门（单位）本年度“三公经费”实际支出数与预算安排数的比率，用以反映和考核部门（单位）对“三公经费”的实际控制程度。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“三公经费”控制率=（“三公经费”实际支出数/“三公经费”预算安排数）×100%。（为100%的计2分，每超过1个百分点扣0.5分，扣完为止）</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2</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912"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政府采购执行率（4分）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部门（单位）本年度实际政府采购金额与年初政府采购预算的比率，用以反映和考核部门（单位）政府采购预算执行情况。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政府采购执行率=（实际政府采购金额/政府采购预算数）×100%。（为100%的计2分，每低于1个百分点扣0.5分，扣完为止）</w:t>
            </w:r>
            <w:r>
              <w:rPr>
                <w:kern w:val="0"/>
                <w:sz w:val="20"/>
                <w:szCs w:val="20"/>
              </w:rPr>
              <w:br w:type="textWrapping"/>
            </w:r>
            <w:r>
              <w:rPr>
                <w:kern w:val="0"/>
                <w:sz w:val="20"/>
                <w:szCs w:val="20"/>
              </w:rPr>
              <w:t xml:space="preserve">政府采购预算：采购机关根据事业发展计划和行政任务编制的、并经过规定程序批准的年度政府采购计划。 </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4</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2084"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预算管理（5分）</w:t>
            </w: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管理制度健全性（2分）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部门（单位）为加强预算管理、规范财务行为而制定的管理制度是否健全完整，用以反映和考核部门（单位）预算管理制度对完成主要职责或促进事业发展的保障情况。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①是否已制定或具有预算资金管理办法、内部财务管理制度、会计核算制度等管理制度；（1分）</w:t>
            </w:r>
            <w:r>
              <w:rPr>
                <w:kern w:val="0"/>
                <w:sz w:val="20"/>
                <w:szCs w:val="20"/>
              </w:rPr>
              <w:br w:type="textWrapping"/>
            </w:r>
            <w:r>
              <w:rPr>
                <w:kern w:val="0"/>
                <w:sz w:val="20"/>
                <w:szCs w:val="20"/>
              </w:rPr>
              <w:t>②相关管理制度是否合法、合规、完整；（0.5分）</w:t>
            </w:r>
            <w:r>
              <w:rPr>
                <w:kern w:val="0"/>
                <w:sz w:val="20"/>
                <w:szCs w:val="20"/>
              </w:rPr>
              <w:br w:type="textWrapping"/>
            </w:r>
            <w:r>
              <w:rPr>
                <w:kern w:val="0"/>
                <w:sz w:val="20"/>
                <w:szCs w:val="20"/>
              </w:rPr>
              <w:t>③相关管理制度是否得到有效执行。（0.5分）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2976"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资金使用合规性（1分）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部门（单位）使用预算资金是否符合相关的预算财务管理制度的规定，用以反映和考核部门（单位）预算资金的规范运行情况。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①是否符合国家财经法规和财务管理制度规定以及有关专项资金管理办法的规定；（0.2分）</w:t>
            </w:r>
            <w:r>
              <w:rPr>
                <w:kern w:val="0"/>
                <w:sz w:val="20"/>
                <w:szCs w:val="20"/>
              </w:rPr>
              <w:br w:type="textWrapping"/>
            </w:r>
            <w:r>
              <w:rPr>
                <w:kern w:val="0"/>
                <w:sz w:val="20"/>
                <w:szCs w:val="20"/>
              </w:rPr>
              <w:t>②资金的拨付是否有完整的审批程序和手续；（0.2分）</w:t>
            </w:r>
            <w:r>
              <w:rPr>
                <w:kern w:val="0"/>
                <w:sz w:val="20"/>
                <w:szCs w:val="20"/>
              </w:rPr>
              <w:br w:type="textWrapping"/>
            </w:r>
            <w:r>
              <w:rPr>
                <w:kern w:val="0"/>
                <w:sz w:val="20"/>
                <w:szCs w:val="20"/>
              </w:rPr>
              <w:t>③项目的重大开支是否经过评估论证；（0.2分）</w:t>
            </w:r>
            <w:r>
              <w:rPr>
                <w:kern w:val="0"/>
                <w:sz w:val="20"/>
                <w:szCs w:val="20"/>
              </w:rPr>
              <w:br w:type="textWrapping"/>
            </w:r>
            <w:r>
              <w:rPr>
                <w:kern w:val="0"/>
                <w:sz w:val="20"/>
                <w:szCs w:val="20"/>
              </w:rPr>
              <w:t>④是否符合部门预算批复的用途；（0.2分）</w:t>
            </w:r>
            <w:r>
              <w:rPr>
                <w:kern w:val="0"/>
                <w:sz w:val="20"/>
                <w:szCs w:val="20"/>
              </w:rPr>
              <w:br w:type="textWrapping"/>
            </w:r>
            <w:r>
              <w:rPr>
                <w:kern w:val="0"/>
                <w:sz w:val="20"/>
                <w:szCs w:val="20"/>
              </w:rPr>
              <w:t>⑤是否存在截留、挤占、挪用、虚列支出等情况。（0.2分）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2096"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预决算信息公开性（1分）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部门（单位）是否按照政府信息公开有关规定公开相关预决算信息，用以反映和考核部门（单位）预决算管理的公开透明情况。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①是否按规定内容公开预决算信息；（0.5分）</w:t>
            </w:r>
            <w:r>
              <w:rPr>
                <w:kern w:val="0"/>
                <w:sz w:val="20"/>
                <w:szCs w:val="20"/>
              </w:rPr>
              <w:br w:type="textWrapping"/>
            </w:r>
            <w:r>
              <w:rPr>
                <w:kern w:val="0"/>
                <w:sz w:val="20"/>
                <w:szCs w:val="20"/>
              </w:rPr>
              <w:t>②是否按规定时限公开预决算信息。（0.5分）</w:t>
            </w:r>
            <w:r>
              <w:rPr>
                <w:kern w:val="0"/>
                <w:sz w:val="20"/>
                <w:szCs w:val="20"/>
              </w:rPr>
              <w:br w:type="textWrapping"/>
            </w:r>
            <w:r>
              <w:rPr>
                <w:kern w:val="0"/>
                <w:sz w:val="20"/>
                <w:szCs w:val="20"/>
              </w:rPr>
              <w:t>预决算信息是指与部门预算、执行、决算、监督、绩效等管理相关的信息。</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983"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基础信息完善性（1分）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部门（单位）基础信息是否完善，用以反映和考核基础信息对预算管理工作的支撑情况。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①基础数据信息和会计信息资料是否真实；（0.4分）</w:t>
            </w:r>
            <w:r>
              <w:rPr>
                <w:kern w:val="0"/>
                <w:sz w:val="20"/>
                <w:szCs w:val="20"/>
              </w:rPr>
              <w:br w:type="textWrapping"/>
            </w:r>
            <w:r>
              <w:rPr>
                <w:kern w:val="0"/>
                <w:sz w:val="20"/>
                <w:szCs w:val="20"/>
              </w:rPr>
              <w:t>②基础数据信息和会计信息资料是否完整；（0.3分）</w:t>
            </w:r>
            <w:r>
              <w:rPr>
                <w:kern w:val="0"/>
                <w:sz w:val="20"/>
                <w:szCs w:val="20"/>
              </w:rPr>
              <w:br w:type="textWrapping"/>
            </w:r>
            <w:r>
              <w:rPr>
                <w:kern w:val="0"/>
                <w:sz w:val="20"/>
                <w:szCs w:val="20"/>
              </w:rPr>
              <w:t>③基础数据信息和会计信息资料是否准确。（0.3分）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29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资产管理（5分）</w:t>
            </w: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管理制度健全性（2分）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2851" w:type="dxa"/>
            <w:tcBorders>
              <w:top w:val="nil"/>
              <w:left w:val="nil"/>
              <w:bottom w:val="single" w:color="auto" w:sz="4" w:space="0"/>
              <w:right w:val="single" w:color="auto" w:sz="4" w:space="0"/>
            </w:tcBorders>
            <w:vAlign w:val="center"/>
          </w:tcPr>
          <w:p>
            <w:pPr>
              <w:widowControl/>
              <w:rPr>
                <w:kern w:val="0"/>
                <w:sz w:val="20"/>
                <w:szCs w:val="20"/>
              </w:rPr>
            </w:pPr>
            <w:r>
              <w:rPr>
                <w:kern w:val="0"/>
                <w:sz w:val="20"/>
                <w:szCs w:val="20"/>
              </w:rPr>
              <w:t>①是否已制定或具有资产管理制度；（1分）</w:t>
            </w:r>
          </w:p>
          <w:p>
            <w:pPr>
              <w:widowControl/>
              <w:rPr>
                <w:kern w:val="0"/>
                <w:sz w:val="20"/>
                <w:szCs w:val="20"/>
              </w:rPr>
            </w:pPr>
            <w:r>
              <w:rPr>
                <w:kern w:val="0"/>
                <w:sz w:val="20"/>
                <w:szCs w:val="20"/>
              </w:rPr>
              <w:t>②相关资金管理制度是否合法、合规、完整；（0.5分）</w:t>
            </w:r>
          </w:p>
          <w:p>
            <w:pPr>
              <w:widowControl/>
              <w:rPr>
                <w:kern w:val="0"/>
                <w:sz w:val="20"/>
                <w:szCs w:val="20"/>
              </w:rPr>
            </w:pPr>
            <w:r>
              <w:rPr>
                <w:kern w:val="0"/>
                <w:sz w:val="20"/>
                <w:szCs w:val="20"/>
              </w:rPr>
              <w:t>③相关资产管理制度是否得到有效执行。（0.5分）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2198"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资产管理安全性（2分）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部门（单位）的资产是否保存完整、使用合规、配置合理、处置规范、收入及时足额上缴，用以反映和考核部门（单位）资产安全运行情况。</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①资产保存是否完整；（0.4分）</w:t>
            </w:r>
            <w:r>
              <w:rPr>
                <w:kern w:val="0"/>
                <w:sz w:val="20"/>
                <w:szCs w:val="20"/>
              </w:rPr>
              <w:br w:type="textWrapping"/>
            </w:r>
            <w:r>
              <w:rPr>
                <w:kern w:val="0"/>
                <w:sz w:val="20"/>
                <w:szCs w:val="20"/>
              </w:rPr>
              <w:t>②资产配置是否合理；（0.4分）</w:t>
            </w:r>
            <w:r>
              <w:rPr>
                <w:kern w:val="0"/>
                <w:sz w:val="20"/>
                <w:szCs w:val="20"/>
              </w:rPr>
              <w:br w:type="textWrapping"/>
            </w:r>
            <w:r>
              <w:rPr>
                <w:kern w:val="0"/>
                <w:sz w:val="20"/>
                <w:szCs w:val="20"/>
              </w:rPr>
              <w:t>③资产处置是否规范；（0.4分）</w:t>
            </w:r>
            <w:r>
              <w:rPr>
                <w:kern w:val="0"/>
                <w:sz w:val="20"/>
                <w:szCs w:val="20"/>
              </w:rPr>
              <w:br w:type="textWrapping"/>
            </w:r>
            <w:r>
              <w:rPr>
                <w:kern w:val="0"/>
                <w:sz w:val="20"/>
                <w:szCs w:val="20"/>
              </w:rPr>
              <w:t>④资产账务管理是否合规，是否</w:t>
            </w:r>
            <w:r>
              <w:rPr>
                <w:rFonts w:hint="eastAsia"/>
                <w:kern w:val="0"/>
                <w:sz w:val="20"/>
                <w:szCs w:val="20"/>
                <w:highlight w:val="none"/>
                <w:lang w:eastAsia="zh-CN"/>
              </w:rPr>
              <w:t>账实</w:t>
            </w:r>
            <w:r>
              <w:rPr>
                <w:kern w:val="0"/>
                <w:sz w:val="20"/>
                <w:szCs w:val="20"/>
              </w:rPr>
              <w:t>相符；（0.4分）</w:t>
            </w:r>
            <w:r>
              <w:rPr>
                <w:kern w:val="0"/>
                <w:sz w:val="20"/>
                <w:szCs w:val="20"/>
              </w:rPr>
              <w:br w:type="textWrapping"/>
            </w:r>
            <w:r>
              <w:rPr>
                <w:kern w:val="0"/>
                <w:sz w:val="20"/>
                <w:szCs w:val="20"/>
              </w:rPr>
              <w:t>⑤资产是否有偿使用及处置收入及时足额上缴。（0.4分）</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2</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691"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固定资产利用率（1分）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部门（单位）实际在用固定资产总额与所有固定资产总额的比率，用以反映和考核部门（单位）固定资产使用效率程度。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固定资产利用率=（实际在用固定资产总额/所有固定资产总额）×100%。（利用率为100%的计1分，每降1个百分点扣0.1分，扣完为止）</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2821" w:hRule="atLeast"/>
        </w:trPr>
        <w:tc>
          <w:tcPr>
            <w:tcW w:w="534"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kern w:val="0"/>
                <w:sz w:val="20"/>
                <w:szCs w:val="20"/>
              </w:rPr>
            </w:pPr>
            <w:r>
              <w:rPr>
                <w:kern w:val="0"/>
                <w:sz w:val="20"/>
                <w:szCs w:val="20"/>
              </w:rPr>
              <w:t>产 出（30分）</w:t>
            </w: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职责履行（30分）</w:t>
            </w: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实际完成率（8分）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部门（单位）履行职责而实际完成工作数与计划工作数的比率，用以反映和考核部门（单位）履职工作任务目标的实现程度。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实际完成率=（实际完成工作数/计划工作数）×100%。（实际得分=实际工作完成率*8分）</w:t>
            </w:r>
            <w:r>
              <w:rPr>
                <w:kern w:val="0"/>
                <w:sz w:val="20"/>
                <w:szCs w:val="20"/>
              </w:rPr>
              <w:br w:type="textWrapping"/>
            </w:r>
            <w:r>
              <w:rPr>
                <w:kern w:val="0"/>
                <w:sz w:val="20"/>
                <w:szCs w:val="20"/>
              </w:rPr>
              <w:t>实际完成工作数：一定时期（年度或规划期）内部门（单位）实际完成工作任务的数量。</w:t>
            </w:r>
            <w:r>
              <w:rPr>
                <w:kern w:val="0"/>
                <w:sz w:val="20"/>
                <w:szCs w:val="20"/>
              </w:rPr>
              <w:br w:type="textWrapping"/>
            </w:r>
            <w:r>
              <w:rPr>
                <w:kern w:val="0"/>
                <w:sz w:val="20"/>
                <w:szCs w:val="20"/>
              </w:rPr>
              <w:t>计划工作数：部门（单位）整体绩效目标确定的一定时期（年度或规划期）内预计完成工作任务的数量。</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8</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732"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完成及时率（4分）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部门（单位）在规定时限内及时完成的实际工作数与计划工作数的比率</w:t>
            </w:r>
            <w:r>
              <w:rPr>
                <w:rFonts w:hint="eastAsia"/>
                <w:kern w:val="0"/>
                <w:sz w:val="20"/>
                <w:szCs w:val="20"/>
                <w:highlight w:val="none"/>
                <w:lang w:eastAsia="zh-CN"/>
              </w:rPr>
              <w:t>，</w:t>
            </w:r>
            <w:r>
              <w:rPr>
                <w:kern w:val="0"/>
                <w:sz w:val="20"/>
                <w:szCs w:val="20"/>
              </w:rPr>
              <w:t>用以反映和考核部门履职时效目标的实现程度。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完成及时率=（及时完成实际工作数/计划工作数）×100%。（1--4季度各得1分）</w:t>
            </w:r>
            <w:r>
              <w:rPr>
                <w:kern w:val="0"/>
                <w:sz w:val="20"/>
                <w:szCs w:val="20"/>
              </w:rPr>
              <w:br w:type="textWrapping"/>
            </w:r>
            <w:r>
              <w:rPr>
                <w:kern w:val="0"/>
                <w:sz w:val="20"/>
                <w:szCs w:val="20"/>
              </w:rPr>
              <w:t>及时完成实际工作数：部门（单位）按照整体绩效目标确定的时限实际完成的工作任务数量。</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4</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2267"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质量达标率（8分）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达到质量标准（绩效标准值）的实际工作数与计划工作数的比率</w:t>
            </w:r>
            <w:r>
              <w:rPr>
                <w:rFonts w:hint="eastAsia"/>
                <w:kern w:val="0"/>
                <w:sz w:val="20"/>
                <w:szCs w:val="20"/>
                <w:highlight w:val="none"/>
                <w:lang w:eastAsia="zh-CN"/>
              </w:rPr>
              <w:t>，</w:t>
            </w:r>
            <w:r>
              <w:rPr>
                <w:kern w:val="0"/>
                <w:sz w:val="20"/>
                <w:szCs w:val="20"/>
              </w:rPr>
              <w:t>用以反映和考核部门履职质量目标的实现程度。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质量达标率=（质量达标实际工作数/计划工作数）×100%。（实际得分=达标率*8分）</w:t>
            </w:r>
            <w:r>
              <w:rPr>
                <w:kern w:val="0"/>
                <w:sz w:val="20"/>
                <w:szCs w:val="20"/>
              </w:rPr>
              <w:br w:type="textWrapping"/>
            </w:r>
            <w:r>
              <w:rPr>
                <w:kern w:val="0"/>
                <w:sz w:val="20"/>
                <w:szCs w:val="20"/>
              </w:rPr>
              <w:t>质量达标实际工作数：一定时期（年度或规划期）内部门（单位）实际完成工作数中达到部门绩效目标要求（绩效标准值）的工作任务数量。</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8</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867"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重点工作办结率（10分）</w:t>
            </w:r>
          </w:p>
        </w:tc>
        <w:tc>
          <w:tcPr>
            <w:tcW w:w="2107"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部门（单位）年度重点工作实际完成数与交办或下达数的比率，用以反映部门（单位）对重点工作的办理落实程度。</w:t>
            </w:r>
          </w:p>
        </w:tc>
        <w:tc>
          <w:tcPr>
            <w:tcW w:w="2851"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重点工作办结率=（重点工作实际完成数/交办或下达数）×100%。（实际得分=办结率*10分）</w:t>
            </w:r>
            <w:r>
              <w:rPr>
                <w:kern w:val="0"/>
                <w:sz w:val="20"/>
                <w:szCs w:val="20"/>
              </w:rPr>
              <w:br w:type="textWrapping"/>
            </w:r>
            <w:r>
              <w:rPr>
                <w:kern w:val="0"/>
                <w:sz w:val="20"/>
                <w:szCs w:val="20"/>
              </w:rPr>
              <w:t>重点工作是指党委、政府、人大、相关部门交办或下达的工作任务。</w:t>
            </w:r>
          </w:p>
        </w:tc>
        <w:tc>
          <w:tcPr>
            <w:tcW w:w="696"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10</w:t>
            </w:r>
          </w:p>
        </w:tc>
        <w:tc>
          <w:tcPr>
            <w:tcW w:w="2172"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989" w:hRule="atLeast"/>
        </w:trPr>
        <w:tc>
          <w:tcPr>
            <w:tcW w:w="534"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kern w:val="0"/>
                <w:sz w:val="20"/>
                <w:szCs w:val="20"/>
              </w:rPr>
            </w:pPr>
            <w:r>
              <w:rPr>
                <w:kern w:val="0"/>
                <w:sz w:val="20"/>
                <w:szCs w:val="20"/>
              </w:rPr>
              <w:t>效 果（20分）</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履职效益（20分）</w:t>
            </w:r>
          </w:p>
        </w:tc>
        <w:tc>
          <w:tcPr>
            <w:tcW w:w="698"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经济效益（5分）</w:t>
            </w:r>
          </w:p>
        </w:tc>
        <w:tc>
          <w:tcPr>
            <w:tcW w:w="2107"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部门（单位）履行职责对经济发展所带来的直接或间接影响。</w:t>
            </w:r>
          </w:p>
        </w:tc>
        <w:tc>
          <w:tcPr>
            <w:tcW w:w="285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696"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117"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98"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社会效益（5分）</w:t>
            </w:r>
          </w:p>
        </w:tc>
        <w:tc>
          <w:tcPr>
            <w:tcW w:w="2107"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部门（单位）履行职责对社会发展所带来的直接或间接影响。</w:t>
            </w:r>
          </w:p>
        </w:tc>
        <w:tc>
          <w:tcPr>
            <w:tcW w:w="2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96"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991"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98"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生态效益（5分）</w:t>
            </w:r>
          </w:p>
        </w:tc>
        <w:tc>
          <w:tcPr>
            <w:tcW w:w="2107"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部门（单位）履行职责对生态环境所带来的直接或间接影响。</w:t>
            </w:r>
          </w:p>
        </w:tc>
        <w:tc>
          <w:tcPr>
            <w:tcW w:w="2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96"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1687"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98"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社会公众或服务对象满意度（5分）</w:t>
            </w:r>
          </w:p>
        </w:tc>
        <w:tc>
          <w:tcPr>
            <w:tcW w:w="2107"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社会公众或部门（单位）的服务对象对部门履职效果的满意程度。</w:t>
            </w:r>
          </w:p>
        </w:tc>
        <w:tc>
          <w:tcPr>
            <w:tcW w:w="2851"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社会公众或服务对象是指部门（单位）履行职责而影响到的部门、群体或个人。一般采取社会调查的方式。（按收到的服务对象的满意率计算得分）</w:t>
            </w:r>
          </w:p>
        </w:tc>
        <w:tc>
          <w:tcPr>
            <w:tcW w:w="696"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5</w:t>
            </w:r>
          </w:p>
        </w:tc>
        <w:tc>
          <w:tcPr>
            <w:tcW w:w="2172"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trHeight w:val="744" w:hRule="atLeast"/>
        </w:trPr>
        <w:tc>
          <w:tcPr>
            <w:tcW w:w="672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t>合      计</w:t>
            </w:r>
          </w:p>
        </w:tc>
        <w:tc>
          <w:tcPr>
            <w:tcW w:w="696" w:type="dxa"/>
            <w:tcBorders>
              <w:top w:val="single" w:color="auto" w:sz="4" w:space="0"/>
              <w:left w:val="nil"/>
              <w:bottom w:val="single" w:color="auto" w:sz="4" w:space="0"/>
              <w:right w:val="single" w:color="auto" w:sz="4" w:space="0"/>
            </w:tcBorders>
            <w:vAlign w:val="center"/>
          </w:tcPr>
          <w:p>
            <w:pPr>
              <w:widowControl/>
              <w:jc w:val="left"/>
              <w:rPr>
                <w:rFonts w:hint="eastAsia"/>
                <w:kern w:val="0"/>
                <w:sz w:val="24"/>
              </w:rPr>
            </w:pPr>
            <w:r>
              <w:rPr>
                <w:kern w:val="0"/>
                <w:sz w:val="24"/>
              </w:rPr>
              <w:t xml:space="preserve">  9</w:t>
            </w:r>
            <w:r>
              <w:rPr>
                <w:rFonts w:hint="eastAsia"/>
                <w:kern w:val="0"/>
                <w:sz w:val="24"/>
              </w:rPr>
              <w:t>6</w:t>
            </w:r>
          </w:p>
        </w:tc>
        <w:tc>
          <w:tcPr>
            <w:tcW w:w="2172"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bl>
    <w:p>
      <w:pPr>
        <w:spacing w:line="620" w:lineRule="exact"/>
        <w:jc w:val="left"/>
        <w:rPr>
          <w:rFonts w:hint="eastAsia" w:eastAsia="方正黑体简体"/>
          <w:color w:val="000000"/>
          <w:kern w:val="0"/>
          <w:sz w:val="32"/>
          <w:szCs w:val="32"/>
        </w:rPr>
      </w:pPr>
      <w:r>
        <w:rPr>
          <w:rFonts w:eastAsia="方正仿宋简体"/>
          <w:sz w:val="28"/>
          <w:szCs w:val="28"/>
        </w:rPr>
        <w:br w:type="page"/>
      </w:r>
      <w:r>
        <w:rPr>
          <w:rFonts w:eastAsia="方正黑体简体"/>
          <w:color w:val="000000"/>
          <w:kern w:val="0"/>
          <w:sz w:val="32"/>
          <w:szCs w:val="32"/>
        </w:rPr>
        <w:t>附件</w:t>
      </w:r>
      <w:r>
        <w:rPr>
          <w:rFonts w:hint="eastAsia" w:eastAsia="方正黑体简体"/>
          <w:color w:val="000000"/>
          <w:kern w:val="0"/>
          <w:sz w:val="32"/>
          <w:szCs w:val="32"/>
        </w:rPr>
        <w:t>2</w:t>
      </w:r>
    </w:p>
    <w:p>
      <w:pPr>
        <w:spacing w:line="620" w:lineRule="exact"/>
        <w:jc w:val="center"/>
        <w:rPr>
          <w:rFonts w:eastAsia="方正小标宋简体"/>
          <w:color w:val="000000"/>
          <w:kern w:val="0"/>
          <w:sz w:val="36"/>
          <w:szCs w:val="36"/>
        </w:rPr>
      </w:pPr>
      <w:r>
        <w:rPr>
          <w:rFonts w:eastAsia="方正小标宋简体"/>
          <w:color w:val="000000"/>
          <w:kern w:val="0"/>
          <w:sz w:val="36"/>
          <w:szCs w:val="36"/>
        </w:rPr>
        <w:t>20</w:t>
      </w:r>
      <w:r>
        <w:rPr>
          <w:rFonts w:hint="eastAsia" w:eastAsia="方正小标宋简体"/>
          <w:color w:val="000000"/>
          <w:kern w:val="0"/>
          <w:sz w:val="36"/>
          <w:szCs w:val="36"/>
        </w:rPr>
        <w:t>20</w:t>
      </w:r>
      <w:r>
        <w:rPr>
          <w:rFonts w:eastAsia="方正小标宋简体"/>
          <w:color w:val="000000"/>
          <w:kern w:val="0"/>
          <w:sz w:val="36"/>
          <w:szCs w:val="36"/>
        </w:rPr>
        <w:t>年度区本级部门整体支出绩效目标完成情况表</w:t>
      </w:r>
    </w:p>
    <w:p>
      <w:pPr>
        <w:pStyle w:val="5"/>
        <w:spacing w:before="93"/>
      </w:pPr>
    </w:p>
    <w:tbl>
      <w:tblPr>
        <w:tblStyle w:val="16"/>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927"/>
        <w:gridCol w:w="991"/>
        <w:gridCol w:w="1040"/>
        <w:gridCol w:w="1335"/>
        <w:gridCol w:w="179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blHeader/>
        </w:trPr>
        <w:tc>
          <w:tcPr>
            <w:tcW w:w="999" w:type="dxa"/>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部门（单位）名称</w:t>
            </w:r>
          </w:p>
        </w:tc>
        <w:tc>
          <w:tcPr>
            <w:tcW w:w="4293" w:type="dxa"/>
            <w:gridSpan w:val="4"/>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　资阳市雁江区渡口管理所</w:t>
            </w:r>
          </w:p>
        </w:tc>
        <w:tc>
          <w:tcPr>
            <w:tcW w:w="1799" w:type="dxa"/>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预算单位编码</w:t>
            </w:r>
          </w:p>
        </w:tc>
        <w:tc>
          <w:tcPr>
            <w:tcW w:w="1968" w:type="dxa"/>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257001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999"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预算执行情况</w:t>
            </w:r>
          </w:p>
        </w:tc>
        <w:tc>
          <w:tcPr>
            <w:tcW w:w="927"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项目</w:t>
            </w:r>
          </w:p>
        </w:tc>
        <w:tc>
          <w:tcPr>
            <w:tcW w:w="991" w:type="dxa"/>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预算额</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百元</w:t>
            </w:r>
            <w:r>
              <w:rPr>
                <w:rFonts w:hint="eastAsia" w:ascii="宋体" w:hAnsi="宋体" w:cs="宋体"/>
                <w:color w:val="000000"/>
                <w:kern w:val="0"/>
                <w:sz w:val="20"/>
                <w:szCs w:val="20"/>
                <w:highlight w:val="none"/>
                <w:lang w:eastAsia="zh-CN"/>
              </w:rPr>
              <w:t>）</w:t>
            </w:r>
          </w:p>
        </w:tc>
        <w:tc>
          <w:tcPr>
            <w:tcW w:w="1040" w:type="dxa"/>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执行额</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百元</w:t>
            </w:r>
            <w:r>
              <w:rPr>
                <w:rFonts w:hint="eastAsia" w:ascii="宋体" w:hAnsi="宋体" w:cs="宋体"/>
                <w:color w:val="000000"/>
                <w:kern w:val="0"/>
                <w:sz w:val="20"/>
                <w:szCs w:val="20"/>
                <w:highlight w:val="none"/>
                <w:lang w:eastAsia="zh-CN"/>
              </w:rPr>
              <w:t>）</w:t>
            </w:r>
          </w:p>
        </w:tc>
        <w:tc>
          <w:tcPr>
            <w:tcW w:w="1335" w:type="dxa"/>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当年结转结余额</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百元</w:t>
            </w:r>
            <w:r>
              <w:rPr>
                <w:rFonts w:hint="eastAsia" w:ascii="宋体" w:hAnsi="宋体" w:cs="宋体"/>
                <w:color w:val="000000"/>
                <w:kern w:val="0"/>
                <w:sz w:val="20"/>
                <w:szCs w:val="20"/>
                <w:highlight w:val="none"/>
                <w:lang w:eastAsia="zh-CN"/>
              </w:rPr>
              <w:t>）</w:t>
            </w:r>
          </w:p>
        </w:tc>
        <w:tc>
          <w:tcPr>
            <w:tcW w:w="1799"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结转结余率%</w:t>
            </w:r>
          </w:p>
        </w:tc>
        <w:tc>
          <w:tcPr>
            <w:tcW w:w="196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合计</w:t>
            </w:r>
          </w:p>
        </w:tc>
        <w:tc>
          <w:tcPr>
            <w:tcW w:w="991"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10746.4</w:t>
            </w:r>
          </w:p>
        </w:tc>
        <w:tc>
          <w:tcPr>
            <w:tcW w:w="1040"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10070.88</w:t>
            </w:r>
          </w:p>
        </w:tc>
        <w:tc>
          <w:tcPr>
            <w:tcW w:w="1335"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675.52</w:t>
            </w:r>
          </w:p>
        </w:tc>
        <w:tc>
          <w:tcPr>
            <w:tcW w:w="1799"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6.29%</w:t>
            </w:r>
          </w:p>
        </w:tc>
        <w:tc>
          <w:tcPr>
            <w:tcW w:w="1968"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-17.99%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基本支出</w:t>
            </w:r>
          </w:p>
        </w:tc>
        <w:tc>
          <w:tcPr>
            <w:tcW w:w="991"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10236.4</w:t>
            </w:r>
          </w:p>
        </w:tc>
        <w:tc>
          <w:tcPr>
            <w:tcW w:w="1040"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9560.88</w:t>
            </w:r>
          </w:p>
        </w:tc>
        <w:tc>
          <w:tcPr>
            <w:tcW w:w="1335"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675.52</w:t>
            </w:r>
          </w:p>
        </w:tc>
        <w:tc>
          <w:tcPr>
            <w:tcW w:w="1799"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6.6%</w:t>
            </w:r>
          </w:p>
        </w:tc>
        <w:tc>
          <w:tcPr>
            <w:tcW w:w="1968"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政策和项目支出</w:t>
            </w:r>
          </w:p>
        </w:tc>
        <w:tc>
          <w:tcPr>
            <w:tcW w:w="991"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510</w:t>
            </w:r>
          </w:p>
        </w:tc>
        <w:tc>
          <w:tcPr>
            <w:tcW w:w="1040"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510</w:t>
            </w:r>
          </w:p>
        </w:tc>
        <w:tc>
          <w:tcPr>
            <w:tcW w:w="1335"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0</w:t>
            </w:r>
          </w:p>
        </w:tc>
        <w:tc>
          <w:tcPr>
            <w:tcW w:w="1799"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0</w:t>
            </w:r>
          </w:p>
        </w:tc>
        <w:tc>
          <w:tcPr>
            <w:tcW w:w="1968" w:type="dxa"/>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99"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结构</w:t>
            </w:r>
          </w:p>
        </w:tc>
        <w:tc>
          <w:tcPr>
            <w:tcW w:w="927"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项目</w:t>
            </w:r>
          </w:p>
        </w:tc>
        <w:tc>
          <w:tcPr>
            <w:tcW w:w="991"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合计</w:t>
            </w:r>
          </w:p>
        </w:tc>
        <w:tc>
          <w:tcPr>
            <w:tcW w:w="104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一般公共预算安排</w:t>
            </w:r>
          </w:p>
        </w:tc>
        <w:tc>
          <w:tcPr>
            <w:tcW w:w="1335"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政府性基金预算安排</w:t>
            </w:r>
          </w:p>
        </w:tc>
        <w:tc>
          <w:tcPr>
            <w:tcW w:w="1799"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国有资本经营预算安排</w:t>
            </w:r>
          </w:p>
        </w:tc>
        <w:tc>
          <w:tcPr>
            <w:tcW w:w="196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spacing w:line="36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预算额</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百元</w:t>
            </w:r>
            <w:r>
              <w:rPr>
                <w:rFonts w:hint="eastAsia" w:ascii="宋体" w:hAnsi="宋体" w:cs="宋体"/>
                <w:color w:val="000000"/>
                <w:kern w:val="0"/>
                <w:sz w:val="20"/>
                <w:szCs w:val="20"/>
                <w:highlight w:val="none"/>
                <w:lang w:eastAsia="zh-CN"/>
              </w:rPr>
              <w:t>）</w:t>
            </w:r>
          </w:p>
        </w:tc>
        <w:tc>
          <w:tcPr>
            <w:tcW w:w="991" w:type="dxa"/>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10746.4</w:t>
            </w:r>
          </w:p>
        </w:tc>
        <w:tc>
          <w:tcPr>
            <w:tcW w:w="1040"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10746.4</w:t>
            </w:r>
          </w:p>
        </w:tc>
        <w:tc>
          <w:tcPr>
            <w:tcW w:w="1335"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spacing w:line="36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执行额</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百元</w:t>
            </w:r>
            <w:r>
              <w:rPr>
                <w:rFonts w:hint="eastAsia" w:ascii="宋体" w:hAnsi="宋体" w:cs="宋体"/>
                <w:color w:val="000000"/>
                <w:kern w:val="0"/>
                <w:sz w:val="20"/>
                <w:szCs w:val="20"/>
                <w:highlight w:val="none"/>
                <w:lang w:eastAsia="zh-CN"/>
              </w:rPr>
              <w:t>）</w:t>
            </w:r>
          </w:p>
        </w:tc>
        <w:tc>
          <w:tcPr>
            <w:tcW w:w="991" w:type="dxa"/>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10070.88</w:t>
            </w:r>
          </w:p>
        </w:tc>
        <w:tc>
          <w:tcPr>
            <w:tcW w:w="1040"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10070.88</w:t>
            </w:r>
          </w:p>
        </w:tc>
        <w:tc>
          <w:tcPr>
            <w:tcW w:w="1335"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spacing w:line="360" w:lineRule="exact"/>
              <w:jc w:val="center"/>
              <w:rPr>
                <w:rFonts w:hint="eastAsia" w:ascii="宋体" w:hAnsi="宋体" w:eastAsia="宋体" w:cs="宋体"/>
                <w:color w:val="000000"/>
                <w:spacing w:val="-20"/>
                <w:kern w:val="0"/>
                <w:sz w:val="20"/>
                <w:szCs w:val="20"/>
                <w:lang w:eastAsia="zh-CN"/>
              </w:rPr>
            </w:pPr>
            <w:r>
              <w:rPr>
                <w:rFonts w:hint="eastAsia" w:ascii="宋体" w:hAnsi="宋体" w:cs="宋体"/>
                <w:color w:val="000000"/>
                <w:spacing w:val="-20"/>
                <w:kern w:val="0"/>
                <w:sz w:val="20"/>
                <w:szCs w:val="20"/>
              </w:rPr>
              <w:t>当年结转结余额</w:t>
            </w:r>
            <w:r>
              <w:rPr>
                <w:rFonts w:hint="eastAsia" w:ascii="宋体" w:hAnsi="宋体" w:cs="宋体"/>
                <w:color w:val="000000"/>
                <w:spacing w:val="-20"/>
                <w:kern w:val="0"/>
                <w:sz w:val="20"/>
                <w:szCs w:val="20"/>
                <w:highlight w:val="none"/>
                <w:lang w:eastAsia="zh-CN"/>
              </w:rPr>
              <w:t>（</w:t>
            </w:r>
            <w:r>
              <w:rPr>
                <w:rFonts w:hint="eastAsia" w:ascii="宋体" w:hAnsi="宋体" w:cs="宋体"/>
                <w:color w:val="000000"/>
                <w:spacing w:val="-20"/>
                <w:kern w:val="0"/>
                <w:sz w:val="20"/>
                <w:szCs w:val="20"/>
              </w:rPr>
              <w:t>百元</w:t>
            </w:r>
            <w:r>
              <w:rPr>
                <w:rFonts w:hint="eastAsia" w:ascii="宋体" w:hAnsi="宋体" w:cs="宋体"/>
                <w:color w:val="000000"/>
                <w:spacing w:val="-20"/>
                <w:kern w:val="0"/>
                <w:sz w:val="20"/>
                <w:szCs w:val="20"/>
                <w:highlight w:val="none"/>
                <w:lang w:eastAsia="zh-CN"/>
              </w:rPr>
              <w:t>）</w:t>
            </w:r>
          </w:p>
        </w:tc>
        <w:tc>
          <w:tcPr>
            <w:tcW w:w="991" w:type="dxa"/>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675.52</w:t>
            </w:r>
          </w:p>
        </w:tc>
        <w:tc>
          <w:tcPr>
            <w:tcW w:w="1040"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675.52</w:t>
            </w:r>
          </w:p>
        </w:tc>
        <w:tc>
          <w:tcPr>
            <w:tcW w:w="1335"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结转结余率%</w:t>
            </w:r>
          </w:p>
        </w:tc>
        <w:tc>
          <w:tcPr>
            <w:tcW w:w="991"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6.29%</w:t>
            </w:r>
          </w:p>
        </w:tc>
        <w:tc>
          <w:tcPr>
            <w:tcW w:w="1040"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6.29%</w:t>
            </w:r>
          </w:p>
        </w:tc>
        <w:tc>
          <w:tcPr>
            <w:tcW w:w="1335"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结转结余变动率%</w:t>
            </w:r>
          </w:p>
        </w:tc>
        <w:tc>
          <w:tcPr>
            <w:tcW w:w="991"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-17.99%</w:t>
            </w:r>
          </w:p>
        </w:tc>
        <w:tc>
          <w:tcPr>
            <w:tcW w:w="1040"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-17.99%</w:t>
            </w:r>
          </w:p>
        </w:tc>
        <w:tc>
          <w:tcPr>
            <w:tcW w:w="1335"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99"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年度总体目标</w:t>
            </w:r>
          </w:p>
        </w:tc>
        <w:tc>
          <w:tcPr>
            <w:tcW w:w="1918" w:type="dxa"/>
            <w:gridSpan w:val="2"/>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预算总体目标</w:t>
            </w:r>
          </w:p>
        </w:tc>
        <w:tc>
          <w:tcPr>
            <w:tcW w:w="2375" w:type="dxa"/>
            <w:gridSpan w:val="2"/>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预算总体目标执行结果</w:t>
            </w:r>
          </w:p>
        </w:tc>
        <w:tc>
          <w:tcPr>
            <w:tcW w:w="3767" w:type="dxa"/>
            <w:gridSpan w:val="2"/>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预算总体目标与预算总体目标</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1918" w:type="dxa"/>
            <w:gridSpan w:val="2"/>
            <w:vAlign w:val="center"/>
          </w:tcPr>
          <w:p>
            <w:pPr>
              <w:widowControl/>
              <w:spacing w:line="700" w:lineRule="exact"/>
              <w:rPr>
                <w:rFonts w:hint="eastAsia" w:ascii="宋体" w:hAnsi="宋体" w:cs="宋体"/>
                <w:color w:val="000000"/>
                <w:kern w:val="0"/>
                <w:sz w:val="20"/>
                <w:szCs w:val="20"/>
              </w:rPr>
            </w:pPr>
            <w:r>
              <w:rPr>
                <w:rFonts w:hint="eastAsia" w:ascii="宋体" w:hAnsi="宋体" w:cs="宋体"/>
                <w:color w:val="000000"/>
                <w:kern w:val="0"/>
                <w:sz w:val="20"/>
                <w:szCs w:val="20"/>
              </w:rPr>
              <w:t>目标1:……….</w:t>
            </w:r>
          </w:p>
        </w:tc>
        <w:tc>
          <w:tcPr>
            <w:tcW w:w="2375" w:type="dxa"/>
            <w:gridSpan w:val="2"/>
            <w:vAlign w:val="center"/>
          </w:tcPr>
          <w:p>
            <w:pPr>
              <w:widowControl/>
              <w:spacing w:line="700" w:lineRule="exact"/>
              <w:rPr>
                <w:rFonts w:hint="eastAsia" w:ascii="宋体" w:hAnsi="宋体" w:cs="宋体"/>
                <w:color w:val="000000"/>
                <w:kern w:val="0"/>
                <w:sz w:val="20"/>
                <w:szCs w:val="20"/>
              </w:rPr>
            </w:pPr>
          </w:p>
        </w:tc>
        <w:tc>
          <w:tcPr>
            <w:tcW w:w="3767" w:type="dxa"/>
            <w:gridSpan w:val="2"/>
            <w:vAlign w:val="center"/>
          </w:tcPr>
          <w:p>
            <w:pPr>
              <w:widowControl/>
              <w:spacing w:line="7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1918" w:type="dxa"/>
            <w:gridSpan w:val="2"/>
            <w:vAlign w:val="center"/>
          </w:tcPr>
          <w:p>
            <w:pPr>
              <w:widowControl/>
              <w:spacing w:line="700" w:lineRule="exact"/>
              <w:rPr>
                <w:rFonts w:hint="eastAsia" w:ascii="宋体" w:hAnsi="宋体" w:cs="宋体"/>
                <w:color w:val="000000"/>
                <w:kern w:val="0"/>
                <w:sz w:val="20"/>
                <w:szCs w:val="20"/>
              </w:rPr>
            </w:pPr>
            <w:r>
              <w:rPr>
                <w:rFonts w:hint="eastAsia" w:ascii="宋体" w:hAnsi="宋体" w:cs="宋体"/>
                <w:color w:val="000000"/>
                <w:kern w:val="0"/>
                <w:sz w:val="20"/>
                <w:szCs w:val="20"/>
              </w:rPr>
              <w:t>目标2:……….</w:t>
            </w:r>
          </w:p>
        </w:tc>
        <w:tc>
          <w:tcPr>
            <w:tcW w:w="2375" w:type="dxa"/>
            <w:gridSpan w:val="2"/>
            <w:vAlign w:val="center"/>
          </w:tcPr>
          <w:p>
            <w:pPr>
              <w:widowControl/>
              <w:spacing w:line="700" w:lineRule="exac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3767" w:type="dxa"/>
            <w:gridSpan w:val="2"/>
            <w:vAlign w:val="center"/>
          </w:tcPr>
          <w:p>
            <w:pPr>
              <w:widowControl/>
              <w:spacing w:line="7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1918" w:type="dxa"/>
            <w:gridSpan w:val="2"/>
            <w:vAlign w:val="center"/>
          </w:tcPr>
          <w:p>
            <w:pPr>
              <w:widowControl/>
              <w:spacing w:line="700" w:lineRule="exact"/>
              <w:rPr>
                <w:rFonts w:hint="eastAsia" w:ascii="宋体" w:hAnsi="宋体" w:cs="宋体"/>
                <w:color w:val="000000"/>
                <w:kern w:val="0"/>
                <w:sz w:val="20"/>
                <w:szCs w:val="20"/>
              </w:rPr>
            </w:pPr>
            <w:r>
              <w:rPr>
                <w:rFonts w:hint="eastAsia" w:ascii="宋体" w:hAnsi="宋体" w:cs="宋体"/>
                <w:color w:val="000000"/>
                <w:kern w:val="0"/>
                <w:sz w:val="20"/>
                <w:szCs w:val="20"/>
              </w:rPr>
              <w:t>目标3:……….</w:t>
            </w:r>
          </w:p>
        </w:tc>
        <w:tc>
          <w:tcPr>
            <w:tcW w:w="2375" w:type="dxa"/>
            <w:gridSpan w:val="2"/>
            <w:vAlign w:val="center"/>
          </w:tcPr>
          <w:p>
            <w:pPr>
              <w:widowControl/>
              <w:spacing w:line="700" w:lineRule="exac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3767" w:type="dxa"/>
            <w:gridSpan w:val="2"/>
            <w:vAlign w:val="center"/>
          </w:tcPr>
          <w:p>
            <w:pPr>
              <w:widowControl/>
              <w:spacing w:line="7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999"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年度绩效指标</w:t>
            </w:r>
          </w:p>
        </w:tc>
        <w:tc>
          <w:tcPr>
            <w:tcW w:w="927"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一级指标</w:t>
            </w:r>
          </w:p>
        </w:tc>
        <w:tc>
          <w:tcPr>
            <w:tcW w:w="991"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二级指标</w:t>
            </w:r>
          </w:p>
        </w:tc>
        <w:tc>
          <w:tcPr>
            <w:tcW w:w="104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三级指标</w:t>
            </w:r>
          </w:p>
        </w:tc>
        <w:tc>
          <w:tcPr>
            <w:tcW w:w="1335" w:type="dxa"/>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预算指标值</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包含数字及文字描述</w:t>
            </w:r>
            <w:r>
              <w:rPr>
                <w:rFonts w:hint="eastAsia" w:ascii="宋体" w:hAnsi="宋体" w:cs="宋体"/>
                <w:color w:val="000000"/>
                <w:kern w:val="0"/>
                <w:sz w:val="20"/>
                <w:szCs w:val="20"/>
                <w:highlight w:val="none"/>
                <w:lang w:eastAsia="zh-CN"/>
              </w:rPr>
              <w:t>）</w:t>
            </w:r>
          </w:p>
        </w:tc>
        <w:tc>
          <w:tcPr>
            <w:tcW w:w="1799" w:type="dxa"/>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预算指标值执行结果</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包含数字及文字描述</w:t>
            </w:r>
            <w:r>
              <w:rPr>
                <w:rFonts w:hint="eastAsia" w:ascii="宋体" w:hAnsi="宋体" w:cs="宋体"/>
                <w:color w:val="000000"/>
                <w:kern w:val="0"/>
                <w:sz w:val="20"/>
                <w:szCs w:val="20"/>
                <w:highlight w:val="none"/>
                <w:lang w:eastAsia="zh-CN"/>
              </w:rPr>
              <w:t>）</w:t>
            </w:r>
          </w:p>
        </w:tc>
        <w:tc>
          <w:tcPr>
            <w:tcW w:w="196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完成</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数量</w:t>
            </w:r>
          </w:p>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质量</w:t>
            </w:r>
          </w:p>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时效</w:t>
            </w:r>
          </w:p>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成本</w:t>
            </w:r>
          </w:p>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效益</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经济效益指标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社会效益指标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生态效益指标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可持续影响指标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restart"/>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满意度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991" w:type="dxa"/>
            <w:vMerge w:val="restart"/>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满意度指标</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指标1:</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指标2:</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Merge w:val="continue"/>
            <w:vAlign w:val="center"/>
          </w:tcPr>
          <w:p>
            <w:pPr>
              <w:widowControl/>
              <w:spacing w:line="380" w:lineRule="exact"/>
              <w:jc w:val="left"/>
              <w:rPr>
                <w:rFonts w:hint="eastAsia" w:ascii="宋体" w:hAnsi="宋体" w:cs="宋体"/>
                <w:color w:val="000000"/>
                <w:kern w:val="0"/>
                <w:sz w:val="20"/>
                <w:szCs w:val="20"/>
              </w:rPr>
            </w:pPr>
          </w:p>
        </w:tc>
        <w:tc>
          <w:tcPr>
            <w:tcW w:w="1040" w:type="dxa"/>
            <w:vAlign w:val="center"/>
          </w:tcPr>
          <w:p>
            <w:pPr>
              <w:widowControl/>
              <w:spacing w:line="38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hint="eastAsia" w:ascii="宋体" w:hAnsi="宋体" w:cs="宋体"/>
                <w:color w:val="000000"/>
                <w:kern w:val="0"/>
                <w:sz w:val="20"/>
                <w:szCs w:val="20"/>
                <w:highlight w:val="none"/>
                <w:lang w:eastAsia="zh-CN"/>
              </w:rPr>
              <w:t>.</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99" w:type="dxa"/>
            <w:vMerge w:val="continue"/>
            <w:vAlign w:val="center"/>
          </w:tcPr>
          <w:p>
            <w:pPr>
              <w:widowControl/>
              <w:jc w:val="left"/>
              <w:rPr>
                <w:rFonts w:hint="eastAsia" w:ascii="宋体" w:hAnsi="宋体" w:cs="宋体"/>
                <w:color w:val="000000"/>
                <w:kern w:val="0"/>
                <w:sz w:val="20"/>
                <w:szCs w:val="20"/>
              </w:rPr>
            </w:pPr>
          </w:p>
        </w:tc>
        <w:tc>
          <w:tcPr>
            <w:tcW w:w="927" w:type="dxa"/>
            <w:vMerge w:val="continue"/>
            <w:vAlign w:val="center"/>
          </w:tcPr>
          <w:p>
            <w:pPr>
              <w:widowControl/>
              <w:jc w:val="left"/>
              <w:rPr>
                <w:rFonts w:hint="eastAsia" w:ascii="宋体" w:hAnsi="宋体" w:cs="宋体"/>
                <w:color w:val="000000"/>
                <w:kern w:val="0"/>
                <w:sz w:val="20"/>
                <w:szCs w:val="20"/>
              </w:rPr>
            </w:pPr>
          </w:p>
        </w:tc>
        <w:tc>
          <w:tcPr>
            <w:tcW w:w="991"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w:t>
            </w:r>
          </w:p>
        </w:tc>
        <w:tc>
          <w:tcPr>
            <w:tcW w:w="1040"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335"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799"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968" w:type="dxa"/>
            <w:vAlign w:val="center"/>
          </w:tcPr>
          <w:p>
            <w:pPr>
              <w:widowControl/>
              <w:spacing w:line="3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bl>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int="eastAsia" w:hAnsi="仿宋" w:eastAsia="仿宋"/>
          <w:color w:val="222222"/>
          <w:sz w:val="32"/>
          <w:szCs w:val="32"/>
        </w:rPr>
      </w:pPr>
    </w:p>
    <w:p>
      <w:pPr>
        <w:widowControl/>
        <w:autoSpaceDN w:val="0"/>
        <w:adjustRightInd w:val="0"/>
        <w:snapToGrid w:val="0"/>
        <w:spacing w:line="600" w:lineRule="exact"/>
        <w:jc w:val="center"/>
        <w:rPr>
          <w:rFonts w:hAnsi="仿宋" w:eastAsia="仿宋"/>
          <w:color w:val="222222"/>
          <w:sz w:val="32"/>
          <w:szCs w:val="32"/>
        </w:rPr>
      </w:pPr>
    </w:p>
    <w:p>
      <w:pPr>
        <w:spacing w:line="600" w:lineRule="exact"/>
        <w:jc w:val="center"/>
        <w:outlineLvl w:val="0"/>
        <w:rPr>
          <w:rFonts w:eastAsia="方正小标宋简体"/>
          <w:color w:val="000000"/>
          <w:sz w:val="44"/>
          <w:szCs w:val="44"/>
        </w:rPr>
      </w:pPr>
    </w:p>
    <w:bookmarkEnd w:id="55"/>
    <w:bookmarkEnd w:id="57"/>
    <w:p>
      <w:pPr>
        <w:spacing w:line="600"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25"/>
          <w:rFonts w:hint="eastAsia" w:ascii="黑体" w:hAnsi="黑体" w:eastAsia="黑体"/>
          <w:b w:val="0"/>
        </w:rPr>
        <w:t>五部分 附表</w:t>
      </w:r>
    </w:p>
    <w:p>
      <w:pPr>
        <w:pStyle w:val="5"/>
        <w:adjustRightInd w:val="0"/>
        <w:snapToGrid w:val="0"/>
        <w:spacing w:beforeLines="0" w:line="600" w:lineRule="exact"/>
        <w:ind w:firstLine="640" w:firstLineChars="200"/>
        <w:rPr>
          <w:rFonts w:ascii="Times New Roman" w:eastAsia="方正仿宋简体"/>
          <w:sz w:val="32"/>
          <w:szCs w:val="32"/>
        </w:rPr>
      </w:pPr>
      <w:bookmarkStart w:id="58" w:name="_Toc17103571"/>
      <w:r>
        <w:rPr>
          <w:rFonts w:hint="eastAsia" w:ascii="Times New Roman" w:eastAsia="方正仿宋简体"/>
          <w:sz w:val="32"/>
          <w:szCs w:val="32"/>
        </w:rPr>
        <w:t>一、</w:t>
      </w:r>
      <w:bookmarkEnd w:id="58"/>
      <w:r>
        <w:rPr>
          <w:rFonts w:hint="eastAsia" w:ascii="Times New Roman" w:eastAsia="方正仿宋简体"/>
          <w:sz w:val="32"/>
          <w:szCs w:val="32"/>
        </w:rPr>
        <w:t>收入支出决算总表</w:t>
      </w:r>
    </w:p>
    <w:p>
      <w:pPr>
        <w:pStyle w:val="5"/>
        <w:adjustRightInd w:val="0"/>
        <w:snapToGrid w:val="0"/>
        <w:spacing w:beforeLines="0" w:line="600" w:lineRule="exact"/>
        <w:ind w:firstLine="640" w:firstLineChars="200"/>
        <w:rPr>
          <w:rFonts w:ascii="Times New Roman" w:eastAsia="方正仿宋简体"/>
          <w:sz w:val="32"/>
          <w:szCs w:val="32"/>
        </w:rPr>
      </w:pPr>
      <w:bookmarkStart w:id="59" w:name="_Toc17103572"/>
      <w:r>
        <w:rPr>
          <w:rFonts w:hint="eastAsia" w:ascii="Times New Roman" w:eastAsia="方正仿宋简体"/>
          <w:sz w:val="32"/>
          <w:szCs w:val="32"/>
        </w:rPr>
        <w:t>二、</w:t>
      </w:r>
      <w:bookmarkEnd w:id="59"/>
      <w:r>
        <w:rPr>
          <w:rFonts w:hint="eastAsia" w:ascii="Times New Roman" w:eastAsia="方正仿宋简体"/>
          <w:sz w:val="32"/>
          <w:szCs w:val="32"/>
        </w:rPr>
        <w:t>收入决算表</w:t>
      </w:r>
    </w:p>
    <w:p>
      <w:pPr>
        <w:pStyle w:val="5"/>
        <w:adjustRightInd w:val="0"/>
        <w:snapToGrid w:val="0"/>
        <w:spacing w:beforeLines="0" w:line="600" w:lineRule="exact"/>
        <w:ind w:firstLine="600" w:firstLineChars="200"/>
        <w:rPr>
          <w:rFonts w:ascii="Times New Roman" w:eastAsia="方正仿宋简体"/>
          <w:sz w:val="32"/>
          <w:szCs w:val="32"/>
        </w:rPr>
      </w:pPr>
      <w:bookmarkStart w:id="60" w:name="_Toc17103573"/>
      <w:r>
        <w:rPr>
          <w:rFonts w:hint="eastAsia" w:ascii="Times New Roman" w:eastAsia="方正仿宋简体"/>
          <w:b/>
          <w:bCs/>
        </w:rPr>
        <w:t>三、</w:t>
      </w:r>
      <w:bookmarkEnd w:id="60"/>
      <w:r>
        <w:rPr>
          <w:rFonts w:hint="eastAsia" w:ascii="Times New Roman" w:eastAsia="方正仿宋简体"/>
          <w:sz w:val="32"/>
          <w:szCs w:val="32"/>
        </w:rPr>
        <w:t>支出决算表</w:t>
      </w:r>
    </w:p>
    <w:p>
      <w:pPr>
        <w:pStyle w:val="5"/>
        <w:adjustRightInd w:val="0"/>
        <w:snapToGrid w:val="0"/>
        <w:spacing w:beforeLines="0" w:line="600" w:lineRule="exact"/>
        <w:ind w:firstLine="600" w:firstLineChars="200"/>
        <w:rPr>
          <w:rFonts w:ascii="Times New Roman" w:eastAsia="方正仿宋简体"/>
          <w:sz w:val="32"/>
          <w:szCs w:val="32"/>
        </w:rPr>
      </w:pPr>
      <w:bookmarkStart w:id="61" w:name="_Toc17103574"/>
      <w:r>
        <w:rPr>
          <w:rFonts w:hint="eastAsia" w:ascii="Times New Roman" w:eastAsia="方正仿宋简体"/>
          <w:b/>
          <w:bCs/>
        </w:rPr>
        <w:t>四、</w:t>
      </w:r>
      <w:bookmarkEnd w:id="61"/>
      <w:r>
        <w:rPr>
          <w:rFonts w:hint="eastAsia" w:ascii="Times New Roman" w:eastAsia="方正仿宋简体"/>
          <w:sz w:val="32"/>
          <w:szCs w:val="32"/>
        </w:rPr>
        <w:t>财政拨款收入支出决算总表</w:t>
      </w:r>
    </w:p>
    <w:p>
      <w:pPr>
        <w:pStyle w:val="5"/>
        <w:adjustRightInd w:val="0"/>
        <w:snapToGrid w:val="0"/>
        <w:spacing w:beforeLines="0" w:line="600" w:lineRule="exact"/>
        <w:ind w:firstLine="600" w:firstLineChars="200"/>
        <w:rPr>
          <w:rFonts w:ascii="Times New Roman" w:eastAsia="方正仿宋简体"/>
          <w:sz w:val="32"/>
          <w:szCs w:val="32"/>
        </w:rPr>
      </w:pPr>
      <w:bookmarkStart w:id="62" w:name="_Toc17103575"/>
      <w:r>
        <w:rPr>
          <w:rFonts w:hint="eastAsia" w:ascii="Times New Roman" w:eastAsia="方正仿宋简体"/>
          <w:b/>
          <w:bCs/>
        </w:rPr>
        <w:t>五、</w:t>
      </w:r>
      <w:bookmarkEnd w:id="62"/>
      <w:r>
        <w:rPr>
          <w:rFonts w:hint="eastAsia" w:ascii="Times New Roman" w:eastAsia="方正仿宋简体"/>
          <w:sz w:val="32"/>
          <w:szCs w:val="32"/>
        </w:rPr>
        <w:t>财政拨款支出决算明细表</w:t>
      </w:r>
    </w:p>
    <w:p>
      <w:pPr>
        <w:pStyle w:val="5"/>
        <w:adjustRightInd w:val="0"/>
        <w:snapToGrid w:val="0"/>
        <w:spacing w:beforeLines="0" w:line="600" w:lineRule="exact"/>
        <w:ind w:firstLine="600" w:firstLineChars="200"/>
        <w:rPr>
          <w:rFonts w:ascii="Times New Roman" w:eastAsia="方正仿宋简体"/>
          <w:sz w:val="32"/>
          <w:szCs w:val="32"/>
        </w:rPr>
      </w:pPr>
      <w:bookmarkStart w:id="63" w:name="_Toc17103576"/>
      <w:r>
        <w:rPr>
          <w:rFonts w:hint="eastAsia" w:ascii="Times New Roman" w:eastAsia="方正仿宋简体"/>
          <w:b/>
          <w:bCs/>
        </w:rPr>
        <w:t>六、</w:t>
      </w:r>
      <w:bookmarkEnd w:id="63"/>
      <w:r>
        <w:rPr>
          <w:rFonts w:hint="eastAsia" w:ascii="Times New Roman" w:eastAsia="方正仿宋简体"/>
          <w:sz w:val="32"/>
          <w:szCs w:val="32"/>
        </w:rPr>
        <w:t>一般公共预算财政拨款支出决算表</w:t>
      </w:r>
    </w:p>
    <w:p>
      <w:pPr>
        <w:pStyle w:val="5"/>
        <w:adjustRightInd w:val="0"/>
        <w:snapToGrid w:val="0"/>
        <w:spacing w:beforeLines="0" w:line="600" w:lineRule="exact"/>
        <w:ind w:firstLine="600" w:firstLineChars="200"/>
        <w:rPr>
          <w:rFonts w:ascii="Times New Roman" w:eastAsia="方正仿宋简体"/>
          <w:sz w:val="32"/>
          <w:szCs w:val="32"/>
        </w:rPr>
      </w:pPr>
      <w:bookmarkStart w:id="64" w:name="_Toc17103577"/>
      <w:r>
        <w:rPr>
          <w:rFonts w:hint="eastAsia" w:ascii="Times New Roman" w:eastAsia="方正仿宋简体"/>
          <w:b/>
          <w:bCs/>
        </w:rPr>
        <w:t>七、</w:t>
      </w:r>
      <w:bookmarkEnd w:id="64"/>
      <w:r>
        <w:rPr>
          <w:rFonts w:hint="eastAsia" w:ascii="Times New Roman" w:eastAsia="方正仿宋简体"/>
          <w:sz w:val="32"/>
          <w:szCs w:val="32"/>
        </w:rPr>
        <w:t>一般公共预算财政拨款支出决算明细表</w:t>
      </w:r>
    </w:p>
    <w:p>
      <w:pPr>
        <w:pStyle w:val="5"/>
        <w:adjustRightInd w:val="0"/>
        <w:snapToGrid w:val="0"/>
        <w:spacing w:beforeLines="0" w:line="600" w:lineRule="exact"/>
        <w:ind w:firstLine="600" w:firstLineChars="200"/>
        <w:rPr>
          <w:rFonts w:ascii="Times New Roman" w:eastAsia="方正仿宋简体"/>
          <w:sz w:val="32"/>
          <w:szCs w:val="32"/>
        </w:rPr>
      </w:pPr>
      <w:bookmarkStart w:id="65" w:name="_Toc17103578"/>
      <w:r>
        <w:rPr>
          <w:rFonts w:hint="eastAsia" w:ascii="Times New Roman" w:eastAsia="方正仿宋简体"/>
          <w:b/>
          <w:bCs/>
        </w:rPr>
        <w:t>八、</w:t>
      </w:r>
      <w:bookmarkEnd w:id="65"/>
      <w:r>
        <w:rPr>
          <w:rFonts w:hint="eastAsia" w:ascii="Times New Roman" w:eastAsia="方正仿宋简体"/>
          <w:sz w:val="32"/>
          <w:szCs w:val="32"/>
        </w:rPr>
        <w:t>一般公共预算财政拨款基本支出决算表</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九、一般公共预算财政拨款项目支出决算表</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十、一般公共预算财政拨款“三公”经费支出决算表</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十一、政府性基金预算财政拨款“三公”经费支出决算表</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十二、政府性基金预算财政拨款收入支出决算</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十三、国有资本经营预算财政拨款收入支出决算表</w:t>
      </w:r>
    </w:p>
    <w:p>
      <w:pPr>
        <w:pStyle w:val="5"/>
        <w:adjustRightInd w:val="0"/>
        <w:snapToGrid w:val="0"/>
        <w:spacing w:beforeLines="0" w:line="600" w:lineRule="exact"/>
        <w:ind w:firstLine="640" w:firstLineChars="200"/>
        <w:rPr>
          <w:rFonts w:ascii="Times New Roman" w:eastAsia="方正仿宋简体"/>
          <w:sz w:val="32"/>
          <w:szCs w:val="32"/>
        </w:rPr>
      </w:pPr>
      <w:r>
        <w:rPr>
          <w:rFonts w:hint="eastAsia" w:ascii="Times New Roman" w:eastAsia="方正仿宋简体"/>
          <w:sz w:val="32"/>
          <w:szCs w:val="32"/>
        </w:rPr>
        <w:t>十四、国有资本经营预算财政拨款支出决算表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587"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F1361C"/>
    <w:rsid w:val="000222C6"/>
    <w:rsid w:val="0002549F"/>
    <w:rsid w:val="0003385C"/>
    <w:rsid w:val="00046DB1"/>
    <w:rsid w:val="0006487A"/>
    <w:rsid w:val="00065F8F"/>
    <w:rsid w:val="000768F2"/>
    <w:rsid w:val="0009184B"/>
    <w:rsid w:val="0009593C"/>
    <w:rsid w:val="00097AE8"/>
    <w:rsid w:val="000B047F"/>
    <w:rsid w:val="000B5923"/>
    <w:rsid w:val="000B5A48"/>
    <w:rsid w:val="000B6FF3"/>
    <w:rsid w:val="000C3467"/>
    <w:rsid w:val="000C3CA6"/>
    <w:rsid w:val="000D1267"/>
    <w:rsid w:val="000D1D50"/>
    <w:rsid w:val="000D5782"/>
    <w:rsid w:val="000E03AC"/>
    <w:rsid w:val="000E6613"/>
    <w:rsid w:val="000E7119"/>
    <w:rsid w:val="00114E9B"/>
    <w:rsid w:val="00126D80"/>
    <w:rsid w:val="0014729F"/>
    <w:rsid w:val="00152230"/>
    <w:rsid w:val="00157BAB"/>
    <w:rsid w:val="001654D1"/>
    <w:rsid w:val="00171DE8"/>
    <w:rsid w:val="00175FDA"/>
    <w:rsid w:val="0018106D"/>
    <w:rsid w:val="001877A7"/>
    <w:rsid w:val="00191536"/>
    <w:rsid w:val="00196687"/>
    <w:rsid w:val="001A7127"/>
    <w:rsid w:val="001C0962"/>
    <w:rsid w:val="001D7531"/>
    <w:rsid w:val="001E72CC"/>
    <w:rsid w:val="001E737D"/>
    <w:rsid w:val="001F0336"/>
    <w:rsid w:val="001F0592"/>
    <w:rsid w:val="001F5EA4"/>
    <w:rsid w:val="001F7506"/>
    <w:rsid w:val="002006CD"/>
    <w:rsid w:val="00202B36"/>
    <w:rsid w:val="00204B7A"/>
    <w:rsid w:val="00204FD8"/>
    <w:rsid w:val="0021101A"/>
    <w:rsid w:val="00211520"/>
    <w:rsid w:val="00220536"/>
    <w:rsid w:val="002351F2"/>
    <w:rsid w:val="00235629"/>
    <w:rsid w:val="00260C38"/>
    <w:rsid w:val="002616C0"/>
    <w:rsid w:val="002662AA"/>
    <w:rsid w:val="00280496"/>
    <w:rsid w:val="00295495"/>
    <w:rsid w:val="002A1477"/>
    <w:rsid w:val="002A7E2D"/>
    <w:rsid w:val="002B2613"/>
    <w:rsid w:val="002C4E4C"/>
    <w:rsid w:val="002D4C25"/>
    <w:rsid w:val="002F0A3B"/>
    <w:rsid w:val="002F1818"/>
    <w:rsid w:val="002F302D"/>
    <w:rsid w:val="002F359D"/>
    <w:rsid w:val="002F567B"/>
    <w:rsid w:val="00300C23"/>
    <w:rsid w:val="003216A9"/>
    <w:rsid w:val="0037013F"/>
    <w:rsid w:val="00374A13"/>
    <w:rsid w:val="00380C92"/>
    <w:rsid w:val="0039677D"/>
    <w:rsid w:val="003A484F"/>
    <w:rsid w:val="003B00A7"/>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771B3"/>
    <w:rsid w:val="0048263A"/>
    <w:rsid w:val="00487E5D"/>
    <w:rsid w:val="00494B55"/>
    <w:rsid w:val="004A1691"/>
    <w:rsid w:val="004A499A"/>
    <w:rsid w:val="004A711F"/>
    <w:rsid w:val="004B199D"/>
    <w:rsid w:val="004B4690"/>
    <w:rsid w:val="004E0A2D"/>
    <w:rsid w:val="004E206B"/>
    <w:rsid w:val="004E6DF7"/>
    <w:rsid w:val="004F0FBD"/>
    <w:rsid w:val="005022C0"/>
    <w:rsid w:val="00505A47"/>
    <w:rsid w:val="00512FDA"/>
    <w:rsid w:val="00520DA0"/>
    <w:rsid w:val="00565188"/>
    <w:rsid w:val="005664BB"/>
    <w:rsid w:val="0057481D"/>
    <w:rsid w:val="0058486E"/>
    <w:rsid w:val="005D1C8B"/>
    <w:rsid w:val="005D5CED"/>
    <w:rsid w:val="005E4766"/>
    <w:rsid w:val="005F1A4C"/>
    <w:rsid w:val="00605688"/>
    <w:rsid w:val="006070AF"/>
    <w:rsid w:val="00607E6C"/>
    <w:rsid w:val="006101B1"/>
    <w:rsid w:val="00614E44"/>
    <w:rsid w:val="00622830"/>
    <w:rsid w:val="00630AEF"/>
    <w:rsid w:val="006325F8"/>
    <w:rsid w:val="00634C9A"/>
    <w:rsid w:val="006440E4"/>
    <w:rsid w:val="00647964"/>
    <w:rsid w:val="0066343B"/>
    <w:rsid w:val="00664777"/>
    <w:rsid w:val="0067152E"/>
    <w:rsid w:val="006748A4"/>
    <w:rsid w:val="00683E73"/>
    <w:rsid w:val="006A3141"/>
    <w:rsid w:val="006A5E34"/>
    <w:rsid w:val="006B2422"/>
    <w:rsid w:val="006B2B9A"/>
    <w:rsid w:val="006C1937"/>
    <w:rsid w:val="006F020C"/>
    <w:rsid w:val="007127B7"/>
    <w:rsid w:val="0072756F"/>
    <w:rsid w:val="00740A6A"/>
    <w:rsid w:val="007416B6"/>
    <w:rsid w:val="00746F48"/>
    <w:rsid w:val="0075404D"/>
    <w:rsid w:val="0076182A"/>
    <w:rsid w:val="00767B7E"/>
    <w:rsid w:val="007770C3"/>
    <w:rsid w:val="00784D24"/>
    <w:rsid w:val="00785FBA"/>
    <w:rsid w:val="00786E4A"/>
    <w:rsid w:val="007875EB"/>
    <w:rsid w:val="0079426B"/>
    <w:rsid w:val="007C3D32"/>
    <w:rsid w:val="007C5CDB"/>
    <w:rsid w:val="007D312A"/>
    <w:rsid w:val="007D3F19"/>
    <w:rsid w:val="007E23B0"/>
    <w:rsid w:val="007E6A10"/>
    <w:rsid w:val="007E6DE7"/>
    <w:rsid w:val="007F1991"/>
    <w:rsid w:val="007F2C2F"/>
    <w:rsid w:val="007F55FC"/>
    <w:rsid w:val="007F5665"/>
    <w:rsid w:val="00800112"/>
    <w:rsid w:val="008076A0"/>
    <w:rsid w:val="008253BB"/>
    <w:rsid w:val="008269EF"/>
    <w:rsid w:val="00833373"/>
    <w:rsid w:val="0083706E"/>
    <w:rsid w:val="008423A5"/>
    <w:rsid w:val="00843891"/>
    <w:rsid w:val="00850625"/>
    <w:rsid w:val="00853718"/>
    <w:rsid w:val="00855221"/>
    <w:rsid w:val="00860645"/>
    <w:rsid w:val="00861153"/>
    <w:rsid w:val="00871F71"/>
    <w:rsid w:val="00881C5D"/>
    <w:rsid w:val="00885AF4"/>
    <w:rsid w:val="0089007C"/>
    <w:rsid w:val="008939CD"/>
    <w:rsid w:val="008B768C"/>
    <w:rsid w:val="008C4DB1"/>
    <w:rsid w:val="008C4EAF"/>
    <w:rsid w:val="008C5176"/>
    <w:rsid w:val="008C7FD0"/>
    <w:rsid w:val="008E1DE7"/>
    <w:rsid w:val="008E3C7A"/>
    <w:rsid w:val="008E707C"/>
    <w:rsid w:val="00900B08"/>
    <w:rsid w:val="00902155"/>
    <w:rsid w:val="00902FA3"/>
    <w:rsid w:val="00911482"/>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0DF2"/>
    <w:rsid w:val="009C22F4"/>
    <w:rsid w:val="009C2E98"/>
    <w:rsid w:val="009D3447"/>
    <w:rsid w:val="009D4711"/>
    <w:rsid w:val="009F1185"/>
    <w:rsid w:val="009F18CD"/>
    <w:rsid w:val="009F2A13"/>
    <w:rsid w:val="00A04EB0"/>
    <w:rsid w:val="00A13CC1"/>
    <w:rsid w:val="00A16847"/>
    <w:rsid w:val="00A237D8"/>
    <w:rsid w:val="00A268C4"/>
    <w:rsid w:val="00A307CD"/>
    <w:rsid w:val="00A33C24"/>
    <w:rsid w:val="00A37C4A"/>
    <w:rsid w:val="00A40A00"/>
    <w:rsid w:val="00A4142F"/>
    <w:rsid w:val="00A56DF2"/>
    <w:rsid w:val="00A67AB5"/>
    <w:rsid w:val="00A84604"/>
    <w:rsid w:val="00A91760"/>
    <w:rsid w:val="00A93B00"/>
    <w:rsid w:val="00A93C21"/>
    <w:rsid w:val="00A947A4"/>
    <w:rsid w:val="00AA53F9"/>
    <w:rsid w:val="00AC3C6A"/>
    <w:rsid w:val="00AD5620"/>
    <w:rsid w:val="00AD7C1B"/>
    <w:rsid w:val="00AE16BA"/>
    <w:rsid w:val="00AE1EBE"/>
    <w:rsid w:val="00AE74A2"/>
    <w:rsid w:val="00B03C9D"/>
    <w:rsid w:val="00B060AE"/>
    <w:rsid w:val="00B10517"/>
    <w:rsid w:val="00B14E76"/>
    <w:rsid w:val="00B161B8"/>
    <w:rsid w:val="00B2048C"/>
    <w:rsid w:val="00B310B9"/>
    <w:rsid w:val="00B35F3F"/>
    <w:rsid w:val="00B36CBB"/>
    <w:rsid w:val="00B425E0"/>
    <w:rsid w:val="00B440AA"/>
    <w:rsid w:val="00B44B70"/>
    <w:rsid w:val="00B53C56"/>
    <w:rsid w:val="00B618F6"/>
    <w:rsid w:val="00B66E48"/>
    <w:rsid w:val="00B77EA6"/>
    <w:rsid w:val="00B81598"/>
    <w:rsid w:val="00B841F1"/>
    <w:rsid w:val="00B944D6"/>
    <w:rsid w:val="00BB4DF0"/>
    <w:rsid w:val="00BC289F"/>
    <w:rsid w:val="00BC5361"/>
    <w:rsid w:val="00BC5460"/>
    <w:rsid w:val="00BC6B50"/>
    <w:rsid w:val="00BD0E25"/>
    <w:rsid w:val="00BE42F6"/>
    <w:rsid w:val="00BF5BD6"/>
    <w:rsid w:val="00C03E31"/>
    <w:rsid w:val="00C05464"/>
    <w:rsid w:val="00C33E72"/>
    <w:rsid w:val="00C354B2"/>
    <w:rsid w:val="00C35554"/>
    <w:rsid w:val="00C42709"/>
    <w:rsid w:val="00C533CC"/>
    <w:rsid w:val="00C5751C"/>
    <w:rsid w:val="00C61BFC"/>
    <w:rsid w:val="00C62B85"/>
    <w:rsid w:val="00C65438"/>
    <w:rsid w:val="00C76413"/>
    <w:rsid w:val="00C81203"/>
    <w:rsid w:val="00C91CBB"/>
    <w:rsid w:val="00CC09B6"/>
    <w:rsid w:val="00CC666F"/>
    <w:rsid w:val="00CD1E3F"/>
    <w:rsid w:val="00CE44F6"/>
    <w:rsid w:val="00CE49DA"/>
    <w:rsid w:val="00CE7B61"/>
    <w:rsid w:val="00D00095"/>
    <w:rsid w:val="00D11342"/>
    <w:rsid w:val="00D20620"/>
    <w:rsid w:val="00D26091"/>
    <w:rsid w:val="00D34E7C"/>
    <w:rsid w:val="00D35489"/>
    <w:rsid w:val="00D36793"/>
    <w:rsid w:val="00D51276"/>
    <w:rsid w:val="00D7035F"/>
    <w:rsid w:val="00DA65AC"/>
    <w:rsid w:val="00DB1913"/>
    <w:rsid w:val="00DB283C"/>
    <w:rsid w:val="00DC410D"/>
    <w:rsid w:val="00DC68C8"/>
    <w:rsid w:val="00DC68CA"/>
    <w:rsid w:val="00DC7CBA"/>
    <w:rsid w:val="00DD73B7"/>
    <w:rsid w:val="00DD76DF"/>
    <w:rsid w:val="00DF28BC"/>
    <w:rsid w:val="00DF34B9"/>
    <w:rsid w:val="00E01053"/>
    <w:rsid w:val="00E07ACF"/>
    <w:rsid w:val="00E21A5A"/>
    <w:rsid w:val="00E331A1"/>
    <w:rsid w:val="00E33202"/>
    <w:rsid w:val="00E336A9"/>
    <w:rsid w:val="00E50624"/>
    <w:rsid w:val="00E568DF"/>
    <w:rsid w:val="00E64269"/>
    <w:rsid w:val="00E82267"/>
    <w:rsid w:val="00E84381"/>
    <w:rsid w:val="00EA010F"/>
    <w:rsid w:val="00EB1BDB"/>
    <w:rsid w:val="00EB5806"/>
    <w:rsid w:val="00ED1B63"/>
    <w:rsid w:val="00ED3C1F"/>
    <w:rsid w:val="00ED4085"/>
    <w:rsid w:val="00ED420E"/>
    <w:rsid w:val="00EE2F57"/>
    <w:rsid w:val="00EF4C34"/>
    <w:rsid w:val="00EF77C6"/>
    <w:rsid w:val="00F00E87"/>
    <w:rsid w:val="00F05438"/>
    <w:rsid w:val="00F1361C"/>
    <w:rsid w:val="00F160C7"/>
    <w:rsid w:val="00F36D8F"/>
    <w:rsid w:val="00F417B1"/>
    <w:rsid w:val="00F602DF"/>
    <w:rsid w:val="00F81FD9"/>
    <w:rsid w:val="00F841AA"/>
    <w:rsid w:val="00F84AA5"/>
    <w:rsid w:val="00F95A64"/>
    <w:rsid w:val="00FA23E8"/>
    <w:rsid w:val="00FD3CC1"/>
    <w:rsid w:val="00FF1E02"/>
    <w:rsid w:val="00FF30B4"/>
    <w:rsid w:val="01142E3D"/>
    <w:rsid w:val="01463F97"/>
    <w:rsid w:val="018D26EB"/>
    <w:rsid w:val="01E32D49"/>
    <w:rsid w:val="023D52C1"/>
    <w:rsid w:val="024B4D45"/>
    <w:rsid w:val="026D628F"/>
    <w:rsid w:val="02DF6ADB"/>
    <w:rsid w:val="02FD13C0"/>
    <w:rsid w:val="035A58CC"/>
    <w:rsid w:val="0383703B"/>
    <w:rsid w:val="03A2092A"/>
    <w:rsid w:val="03A4205D"/>
    <w:rsid w:val="03B1226B"/>
    <w:rsid w:val="040D4838"/>
    <w:rsid w:val="04235EDE"/>
    <w:rsid w:val="046320FE"/>
    <w:rsid w:val="04BE1802"/>
    <w:rsid w:val="05027642"/>
    <w:rsid w:val="05457BB1"/>
    <w:rsid w:val="0550094B"/>
    <w:rsid w:val="05990D4D"/>
    <w:rsid w:val="05F01A55"/>
    <w:rsid w:val="06224BB5"/>
    <w:rsid w:val="06440827"/>
    <w:rsid w:val="06C254AD"/>
    <w:rsid w:val="07155918"/>
    <w:rsid w:val="07880B5A"/>
    <w:rsid w:val="07F67E48"/>
    <w:rsid w:val="08225D94"/>
    <w:rsid w:val="08344265"/>
    <w:rsid w:val="083B22FF"/>
    <w:rsid w:val="08406E7B"/>
    <w:rsid w:val="08941F77"/>
    <w:rsid w:val="08B83DB3"/>
    <w:rsid w:val="08DC2A47"/>
    <w:rsid w:val="093241BD"/>
    <w:rsid w:val="09F54AF1"/>
    <w:rsid w:val="0A9E156B"/>
    <w:rsid w:val="0B3D0153"/>
    <w:rsid w:val="0B8B4BD2"/>
    <w:rsid w:val="0BD25C81"/>
    <w:rsid w:val="0BDF63F6"/>
    <w:rsid w:val="0BF3379B"/>
    <w:rsid w:val="0C0D6799"/>
    <w:rsid w:val="0C0E7699"/>
    <w:rsid w:val="0C4F3F67"/>
    <w:rsid w:val="0C6A24EE"/>
    <w:rsid w:val="0C756526"/>
    <w:rsid w:val="0DC8320B"/>
    <w:rsid w:val="0DE84316"/>
    <w:rsid w:val="0E5A0BF0"/>
    <w:rsid w:val="0E725DCD"/>
    <w:rsid w:val="0E753133"/>
    <w:rsid w:val="0E9F791C"/>
    <w:rsid w:val="0EA518D7"/>
    <w:rsid w:val="0EC3476C"/>
    <w:rsid w:val="0EDB7BCE"/>
    <w:rsid w:val="0EEE2D37"/>
    <w:rsid w:val="0EFF0205"/>
    <w:rsid w:val="0F0374BD"/>
    <w:rsid w:val="0F076990"/>
    <w:rsid w:val="0F105C39"/>
    <w:rsid w:val="0F12249B"/>
    <w:rsid w:val="0F143BE4"/>
    <w:rsid w:val="0F2564AC"/>
    <w:rsid w:val="0F2C5862"/>
    <w:rsid w:val="0F347A1A"/>
    <w:rsid w:val="0F4C6AA7"/>
    <w:rsid w:val="0F5D7E35"/>
    <w:rsid w:val="0F610C59"/>
    <w:rsid w:val="0F68438D"/>
    <w:rsid w:val="0FB72719"/>
    <w:rsid w:val="0FBF7728"/>
    <w:rsid w:val="0FD41C1F"/>
    <w:rsid w:val="10624CB9"/>
    <w:rsid w:val="10647BDC"/>
    <w:rsid w:val="10733301"/>
    <w:rsid w:val="1090317E"/>
    <w:rsid w:val="10C055FF"/>
    <w:rsid w:val="10DB755D"/>
    <w:rsid w:val="10EB51F3"/>
    <w:rsid w:val="11287450"/>
    <w:rsid w:val="11433A1F"/>
    <w:rsid w:val="117F11A3"/>
    <w:rsid w:val="11C37678"/>
    <w:rsid w:val="12816FA1"/>
    <w:rsid w:val="128E2134"/>
    <w:rsid w:val="12903766"/>
    <w:rsid w:val="12FB2E6D"/>
    <w:rsid w:val="13280AA8"/>
    <w:rsid w:val="13892DF4"/>
    <w:rsid w:val="138C5032"/>
    <w:rsid w:val="13D21997"/>
    <w:rsid w:val="1427793E"/>
    <w:rsid w:val="14CB2896"/>
    <w:rsid w:val="14F34C22"/>
    <w:rsid w:val="1523654B"/>
    <w:rsid w:val="15E05272"/>
    <w:rsid w:val="15FC30C0"/>
    <w:rsid w:val="16AE003C"/>
    <w:rsid w:val="16B176CC"/>
    <w:rsid w:val="16BB723D"/>
    <w:rsid w:val="16BF623A"/>
    <w:rsid w:val="16E91AE5"/>
    <w:rsid w:val="172F23AE"/>
    <w:rsid w:val="17732007"/>
    <w:rsid w:val="179C7623"/>
    <w:rsid w:val="17C5565A"/>
    <w:rsid w:val="183023FA"/>
    <w:rsid w:val="18366825"/>
    <w:rsid w:val="184773EB"/>
    <w:rsid w:val="18655EF5"/>
    <w:rsid w:val="18A41236"/>
    <w:rsid w:val="18B46FCE"/>
    <w:rsid w:val="18B60636"/>
    <w:rsid w:val="18C234B9"/>
    <w:rsid w:val="18C9031B"/>
    <w:rsid w:val="18E566AC"/>
    <w:rsid w:val="19345F78"/>
    <w:rsid w:val="1950256D"/>
    <w:rsid w:val="19EA4044"/>
    <w:rsid w:val="1A036D5B"/>
    <w:rsid w:val="1A0E386C"/>
    <w:rsid w:val="1A1435AF"/>
    <w:rsid w:val="1ABA15F5"/>
    <w:rsid w:val="1B400298"/>
    <w:rsid w:val="1B991ED8"/>
    <w:rsid w:val="1C0779C0"/>
    <w:rsid w:val="1C48287E"/>
    <w:rsid w:val="1C801CC2"/>
    <w:rsid w:val="1CAC789A"/>
    <w:rsid w:val="1CFF423F"/>
    <w:rsid w:val="1DC113FE"/>
    <w:rsid w:val="1DDC1523"/>
    <w:rsid w:val="1E300FDB"/>
    <w:rsid w:val="1E5323B8"/>
    <w:rsid w:val="1E5E0A71"/>
    <w:rsid w:val="1EC531D0"/>
    <w:rsid w:val="1ECB4796"/>
    <w:rsid w:val="1F2426BC"/>
    <w:rsid w:val="1F313D6B"/>
    <w:rsid w:val="1F6E53B2"/>
    <w:rsid w:val="1F7022D3"/>
    <w:rsid w:val="1F990C74"/>
    <w:rsid w:val="1FD91DCB"/>
    <w:rsid w:val="1FED7DD1"/>
    <w:rsid w:val="20082AC0"/>
    <w:rsid w:val="201966B5"/>
    <w:rsid w:val="205E10A3"/>
    <w:rsid w:val="20681496"/>
    <w:rsid w:val="209A3AD3"/>
    <w:rsid w:val="20DA51E9"/>
    <w:rsid w:val="20FA57DB"/>
    <w:rsid w:val="212518A7"/>
    <w:rsid w:val="212563AC"/>
    <w:rsid w:val="213E5227"/>
    <w:rsid w:val="21564B26"/>
    <w:rsid w:val="21884A12"/>
    <w:rsid w:val="219018B5"/>
    <w:rsid w:val="21C3429F"/>
    <w:rsid w:val="22330F8A"/>
    <w:rsid w:val="22CE1F7E"/>
    <w:rsid w:val="22F70869"/>
    <w:rsid w:val="230C1F56"/>
    <w:rsid w:val="23232428"/>
    <w:rsid w:val="23A11872"/>
    <w:rsid w:val="23BD6984"/>
    <w:rsid w:val="240371BF"/>
    <w:rsid w:val="252E1448"/>
    <w:rsid w:val="25615AD6"/>
    <w:rsid w:val="257C701F"/>
    <w:rsid w:val="258D3E67"/>
    <w:rsid w:val="26480DA8"/>
    <w:rsid w:val="264E4AA7"/>
    <w:rsid w:val="26AC37FE"/>
    <w:rsid w:val="26DD7481"/>
    <w:rsid w:val="27042699"/>
    <w:rsid w:val="273D3784"/>
    <w:rsid w:val="27B70D3A"/>
    <w:rsid w:val="27EA7609"/>
    <w:rsid w:val="27EE141A"/>
    <w:rsid w:val="280401D3"/>
    <w:rsid w:val="281D44DF"/>
    <w:rsid w:val="28311326"/>
    <w:rsid w:val="2895495E"/>
    <w:rsid w:val="28B325BF"/>
    <w:rsid w:val="28CD5BE9"/>
    <w:rsid w:val="29064F34"/>
    <w:rsid w:val="292439F5"/>
    <w:rsid w:val="2943415B"/>
    <w:rsid w:val="294B15C1"/>
    <w:rsid w:val="29903CA3"/>
    <w:rsid w:val="29E11B5D"/>
    <w:rsid w:val="29F3389B"/>
    <w:rsid w:val="29F55759"/>
    <w:rsid w:val="29FD04D3"/>
    <w:rsid w:val="2A55666E"/>
    <w:rsid w:val="2AFE397C"/>
    <w:rsid w:val="2B204903"/>
    <w:rsid w:val="2B5867EE"/>
    <w:rsid w:val="2BB00F20"/>
    <w:rsid w:val="2BD12DE0"/>
    <w:rsid w:val="2BEE1224"/>
    <w:rsid w:val="2C6F46A3"/>
    <w:rsid w:val="2CFC55DA"/>
    <w:rsid w:val="2D076604"/>
    <w:rsid w:val="2D104F93"/>
    <w:rsid w:val="2D9D3E1D"/>
    <w:rsid w:val="2DD07313"/>
    <w:rsid w:val="2DE24130"/>
    <w:rsid w:val="2DE272A3"/>
    <w:rsid w:val="2E5B6534"/>
    <w:rsid w:val="2E60563A"/>
    <w:rsid w:val="2EA95ABB"/>
    <w:rsid w:val="2EE245EB"/>
    <w:rsid w:val="2F163FF0"/>
    <w:rsid w:val="2F68074A"/>
    <w:rsid w:val="2F7C56AC"/>
    <w:rsid w:val="2F8E20AE"/>
    <w:rsid w:val="2F967EB4"/>
    <w:rsid w:val="2FB61D1B"/>
    <w:rsid w:val="2FC509BB"/>
    <w:rsid w:val="2FF67DC3"/>
    <w:rsid w:val="301B5775"/>
    <w:rsid w:val="30434282"/>
    <w:rsid w:val="306B6319"/>
    <w:rsid w:val="307D0227"/>
    <w:rsid w:val="30C920EA"/>
    <w:rsid w:val="30D230D0"/>
    <w:rsid w:val="30F53405"/>
    <w:rsid w:val="319F7F4E"/>
    <w:rsid w:val="31F95733"/>
    <w:rsid w:val="320C3375"/>
    <w:rsid w:val="323C2121"/>
    <w:rsid w:val="324157F6"/>
    <w:rsid w:val="32541CD9"/>
    <w:rsid w:val="326C2B2C"/>
    <w:rsid w:val="32762D12"/>
    <w:rsid w:val="32777D1F"/>
    <w:rsid w:val="32851788"/>
    <w:rsid w:val="32916869"/>
    <w:rsid w:val="32A1351B"/>
    <w:rsid w:val="32BA3675"/>
    <w:rsid w:val="33505B13"/>
    <w:rsid w:val="337D2835"/>
    <w:rsid w:val="33803731"/>
    <w:rsid w:val="33B92AA0"/>
    <w:rsid w:val="342908D9"/>
    <w:rsid w:val="34486DA9"/>
    <w:rsid w:val="35355E89"/>
    <w:rsid w:val="357F2D28"/>
    <w:rsid w:val="35864D37"/>
    <w:rsid w:val="35C4361A"/>
    <w:rsid w:val="35C8679E"/>
    <w:rsid w:val="361E33FB"/>
    <w:rsid w:val="366C6FA9"/>
    <w:rsid w:val="36856319"/>
    <w:rsid w:val="36913659"/>
    <w:rsid w:val="379462C8"/>
    <w:rsid w:val="37A54C0F"/>
    <w:rsid w:val="37AC4872"/>
    <w:rsid w:val="37B52EA3"/>
    <w:rsid w:val="37C72C02"/>
    <w:rsid w:val="38AE2D5C"/>
    <w:rsid w:val="38D90A5C"/>
    <w:rsid w:val="399157FC"/>
    <w:rsid w:val="39CF0493"/>
    <w:rsid w:val="3A41773C"/>
    <w:rsid w:val="3A5161CA"/>
    <w:rsid w:val="3A5B1005"/>
    <w:rsid w:val="3AC20611"/>
    <w:rsid w:val="3AFC4A5A"/>
    <w:rsid w:val="3B2B6FD1"/>
    <w:rsid w:val="3B3C7E5B"/>
    <w:rsid w:val="3B6B6B1B"/>
    <w:rsid w:val="3C3078F9"/>
    <w:rsid w:val="3C340BBB"/>
    <w:rsid w:val="3C355966"/>
    <w:rsid w:val="3C3B6126"/>
    <w:rsid w:val="3C3C76D5"/>
    <w:rsid w:val="3CAD348F"/>
    <w:rsid w:val="3CB07647"/>
    <w:rsid w:val="3D1E3123"/>
    <w:rsid w:val="3D3C7A01"/>
    <w:rsid w:val="3D4D70D2"/>
    <w:rsid w:val="3D5140C2"/>
    <w:rsid w:val="3D6704E1"/>
    <w:rsid w:val="3D7D17B8"/>
    <w:rsid w:val="3DD23857"/>
    <w:rsid w:val="3EA31F04"/>
    <w:rsid w:val="3EC546E4"/>
    <w:rsid w:val="3ED63899"/>
    <w:rsid w:val="3EE801EF"/>
    <w:rsid w:val="3EEF2AD5"/>
    <w:rsid w:val="3F2700C9"/>
    <w:rsid w:val="3F4B6C1D"/>
    <w:rsid w:val="3F7A2821"/>
    <w:rsid w:val="3F9973B2"/>
    <w:rsid w:val="3FB92E93"/>
    <w:rsid w:val="3FC86AC7"/>
    <w:rsid w:val="3FCD08C2"/>
    <w:rsid w:val="40112D01"/>
    <w:rsid w:val="406E67AA"/>
    <w:rsid w:val="40940C90"/>
    <w:rsid w:val="40ED7E7C"/>
    <w:rsid w:val="41270212"/>
    <w:rsid w:val="412B1308"/>
    <w:rsid w:val="41326F08"/>
    <w:rsid w:val="41BE14BB"/>
    <w:rsid w:val="41D330D7"/>
    <w:rsid w:val="420D2AED"/>
    <w:rsid w:val="42117FB6"/>
    <w:rsid w:val="42512C7A"/>
    <w:rsid w:val="428E1555"/>
    <w:rsid w:val="42C12D2E"/>
    <w:rsid w:val="42D84B85"/>
    <w:rsid w:val="42DF129F"/>
    <w:rsid w:val="437D1CA3"/>
    <w:rsid w:val="43DF7A5C"/>
    <w:rsid w:val="43F03F6D"/>
    <w:rsid w:val="441C0083"/>
    <w:rsid w:val="453318E5"/>
    <w:rsid w:val="45413571"/>
    <w:rsid w:val="45660A6F"/>
    <w:rsid w:val="45A01561"/>
    <w:rsid w:val="45C15E84"/>
    <w:rsid w:val="45C8579A"/>
    <w:rsid w:val="45CC5494"/>
    <w:rsid w:val="461929A4"/>
    <w:rsid w:val="46606752"/>
    <w:rsid w:val="46612562"/>
    <w:rsid w:val="46827585"/>
    <w:rsid w:val="46E523E0"/>
    <w:rsid w:val="473060E9"/>
    <w:rsid w:val="47473F91"/>
    <w:rsid w:val="47527809"/>
    <w:rsid w:val="47621FEB"/>
    <w:rsid w:val="478C2C2A"/>
    <w:rsid w:val="47EE1C22"/>
    <w:rsid w:val="487A3B2D"/>
    <w:rsid w:val="487C552E"/>
    <w:rsid w:val="488B4684"/>
    <w:rsid w:val="48C1153E"/>
    <w:rsid w:val="494E1B49"/>
    <w:rsid w:val="49673FE9"/>
    <w:rsid w:val="497E1D60"/>
    <w:rsid w:val="49B65FEA"/>
    <w:rsid w:val="49DA159B"/>
    <w:rsid w:val="4A9A4C70"/>
    <w:rsid w:val="4AC85AF0"/>
    <w:rsid w:val="4AF42BE7"/>
    <w:rsid w:val="4B1415B6"/>
    <w:rsid w:val="4B8C11EF"/>
    <w:rsid w:val="4BA463C4"/>
    <w:rsid w:val="4BAE559A"/>
    <w:rsid w:val="4BCC51BB"/>
    <w:rsid w:val="4BE64242"/>
    <w:rsid w:val="4C2E7C1D"/>
    <w:rsid w:val="4C567E5E"/>
    <w:rsid w:val="4C7D5ABB"/>
    <w:rsid w:val="4CB8129E"/>
    <w:rsid w:val="4CC37AE1"/>
    <w:rsid w:val="4D3E073B"/>
    <w:rsid w:val="4D790149"/>
    <w:rsid w:val="4DC85747"/>
    <w:rsid w:val="4DE1239C"/>
    <w:rsid w:val="4DEB388C"/>
    <w:rsid w:val="4E0072C3"/>
    <w:rsid w:val="4E012998"/>
    <w:rsid w:val="4E5C739A"/>
    <w:rsid w:val="4E81715C"/>
    <w:rsid w:val="4F0475DD"/>
    <w:rsid w:val="4F1F4429"/>
    <w:rsid w:val="4F3C0A2D"/>
    <w:rsid w:val="4F6C202B"/>
    <w:rsid w:val="4F852E00"/>
    <w:rsid w:val="4F902CBC"/>
    <w:rsid w:val="4FA96830"/>
    <w:rsid w:val="4FD12368"/>
    <w:rsid w:val="4FEF1489"/>
    <w:rsid w:val="5009763A"/>
    <w:rsid w:val="50200AEE"/>
    <w:rsid w:val="50277430"/>
    <w:rsid w:val="503C0326"/>
    <w:rsid w:val="50F226EC"/>
    <w:rsid w:val="510C1DBF"/>
    <w:rsid w:val="511D6B89"/>
    <w:rsid w:val="51647BE1"/>
    <w:rsid w:val="517B351A"/>
    <w:rsid w:val="52172585"/>
    <w:rsid w:val="52660B0D"/>
    <w:rsid w:val="526F5A7C"/>
    <w:rsid w:val="5290658D"/>
    <w:rsid w:val="52A30BFA"/>
    <w:rsid w:val="52B143C2"/>
    <w:rsid w:val="53753E80"/>
    <w:rsid w:val="5391168C"/>
    <w:rsid w:val="53B81174"/>
    <w:rsid w:val="53F23458"/>
    <w:rsid w:val="53FC3FA9"/>
    <w:rsid w:val="5426372E"/>
    <w:rsid w:val="542A50DB"/>
    <w:rsid w:val="54436126"/>
    <w:rsid w:val="54D249BF"/>
    <w:rsid w:val="54EC1FAF"/>
    <w:rsid w:val="55483A13"/>
    <w:rsid w:val="556701CD"/>
    <w:rsid w:val="55AB47D7"/>
    <w:rsid w:val="55B22DB9"/>
    <w:rsid w:val="56196EE8"/>
    <w:rsid w:val="56514047"/>
    <w:rsid w:val="567E7705"/>
    <w:rsid w:val="56942342"/>
    <w:rsid w:val="56C773CA"/>
    <w:rsid w:val="56DB0430"/>
    <w:rsid w:val="56E13AFA"/>
    <w:rsid w:val="570670A1"/>
    <w:rsid w:val="577F4163"/>
    <w:rsid w:val="57C25CE2"/>
    <w:rsid w:val="57E865AC"/>
    <w:rsid w:val="58370AD4"/>
    <w:rsid w:val="58CA206B"/>
    <w:rsid w:val="591E5A09"/>
    <w:rsid w:val="592E056A"/>
    <w:rsid w:val="5978358C"/>
    <w:rsid w:val="59816930"/>
    <w:rsid w:val="59921302"/>
    <w:rsid w:val="599577BF"/>
    <w:rsid w:val="59DD4399"/>
    <w:rsid w:val="59F27157"/>
    <w:rsid w:val="59F71735"/>
    <w:rsid w:val="5A32793F"/>
    <w:rsid w:val="5A460D0A"/>
    <w:rsid w:val="5AFF2B9B"/>
    <w:rsid w:val="5B390251"/>
    <w:rsid w:val="5B7B42E7"/>
    <w:rsid w:val="5B807DE1"/>
    <w:rsid w:val="5C027270"/>
    <w:rsid w:val="5C175B41"/>
    <w:rsid w:val="5C3F2529"/>
    <w:rsid w:val="5C7A1E11"/>
    <w:rsid w:val="5C980148"/>
    <w:rsid w:val="5CA451C8"/>
    <w:rsid w:val="5D3A76A0"/>
    <w:rsid w:val="5D406D2A"/>
    <w:rsid w:val="5D78624C"/>
    <w:rsid w:val="5DAC047D"/>
    <w:rsid w:val="5DB63858"/>
    <w:rsid w:val="5DDD2737"/>
    <w:rsid w:val="5DEE4DCA"/>
    <w:rsid w:val="5E0D30FE"/>
    <w:rsid w:val="5E13390F"/>
    <w:rsid w:val="5E443334"/>
    <w:rsid w:val="5E680C30"/>
    <w:rsid w:val="5E92257C"/>
    <w:rsid w:val="5E972AA4"/>
    <w:rsid w:val="5E9C2663"/>
    <w:rsid w:val="5ECD407D"/>
    <w:rsid w:val="5F3D02F3"/>
    <w:rsid w:val="5F7F25DC"/>
    <w:rsid w:val="5F9D4756"/>
    <w:rsid w:val="5FA82B2A"/>
    <w:rsid w:val="5FBC0194"/>
    <w:rsid w:val="5FDE701F"/>
    <w:rsid w:val="60545337"/>
    <w:rsid w:val="608C2E11"/>
    <w:rsid w:val="609718DE"/>
    <w:rsid w:val="60F41713"/>
    <w:rsid w:val="61072255"/>
    <w:rsid w:val="61AD0C94"/>
    <w:rsid w:val="61C74D88"/>
    <w:rsid w:val="61DB37E1"/>
    <w:rsid w:val="62246283"/>
    <w:rsid w:val="622B5A5E"/>
    <w:rsid w:val="623C711B"/>
    <w:rsid w:val="62871A85"/>
    <w:rsid w:val="6287650F"/>
    <w:rsid w:val="62B42524"/>
    <w:rsid w:val="62C648EB"/>
    <w:rsid w:val="63440EC8"/>
    <w:rsid w:val="63614C8E"/>
    <w:rsid w:val="639C4637"/>
    <w:rsid w:val="63D86C29"/>
    <w:rsid w:val="645C4891"/>
    <w:rsid w:val="647B5EF2"/>
    <w:rsid w:val="64A37F60"/>
    <w:rsid w:val="64EC251E"/>
    <w:rsid w:val="64F842E1"/>
    <w:rsid w:val="656F7D9D"/>
    <w:rsid w:val="65A76917"/>
    <w:rsid w:val="6686798C"/>
    <w:rsid w:val="66AD609F"/>
    <w:rsid w:val="66E037CA"/>
    <w:rsid w:val="673C6F05"/>
    <w:rsid w:val="679E676A"/>
    <w:rsid w:val="67A8432D"/>
    <w:rsid w:val="67C579A8"/>
    <w:rsid w:val="67FE7DBF"/>
    <w:rsid w:val="68701D5B"/>
    <w:rsid w:val="69030B4F"/>
    <w:rsid w:val="69C14CA7"/>
    <w:rsid w:val="69C97616"/>
    <w:rsid w:val="69F20303"/>
    <w:rsid w:val="6A0722F1"/>
    <w:rsid w:val="6A3A09E4"/>
    <w:rsid w:val="6A3E2FB6"/>
    <w:rsid w:val="6A914936"/>
    <w:rsid w:val="6B1A250A"/>
    <w:rsid w:val="6B2510A0"/>
    <w:rsid w:val="6BC83C21"/>
    <w:rsid w:val="6C475DED"/>
    <w:rsid w:val="6C504BE0"/>
    <w:rsid w:val="6C677D9D"/>
    <w:rsid w:val="6C6D628E"/>
    <w:rsid w:val="6CAC4BB6"/>
    <w:rsid w:val="6D0760DA"/>
    <w:rsid w:val="6D210A05"/>
    <w:rsid w:val="6D6E547A"/>
    <w:rsid w:val="6D9F6B5B"/>
    <w:rsid w:val="6DA035A4"/>
    <w:rsid w:val="6DA705A9"/>
    <w:rsid w:val="6DF956D8"/>
    <w:rsid w:val="6E6D7E34"/>
    <w:rsid w:val="6E772A89"/>
    <w:rsid w:val="6EA16E49"/>
    <w:rsid w:val="6EC74E19"/>
    <w:rsid w:val="6EED4226"/>
    <w:rsid w:val="70A84ECB"/>
    <w:rsid w:val="70AE42E4"/>
    <w:rsid w:val="70B027AB"/>
    <w:rsid w:val="71063A97"/>
    <w:rsid w:val="711403C9"/>
    <w:rsid w:val="715B16E2"/>
    <w:rsid w:val="71634C45"/>
    <w:rsid w:val="71674B12"/>
    <w:rsid w:val="723D2F4E"/>
    <w:rsid w:val="725E33D4"/>
    <w:rsid w:val="72CA1335"/>
    <w:rsid w:val="72D22485"/>
    <w:rsid w:val="732D1164"/>
    <w:rsid w:val="734419CA"/>
    <w:rsid w:val="734D54E6"/>
    <w:rsid w:val="736B18A9"/>
    <w:rsid w:val="73F23E30"/>
    <w:rsid w:val="7404549E"/>
    <w:rsid w:val="74541825"/>
    <w:rsid w:val="74554CC5"/>
    <w:rsid w:val="74780721"/>
    <w:rsid w:val="74AC5506"/>
    <w:rsid w:val="754D4B37"/>
    <w:rsid w:val="75542FEC"/>
    <w:rsid w:val="756D5F6B"/>
    <w:rsid w:val="759C47D3"/>
    <w:rsid w:val="759D42FA"/>
    <w:rsid w:val="75AC3B3B"/>
    <w:rsid w:val="75C77613"/>
    <w:rsid w:val="762A72B4"/>
    <w:rsid w:val="763A1BE2"/>
    <w:rsid w:val="768C685C"/>
    <w:rsid w:val="76CD1B96"/>
    <w:rsid w:val="76D57B27"/>
    <w:rsid w:val="76FB4437"/>
    <w:rsid w:val="776A53A0"/>
    <w:rsid w:val="77885F4F"/>
    <w:rsid w:val="778D47FE"/>
    <w:rsid w:val="779276C6"/>
    <w:rsid w:val="77DC3078"/>
    <w:rsid w:val="78092D33"/>
    <w:rsid w:val="78894394"/>
    <w:rsid w:val="788C0756"/>
    <w:rsid w:val="78992924"/>
    <w:rsid w:val="789F2AA1"/>
    <w:rsid w:val="792D039B"/>
    <w:rsid w:val="79651017"/>
    <w:rsid w:val="79873D49"/>
    <w:rsid w:val="79DC2365"/>
    <w:rsid w:val="7A224375"/>
    <w:rsid w:val="7A2B2A55"/>
    <w:rsid w:val="7A441DA6"/>
    <w:rsid w:val="7A55143E"/>
    <w:rsid w:val="7A810733"/>
    <w:rsid w:val="7AAF238B"/>
    <w:rsid w:val="7AF70ABA"/>
    <w:rsid w:val="7B057319"/>
    <w:rsid w:val="7B1A49B6"/>
    <w:rsid w:val="7B2A1A37"/>
    <w:rsid w:val="7B4C0140"/>
    <w:rsid w:val="7B577AE0"/>
    <w:rsid w:val="7B6453CA"/>
    <w:rsid w:val="7B690C74"/>
    <w:rsid w:val="7B73769F"/>
    <w:rsid w:val="7B912DD5"/>
    <w:rsid w:val="7BD14C8D"/>
    <w:rsid w:val="7C123139"/>
    <w:rsid w:val="7C4F3F7E"/>
    <w:rsid w:val="7CBD2A02"/>
    <w:rsid w:val="7CCE74BA"/>
    <w:rsid w:val="7D0F0EB1"/>
    <w:rsid w:val="7D2B3394"/>
    <w:rsid w:val="7D416878"/>
    <w:rsid w:val="7D5B072E"/>
    <w:rsid w:val="7D736B35"/>
    <w:rsid w:val="7D775EDB"/>
    <w:rsid w:val="7DC06F9A"/>
    <w:rsid w:val="7DD072E2"/>
    <w:rsid w:val="7E4A7265"/>
    <w:rsid w:val="7E731FB3"/>
    <w:rsid w:val="7E7623A7"/>
    <w:rsid w:val="7E893B6B"/>
    <w:rsid w:val="7EA67EA4"/>
    <w:rsid w:val="7EAF17F2"/>
    <w:rsid w:val="7EE82BA0"/>
    <w:rsid w:val="7F191BE2"/>
    <w:rsid w:val="7F2916C9"/>
    <w:rsid w:val="7F530486"/>
    <w:rsid w:val="7F747F33"/>
    <w:rsid w:val="7F911352"/>
    <w:rsid w:val="7FB21437"/>
    <w:rsid w:val="7FEC0C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65288;9.4&#21069;&#65289;2020&#24180;&#20915;&#31639;&#20844;&#24320;\2020&#20915;&#31639;&#20844;&#24320;\&#28193;&#21475;&#25152;\&#65288;&#28193;&#21475;&#25152;&#65289;&#20915;&#31639;&#20844;&#24320;&#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65288;9.4&#21069;&#65289;2020&#24180;&#20915;&#31639;&#20844;&#24320;\2020&#20915;&#31639;&#20844;&#24320;\&#28193;&#21475;&#25152;\&#65288;&#28193;&#21475;&#25152;&#65289;&#20915;&#31639;&#20844;&#24320;&#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65288;9.4&#21069;&#65289;2020&#24180;&#20915;&#31639;&#20844;&#24320;\2020&#20915;&#31639;&#20844;&#24320;\&#28193;&#21475;&#25152;\&#65288;&#28193;&#21475;&#25152;&#65289;&#20915;&#31639;&#20844;&#2432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65288;9.4&#21069;&#65289;2020&#24180;&#20915;&#31639;&#20844;&#24320;\2020&#20915;&#31639;&#20844;&#24320;\&#28193;&#21475;&#25152;\&#65288;&#28193;&#21475;&#25152;&#65289;&#20915;&#31639;&#20844;&#2432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65288;9.4&#21069;&#65289;2020&#24180;&#20915;&#31639;&#20844;&#24320;\2020&#20915;&#31639;&#20844;&#24320;\&#28193;&#21475;&#25152;\&#65288;&#28193;&#21475;&#25152;&#65289;&#20915;&#31639;&#20844;&#2432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65288;9.4&#21069;&#65289;2020&#24180;&#20915;&#31639;&#20844;&#24320;\2020&#20915;&#31639;&#20844;&#24320;\&#28193;&#21475;&#25152;\&#65288;&#28193;&#21475;&#25152;&#65289;&#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endParaRPr lang="zh-CN" altLang="en-US"/>
          </a:p>
        </c:rich>
      </c:tx>
      <c:layout/>
      <c:overlay val="0"/>
    </c:title>
    <c:autoTitleDeleted val="0"/>
    <c:plotArea>
      <c:layout>
        <c:manualLayout>
          <c:layoutTarget val="inner"/>
          <c:xMode val="edge"/>
          <c:yMode val="edge"/>
          <c:x val="0.169056079045396"/>
          <c:y val="0.201367941892098"/>
          <c:w val="0.692398126547967"/>
          <c:h val="0.662252620789265"/>
        </c:manualLayout>
      </c:layout>
      <c:barChart>
        <c:barDir val="col"/>
        <c:grouping val="clustered"/>
        <c:varyColors val="0"/>
        <c:ser>
          <c:idx val="0"/>
          <c:order val="0"/>
          <c:tx>
            <c:strRef>
              <c:f>图1!$B$1</c:f>
              <c:strCache>
                <c:ptCount val="1"/>
                <c:pt idx="0">
                  <c:v>收、支决算总计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图1!$A$2:$A$3</c:f>
              <c:strCache>
                <c:ptCount val="2"/>
                <c:pt idx="0">
                  <c:v>2019年</c:v>
                </c:pt>
                <c:pt idx="1">
                  <c:v>2020年</c:v>
                </c:pt>
              </c:strCache>
            </c:strRef>
          </c:cat>
          <c:val>
            <c:numRef>
              <c:f>图1!$B$2:$B$3</c:f>
              <c:numCache>
                <c:formatCode>General</c:formatCode>
                <c:ptCount val="2"/>
                <c:pt idx="0">
                  <c:v>87.27</c:v>
                </c:pt>
                <c:pt idx="1">
                  <c:v>107.46</c:v>
                </c:pt>
              </c:numCache>
            </c:numRef>
          </c:val>
        </c:ser>
        <c:dLbls>
          <c:showLegendKey val="0"/>
          <c:showVal val="0"/>
          <c:showCatName val="0"/>
          <c:showSerName val="0"/>
          <c:showPercent val="0"/>
          <c:showBubbleSize val="0"/>
        </c:dLbls>
        <c:gapWidth val="150"/>
        <c:axId val="234783872"/>
        <c:axId val="234785408"/>
      </c:barChart>
      <c:catAx>
        <c:axId val="2347838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785408"/>
        <c:crosses val="autoZero"/>
        <c:auto val="1"/>
        <c:lblAlgn val="ctr"/>
        <c:lblOffset val="100"/>
        <c:noMultiLvlLbl val="0"/>
      </c:catAx>
      <c:valAx>
        <c:axId val="234785408"/>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manualLayout>
              <c:xMode val="edge"/>
              <c:yMode val="edge"/>
              <c:x val="0.0305898446111322"/>
              <c:y val="0.380783810233527"/>
            </c:manualLayout>
          </c:layout>
          <c:overlay val="0"/>
        </c:title>
        <c:numFmt formatCode="#,##0_);\(#,##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783872"/>
        <c:crosses val="autoZero"/>
        <c:crossBetween val="between"/>
      </c:valAx>
    </c:plotArea>
    <c:legend>
      <c:legendPos val="r"/>
      <c:layout>
        <c:manualLayout>
          <c:xMode val="edge"/>
          <c:yMode val="edge"/>
          <c:x val="0.795934537124215"/>
          <c:y val="0.472348133998043"/>
          <c:w val="0.176647336447758"/>
          <c:h val="0.2370788799329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收入决算结构图</a:t>
            </a:r>
            <a:endParaRPr lang="zh-CN" altLang="en-US"/>
          </a:p>
        </c:rich>
      </c:tx>
      <c:layout>
        <c:manualLayout>
          <c:xMode val="edge"/>
          <c:yMode val="edge"/>
          <c:x val="0.134198026571182"/>
          <c:y val="0.0416666666666667"/>
        </c:manualLayout>
      </c:layout>
      <c:overlay val="0"/>
    </c:title>
    <c:autoTitleDeleted val="0"/>
    <c:plotArea>
      <c:layout/>
      <c:pieChart>
        <c:varyColors val="1"/>
        <c:ser>
          <c:idx val="0"/>
          <c:order val="0"/>
          <c:tx>
            <c:strRef>
              <c:f>图2!$B$1</c:f>
              <c:strCache>
                <c:ptCount val="1"/>
                <c:pt idx="0">
                  <c:v>金额</c:v>
                </c:pt>
              </c:strCache>
            </c:strRef>
          </c:tx>
          <c:explosion val="0"/>
          <c:dPt>
            <c:idx val="0"/>
            <c:bubble3D val="0"/>
            <c:explosion val="2"/>
          </c:dPt>
          <c:dLbls>
            <c:dLbl>
              <c:idx val="0"/>
              <c:layout>
                <c:manualLayout>
                  <c:x val="0.0065748031496063"/>
                  <c:y val="-0.28030074365704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100.77</a:t>
                    </a:r>
                    <a:r>
                      <a:rPr lang="zh-CN" altLang="en-US"/>
                      <a:t>万元</a:t>
                    </a:r>
                    <a:r>
                      <a:rPr lang="en-US" altLang="en-US"/>
                      <a:t>, 100%</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图2!$A$2</c:f>
              <c:strCache>
                <c:ptCount val="1"/>
                <c:pt idx="0">
                  <c:v>一般公共预算财政拨款收入</c:v>
                </c:pt>
              </c:strCache>
            </c:strRef>
          </c:cat>
          <c:val>
            <c:numRef>
              <c:f>图2!$B$2</c:f>
              <c:numCache>
                <c:formatCode>General</c:formatCode>
                <c:ptCount val="1"/>
                <c:pt idx="0">
                  <c:v>100.77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9756131476943"/>
          <c:y val="0.468326407115778"/>
          <c:w val="0.231303471172064"/>
          <c:h val="0.18595290172061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endParaRPr lang="zh-CN" altLang="en-US"/>
          </a:p>
        </c:rich>
      </c:tx>
      <c:layout/>
      <c:overlay val="0"/>
    </c:title>
    <c:autoTitleDeleted val="0"/>
    <c:plotArea>
      <c:layout/>
      <c:pieChart>
        <c:varyColors val="1"/>
        <c:ser>
          <c:idx val="0"/>
          <c:order val="0"/>
          <c:tx>
            <c:strRef>
              <c:f>图3!$B$1</c:f>
              <c:strCache>
                <c:ptCount val="1"/>
                <c:pt idx="0">
                  <c:v>金额</c:v>
                </c:pt>
              </c:strCache>
            </c:strRef>
          </c:tx>
          <c:explosion val="0"/>
          <c:dPt>
            <c:idx val="0"/>
            <c:bubble3D val="0"/>
          </c:dPt>
          <c:dPt>
            <c:idx val="1"/>
            <c:bubble3D val="0"/>
          </c:dPt>
          <c:dLbls>
            <c:dLbl>
              <c:idx val="0"/>
              <c:layout>
                <c:manualLayout>
                  <c:x val="0.0244746281714786"/>
                  <c:y val="-0.10208479148439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a:t>
                    </a:r>
                    <a:r>
                      <a:rPr lang="en-US" altLang="zh-CN"/>
                      <a:t>95.61</a:t>
                    </a:r>
                    <a:r>
                      <a:rPr lang="zh-CN" altLang="en-US"/>
                      <a:t>万元</a:t>
                    </a:r>
                    <a:r>
                      <a:rPr lang="en-US" altLang="zh-CN"/>
                      <a:t>, 94.94%</a:t>
                    </a:r>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210470253718285"/>
                  <c:y val="-0.1164100320793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a:t>
                    </a:r>
                    <a:r>
                      <a:rPr lang="en-US" altLang="zh-CN"/>
                      <a:t>, 5.1</a:t>
                    </a:r>
                    <a:r>
                      <a:rPr lang="zh-CN" altLang="en-US"/>
                      <a:t>万元</a:t>
                    </a:r>
                    <a:r>
                      <a:rPr lang="en-US" altLang="zh-CN"/>
                      <a:t>, 5.06%</a:t>
                    </a:r>
                    <a:endParaRPr lang="zh-CN" altLang="en-US"/>
                  </a:p>
                </c:rich>
              </c:tx>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图3!$A$2:$A$3</c:f>
              <c:strCache>
                <c:ptCount val="2"/>
                <c:pt idx="0">
                  <c:v>基本支出</c:v>
                </c:pt>
                <c:pt idx="1">
                  <c:v>项目支出</c:v>
                </c:pt>
              </c:strCache>
            </c:strRef>
          </c:cat>
          <c:val>
            <c:numRef>
              <c:f>图3!$B$2:$B$3</c:f>
              <c:numCache>
                <c:formatCode>General</c:formatCode>
                <c:ptCount val="2"/>
                <c:pt idx="0">
                  <c:v>95.61</c:v>
                </c:pt>
                <c:pt idx="1">
                  <c:v>5.1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a:t>
            </a:r>
            <a:endParaRPr lang="en-US" altLang="zh-CN"/>
          </a:p>
          <a:p>
            <a:pPr>
              <a:defRPr lang="zh-CN" sz="1800" b="1" i="0" u="none" strike="noStrike" kern="1200" baseline="0">
                <a:solidFill>
                  <a:schemeClr val="tx1"/>
                </a:solidFill>
                <a:latin typeface="+mn-lt"/>
                <a:ea typeface="+mn-ea"/>
                <a:cs typeface="+mn-cs"/>
              </a:defRPr>
            </a:pPr>
            <a:r>
              <a:rPr lang="zh-CN" altLang="en-US"/>
              <a:t>情况图</a:t>
            </a:r>
            <a:endParaRPr lang="zh-CN" altLang="en-US"/>
          </a:p>
        </c:rich>
      </c:tx>
      <c:layout/>
      <c:overlay val="0"/>
    </c:title>
    <c:autoTitleDeleted val="0"/>
    <c:plotArea>
      <c:layout>
        <c:manualLayout>
          <c:layoutTarget val="inner"/>
          <c:xMode val="edge"/>
          <c:yMode val="edge"/>
          <c:x val="0.169056079045396"/>
          <c:y val="0.201367941892098"/>
          <c:w val="0.692398126547967"/>
          <c:h val="0.662252620789265"/>
        </c:manualLayout>
      </c:layout>
      <c:barChart>
        <c:barDir val="col"/>
        <c:grouping val="clustered"/>
        <c:varyColors val="0"/>
        <c:ser>
          <c:idx val="0"/>
          <c:order val="0"/>
          <c:tx>
            <c:strRef>
              <c:f>图4!$B$1</c:f>
              <c:strCache>
                <c:ptCount val="1"/>
                <c:pt idx="0">
                  <c:v>财政拨款收、支决算总计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图4!$A$2:$A$3</c:f>
              <c:strCache>
                <c:ptCount val="2"/>
                <c:pt idx="0">
                  <c:v>2019年</c:v>
                </c:pt>
                <c:pt idx="1">
                  <c:v>2020年</c:v>
                </c:pt>
              </c:strCache>
            </c:strRef>
          </c:cat>
          <c:val>
            <c:numRef>
              <c:f>图4!$B$2:$B$3</c:f>
              <c:numCache>
                <c:formatCode>General</c:formatCode>
                <c:ptCount val="2"/>
                <c:pt idx="0">
                  <c:v>87.23</c:v>
                </c:pt>
                <c:pt idx="1">
                  <c:v>107.46</c:v>
                </c:pt>
              </c:numCache>
            </c:numRef>
          </c:val>
        </c:ser>
        <c:dLbls>
          <c:showLegendKey val="0"/>
          <c:showVal val="0"/>
          <c:showCatName val="0"/>
          <c:showSerName val="0"/>
          <c:showPercent val="0"/>
          <c:showBubbleSize val="0"/>
        </c:dLbls>
        <c:gapWidth val="150"/>
        <c:axId val="137209728"/>
        <c:axId val="137211264"/>
      </c:barChart>
      <c:catAx>
        <c:axId val="1372097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7211264"/>
        <c:crosses val="autoZero"/>
        <c:auto val="1"/>
        <c:lblAlgn val="ctr"/>
        <c:lblOffset val="100"/>
        <c:noMultiLvlLbl val="0"/>
      </c:catAx>
      <c:valAx>
        <c:axId val="137211264"/>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manualLayout>
              <c:xMode val="edge"/>
              <c:yMode val="edge"/>
              <c:x val="0.0305898446111322"/>
              <c:y val="0.380783810233527"/>
            </c:manualLayout>
          </c:layout>
          <c:overlay val="0"/>
        </c:title>
        <c:numFmt formatCode="#,##0_);\(#,##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7209728"/>
        <c:crosses val="autoZero"/>
        <c:crossBetween val="between"/>
      </c:valAx>
    </c:plotArea>
    <c:legend>
      <c:legendPos val="r"/>
      <c:layout>
        <c:manualLayout>
          <c:xMode val="edge"/>
          <c:yMode val="edge"/>
          <c:x val="0.795934537124215"/>
          <c:y val="0.472348133998043"/>
          <c:w val="0.176647336447758"/>
          <c:h val="0.2370788799329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一般公共预算财政拨款支出决算</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zh-CN" altLang="zh-CN" sz="1800" b="1" i="0" u="none" strike="noStrike" baseline="0">
                <a:effectLst/>
              </a:rPr>
              <a:t>变动情况</a:t>
            </a:r>
            <a:endParaRPr lang="zh-CN" altLang="en-US"/>
          </a:p>
        </c:rich>
      </c:tx>
      <c:layout/>
      <c:overlay val="0"/>
    </c:title>
    <c:autoTitleDeleted val="0"/>
    <c:plotArea>
      <c:layout>
        <c:manualLayout>
          <c:layoutTarget val="inner"/>
          <c:xMode val="edge"/>
          <c:yMode val="edge"/>
          <c:x val="0.169056079045396"/>
          <c:y val="0.201367941892098"/>
          <c:w val="0.692398126547967"/>
          <c:h val="0.662252620789265"/>
        </c:manualLayout>
      </c:layout>
      <c:barChart>
        <c:barDir val="col"/>
        <c:grouping val="clustered"/>
        <c:varyColors val="0"/>
        <c:ser>
          <c:idx val="0"/>
          <c:order val="0"/>
          <c:tx>
            <c:strRef>
              <c:f>图5!$B$1</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图5!$A$2:$A$3</c:f>
              <c:strCache>
                <c:ptCount val="2"/>
                <c:pt idx="0">
                  <c:v>2019年</c:v>
                </c:pt>
                <c:pt idx="1">
                  <c:v>2020年</c:v>
                </c:pt>
              </c:strCache>
            </c:strRef>
          </c:cat>
          <c:val>
            <c:numRef>
              <c:f>图5!$B$2:$B$3</c:f>
              <c:numCache>
                <c:formatCode>General</c:formatCode>
                <c:ptCount val="2"/>
                <c:pt idx="0">
                  <c:v>80.53</c:v>
                </c:pt>
                <c:pt idx="1">
                  <c:v>100.71</c:v>
                </c:pt>
              </c:numCache>
            </c:numRef>
          </c:val>
        </c:ser>
        <c:dLbls>
          <c:showLegendKey val="0"/>
          <c:showVal val="0"/>
          <c:showCatName val="0"/>
          <c:showSerName val="0"/>
          <c:showPercent val="0"/>
          <c:showBubbleSize val="0"/>
        </c:dLbls>
        <c:gapWidth val="150"/>
        <c:axId val="137249152"/>
        <c:axId val="137250688"/>
      </c:barChart>
      <c:catAx>
        <c:axId val="1372491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7250688"/>
        <c:crosses val="autoZero"/>
        <c:auto val="1"/>
        <c:lblAlgn val="ctr"/>
        <c:lblOffset val="100"/>
        <c:noMultiLvlLbl val="0"/>
      </c:catAx>
      <c:valAx>
        <c:axId val="137250688"/>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manualLayout>
              <c:xMode val="edge"/>
              <c:yMode val="edge"/>
              <c:x val="0.0305898446111322"/>
              <c:y val="0.380783810233527"/>
            </c:manualLayout>
          </c:layout>
          <c:overlay val="0"/>
        </c:title>
        <c:numFmt formatCode="#,##0_);\(#,##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7249152"/>
        <c:crosses val="autoZero"/>
        <c:crossBetween val="between"/>
      </c:valAx>
    </c:plotArea>
    <c:legend>
      <c:legendPos val="r"/>
      <c:layout>
        <c:manualLayout>
          <c:xMode val="edge"/>
          <c:yMode val="edge"/>
          <c:x val="0.795934537124215"/>
          <c:y val="0.472348133998043"/>
          <c:w val="0.176647336447758"/>
          <c:h val="0.2370788799329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一般公共预算财政拨款支出决算结构</a:t>
            </a:r>
            <a:endParaRPr lang="zh-CN" altLang="en-US"/>
          </a:p>
        </c:rich>
      </c:tx>
      <c:layout>
        <c:manualLayout>
          <c:xMode val="edge"/>
          <c:yMode val="edge"/>
          <c:x val="0.134652668416448"/>
          <c:y val="0.0277777777777778"/>
        </c:manualLayout>
      </c:layout>
      <c:overlay val="0"/>
    </c:title>
    <c:autoTitleDeleted val="0"/>
    <c:plotArea>
      <c:layout/>
      <c:pieChart>
        <c:varyColors val="1"/>
        <c:ser>
          <c:idx val="0"/>
          <c:order val="0"/>
          <c:tx>
            <c:strRef>
              <c:f>图6!$B$1</c:f>
              <c:strCache>
                <c:ptCount val="1"/>
                <c:pt idx="0">
                  <c:v>金额</c:v>
                </c:pt>
              </c:strCache>
            </c:strRef>
          </c:tx>
          <c:explosion val="0"/>
          <c:dPt>
            <c:idx val="0"/>
            <c:bubble3D val="0"/>
          </c:dPt>
          <c:dPt>
            <c:idx val="1"/>
            <c:bubble3D val="0"/>
          </c:dPt>
          <c:dPt>
            <c:idx val="2"/>
            <c:bubble3D val="0"/>
          </c:dPt>
          <c:dPt>
            <c:idx val="3"/>
            <c:bubble3D val="0"/>
          </c:dPt>
          <c:dLbls>
            <c:dLbl>
              <c:idx val="0"/>
              <c:layout>
                <c:manualLayout>
                  <c:x val="-0.0081813696767529"/>
                  <c:y val="0.016308962234702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784810666532637"/>
                  <c:y val="0.074066605568277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0130282905692371"/>
                  <c:y val="0.087848391922027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图6!$A$2:$A$5</c:f>
              <c:strCache>
                <c:ptCount val="4"/>
                <c:pt idx="0">
                  <c:v>社会保障和就业支出</c:v>
                </c:pt>
                <c:pt idx="1">
                  <c:v>卫生健康支出</c:v>
                </c:pt>
                <c:pt idx="2">
                  <c:v>交通运输支出</c:v>
                </c:pt>
                <c:pt idx="3">
                  <c:v>住房保障支出</c:v>
                </c:pt>
              </c:strCache>
            </c:strRef>
          </c:cat>
          <c:val>
            <c:numRef>
              <c:f>图6!$B$2:$B$5</c:f>
              <c:numCache>
                <c:formatCode>General</c:formatCode>
                <c:ptCount val="4"/>
                <c:pt idx="0">
                  <c:v>10.56</c:v>
                </c:pt>
                <c:pt idx="1">
                  <c:v>3.16</c:v>
                </c:pt>
                <c:pt idx="2">
                  <c:v>79.54</c:v>
                </c:pt>
                <c:pt idx="3">
                  <c:v>7.45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11583</Words>
  <Characters>3990</Characters>
  <Lines>33</Lines>
  <Paragraphs>31</Paragraphs>
  <TotalTime>80</TotalTime>
  <ScaleCrop>false</ScaleCrop>
  <LinksUpToDate>false</LinksUpToDate>
  <CharactersWithSpaces>15542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交通局</cp:lastModifiedBy>
  <cp:lastPrinted>2021-08-27T00:33:00Z</cp:lastPrinted>
  <dcterms:modified xsi:type="dcterms:W3CDTF">2022-03-18T07:15:17Z</dcterms:modified>
  <dc:title>四川省***</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9A8AE49BB15D478DBEFEED1C01BFDD4C</vt:lpwstr>
  </property>
</Properties>
</file>