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000000"/>
          <w:sz w:val="72"/>
          <w:szCs w:val="72"/>
        </w:rPr>
      </w:pPr>
      <w:bookmarkStart w:id="0" w:name="_Toc15306267"/>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方正小标宋简体" w:hAnsi="宋体" w:eastAsia="方正小标宋简体"/>
          <w:color w:val="000000"/>
          <w:sz w:val="54"/>
          <w:szCs w:val="72"/>
        </w:rPr>
      </w:pPr>
      <w:bookmarkStart w:id="1" w:name="_Toc22684"/>
      <w:bookmarkStart w:id="2" w:name="_Toc4204"/>
      <w:bookmarkStart w:id="3" w:name="_Toc113351074"/>
      <w:bookmarkStart w:id="4" w:name="_Toc113351492"/>
      <w:bookmarkStart w:id="5" w:name="_Toc113351108"/>
      <w:bookmarkStart w:id="6" w:name="_Toc15396476"/>
      <w:bookmarkStart w:id="7" w:name="_Toc15377426"/>
      <w:bookmarkStart w:id="8" w:name="_Toc15377194"/>
      <w:bookmarkStart w:id="9" w:name="_Toc15396598"/>
      <w:bookmarkStart w:id="10" w:name="_Toc17103547"/>
      <w:bookmarkStart w:id="11" w:name="_Toc15378442"/>
      <w:bookmarkStart w:id="12" w:name="_Toc113285280"/>
      <w:bookmarkStart w:id="13" w:name="_Toc113285249"/>
      <w:bookmarkStart w:id="14" w:name="_Toc113285386"/>
      <w:r>
        <w:rPr>
          <w:rFonts w:hint="eastAsia" w:ascii="方正小标宋简体" w:hAnsi="宋体" w:eastAsia="方正小标宋简体"/>
          <w:color w:val="000000"/>
          <w:sz w:val="54"/>
          <w:szCs w:val="72"/>
        </w:rPr>
        <w:t>2021年度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54"/>
          <w:szCs w:val="72"/>
        </w:rPr>
      </w:pPr>
      <w:bookmarkStart w:id="15" w:name="_Toc113351075"/>
      <w:bookmarkStart w:id="16" w:name="_Toc113351109"/>
      <w:bookmarkStart w:id="17" w:name="_Toc113351493"/>
      <w:bookmarkStart w:id="18" w:name="_Toc8511"/>
      <w:bookmarkStart w:id="19" w:name="_Toc7607"/>
      <w:r>
        <w:rPr>
          <w:rFonts w:hint="eastAsia" w:ascii="方正小标宋简体" w:hAnsi="宋体" w:eastAsia="方正小标宋简体"/>
          <w:color w:val="000000"/>
          <w:sz w:val="54"/>
          <w:szCs w:val="72"/>
        </w:rPr>
        <w:t>四川省</w:t>
      </w:r>
      <w:bookmarkEnd w:id="0"/>
      <w:bookmarkStart w:id="20" w:name="_Toc15306268"/>
      <w:r>
        <w:rPr>
          <w:rFonts w:hint="eastAsia" w:ascii="方正小标宋简体" w:hAnsi="宋体" w:eastAsia="方正小标宋简体"/>
          <w:color w:val="000000"/>
          <w:sz w:val="54"/>
          <w:szCs w:val="72"/>
        </w:rPr>
        <w:t>资阳市雁江区科学技术协会</w:t>
      </w:r>
      <w:bookmarkEnd w:id="15"/>
      <w:bookmarkEnd w:id="16"/>
      <w:bookmarkEnd w:id="17"/>
      <w:bookmarkEnd w:id="18"/>
      <w:bookmarkEnd w:id="19"/>
    </w:p>
    <w:p>
      <w:pPr>
        <w:adjustRightInd w:val="0"/>
        <w:snapToGrid w:val="0"/>
        <w:spacing w:line="360" w:lineRule="auto"/>
        <w:jc w:val="center"/>
        <w:outlineLvl w:val="0"/>
        <w:rPr>
          <w:rFonts w:ascii="方正小标宋简体" w:hAnsi="宋体" w:eastAsia="方正小标宋简体"/>
          <w:color w:val="000000"/>
          <w:sz w:val="54"/>
          <w:szCs w:val="72"/>
        </w:rPr>
      </w:pPr>
      <w:bookmarkStart w:id="21" w:name="_Toc113351076"/>
      <w:bookmarkStart w:id="22" w:name="_Toc113351110"/>
      <w:bookmarkStart w:id="23" w:name="_Toc1935"/>
      <w:bookmarkStart w:id="24" w:name="_Toc113351494"/>
      <w:bookmarkStart w:id="25" w:name="_Toc3026"/>
      <w:r>
        <w:rPr>
          <w:rFonts w:hint="eastAsia" w:ascii="方正小标宋简体" w:hAnsi="宋体" w:eastAsia="方正小标宋简体"/>
          <w:color w:val="000000"/>
          <w:sz w:val="54"/>
          <w:szCs w:val="72"/>
        </w:rPr>
        <w:t>部门决算</w:t>
      </w:r>
      <w:bookmarkEnd w:id="6"/>
      <w:bookmarkEnd w:id="7"/>
      <w:bookmarkEnd w:id="8"/>
      <w:bookmarkEnd w:id="9"/>
      <w:bookmarkEnd w:id="10"/>
      <w:bookmarkEnd w:id="11"/>
      <w:bookmarkEnd w:id="20"/>
      <w:r>
        <w:rPr>
          <w:rFonts w:hint="eastAsia" w:ascii="方正小标宋简体" w:hAnsi="宋体" w:eastAsia="方正小标宋简体"/>
          <w:color w:val="000000"/>
          <w:sz w:val="54"/>
          <w:szCs w:val="72"/>
        </w:rPr>
        <w:t>公开说明</w:t>
      </w:r>
      <w:bookmarkEnd w:id="12"/>
      <w:bookmarkEnd w:id="13"/>
      <w:bookmarkEnd w:id="14"/>
      <w:bookmarkEnd w:id="21"/>
      <w:bookmarkEnd w:id="22"/>
      <w:bookmarkEnd w:id="23"/>
      <w:bookmarkEnd w:id="24"/>
      <w:bookmarkEnd w:id="25"/>
    </w:p>
    <w:p>
      <w:pPr>
        <w:widowControl/>
        <w:jc w:val="left"/>
        <w:rPr>
          <w:rFonts w:ascii="方正小标宋简体" w:hAnsi="宋体" w:eastAsia="方正小标宋简体"/>
          <w:color w:val="000000"/>
          <w:sz w:val="72"/>
          <w:szCs w:val="72"/>
        </w:rPr>
      </w:pPr>
      <w:bookmarkStart w:id="26" w:name="_Toc15377196"/>
      <w:bookmarkStart w:id="27" w:name="_Toc17103549"/>
      <w:r>
        <w:rPr>
          <w:rFonts w:ascii="方正小标宋简体" w:hAnsi="宋体" w:eastAsia="方正小标宋简体"/>
          <w:color w:val="000000"/>
          <w:sz w:val="72"/>
          <w:szCs w:val="72"/>
        </w:rPr>
        <w:br w:type="page"/>
      </w:r>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pStyle w:val="2"/>
        <w:spacing w:before="93"/>
      </w:pPr>
    </w:p>
    <w:p>
      <w:pPr>
        <w:tabs>
          <w:tab w:val="right" w:leader="dot" w:pos="8296"/>
        </w:tabs>
        <w:spacing w:before="93"/>
        <w:jc w:val="center"/>
        <w:rPr>
          <w:rStyle w:val="29"/>
          <w:rFonts w:ascii="仿宋" w:hAnsi="仿宋" w:eastAsia="仿宋"/>
          <w:b w:val="0"/>
          <w:bCs w:val="0"/>
          <w:kern w:val="2"/>
          <w:sz w:val="28"/>
          <w:szCs w:val="28"/>
        </w:rPr>
      </w:pPr>
      <w:r>
        <w:rPr>
          <w:rFonts w:hint="eastAsia" w:ascii="仿宋" w:hAnsi="仿宋" w:eastAsia="仿宋"/>
          <w:sz w:val="28"/>
          <w:szCs w:val="28"/>
        </w:rPr>
        <w:t>公开时间：</w:t>
      </w:r>
      <w:r>
        <w:rPr>
          <w:rFonts w:ascii="仿宋" w:hAnsi="仿宋" w:eastAsia="仿宋"/>
          <w:sz w:val="28"/>
          <w:szCs w:val="28"/>
        </w:rPr>
        <w:t>202</w:t>
      </w:r>
      <w:r>
        <w:rPr>
          <w:rFonts w:hint="eastAsia" w:ascii="仿宋" w:hAnsi="仿宋" w:eastAsia="仿宋"/>
          <w:sz w:val="28"/>
          <w:szCs w:val="28"/>
        </w:rPr>
        <w:t>2年9月6日</w:t>
      </w:r>
      <w:bookmarkStart w:id="28" w:name="_Toc113285250"/>
    </w:p>
    <w:sdt>
      <w:sdtPr>
        <w:rPr>
          <w:rFonts w:ascii="宋体" w:hAnsi="宋体" w:eastAsia="宋体" w:cs="Times New Roman"/>
          <w:kern w:val="2"/>
          <w:sz w:val="21"/>
          <w:szCs w:val="24"/>
          <w:lang w:val="en-US" w:eastAsia="zh-CN" w:bidi="ar-SA"/>
        </w:rPr>
        <w:id w:val="147454765"/>
        <w15:color w:val="DBDBDB"/>
        <w:docPartObj>
          <w:docPartGallery w:val="Table of Contents"/>
          <w:docPartUnique/>
        </w:docPartObj>
      </w:sdtPr>
      <w:sdtEndPr>
        <w:rPr>
          <w:rFonts w:ascii="黑体" w:hAnsi="黑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45"/>
            <w:tabs>
              <w:tab w:val="right" w:leader="dot" w:pos="8306"/>
            </w:tabs>
          </w:pPr>
          <w:r>
            <w:rPr>
              <w:rStyle w:val="29"/>
              <w:rFonts w:ascii="黑体" w:hAnsi="黑体"/>
              <w:b w:val="0"/>
            </w:rPr>
            <w:fldChar w:fldCharType="begin"/>
          </w:r>
          <w:r>
            <w:rPr>
              <w:rStyle w:val="29"/>
              <w:rFonts w:ascii="黑体" w:hAnsi="黑体"/>
              <w:b w:val="0"/>
            </w:rPr>
            <w:instrText xml:space="preserve">TOC \o "1-3" \h \u </w:instrText>
          </w:r>
          <w:r>
            <w:rPr>
              <w:rStyle w:val="29"/>
              <w:rFonts w:ascii="黑体" w:hAnsi="黑体"/>
              <w:b w:val="0"/>
            </w:rPr>
            <w:fldChar w:fldCharType="separate"/>
          </w:r>
        </w:p>
        <w:p>
          <w:pPr>
            <w:pStyle w:val="45"/>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_Toc16683 </w:instrText>
          </w:r>
          <w:r>
            <w:rPr>
              <w:rFonts w:ascii="黑体" w:hAnsi="黑体" w:eastAsia="方正仿宋简体"/>
              <w:sz w:val="24"/>
            </w:rPr>
            <w:fldChar w:fldCharType="separate"/>
          </w:r>
          <w:r>
            <w:rPr>
              <w:rFonts w:hint="eastAsia" w:ascii="方正黑体简体" w:hAnsi="黑体" w:eastAsia="方正仿宋简体"/>
              <w:sz w:val="24"/>
            </w:rPr>
            <w:t>第一部分  部门概况</w:t>
          </w:r>
          <w:r>
            <w:rPr>
              <w:rFonts w:eastAsia="方正仿宋简体"/>
              <w:sz w:val="24"/>
            </w:rPr>
            <w:tab/>
          </w:r>
          <w:r>
            <w:rPr>
              <w:rFonts w:eastAsia="方正仿宋简体"/>
              <w:sz w:val="24"/>
            </w:rPr>
            <w:fldChar w:fldCharType="begin"/>
          </w:r>
          <w:r>
            <w:rPr>
              <w:rFonts w:eastAsia="方正仿宋简体"/>
              <w:sz w:val="24"/>
            </w:rPr>
            <w:instrText xml:space="preserve"> PAGEREF _Toc16683 \h </w:instrText>
          </w:r>
          <w:r>
            <w:rPr>
              <w:rFonts w:eastAsia="方正仿宋简体"/>
              <w:sz w:val="24"/>
            </w:rPr>
            <w:fldChar w:fldCharType="separate"/>
          </w:r>
          <w:r>
            <w:rPr>
              <w:rFonts w:eastAsia="方正仿宋简体"/>
              <w:sz w:val="24"/>
            </w:rPr>
            <w:t>4</w:t>
          </w:r>
          <w:r>
            <w:rPr>
              <w:rFonts w:eastAsia="方正仿宋简体"/>
              <w:sz w:val="24"/>
            </w:rPr>
            <w:fldChar w:fldCharType="end"/>
          </w:r>
          <w:r>
            <w:rPr>
              <w:rFonts w:ascii="黑体" w:hAnsi="黑体" w:eastAsia="方正仿宋简体"/>
              <w:sz w:val="24"/>
            </w:rPr>
            <w:fldChar w:fldCharType="end"/>
          </w:r>
        </w:p>
        <w:p>
          <w:pPr>
            <w:pStyle w:val="46"/>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_Toc14934 </w:instrText>
          </w:r>
          <w:r>
            <w:rPr>
              <w:rFonts w:ascii="黑体" w:hAnsi="黑体" w:eastAsia="方正仿宋简体"/>
              <w:sz w:val="24"/>
            </w:rPr>
            <w:fldChar w:fldCharType="separate"/>
          </w:r>
          <w:r>
            <w:rPr>
              <w:rFonts w:hint="eastAsia" w:ascii="方正黑体简体" w:hAnsi="黑体" w:eastAsia="方正仿宋简体"/>
              <w:sz w:val="24"/>
            </w:rPr>
            <w:t>一、基本职能及主要工作</w:t>
          </w:r>
          <w:r>
            <w:rPr>
              <w:rFonts w:eastAsia="方正仿宋简体"/>
              <w:sz w:val="24"/>
            </w:rPr>
            <w:tab/>
          </w:r>
          <w:r>
            <w:rPr>
              <w:rFonts w:eastAsia="方正仿宋简体"/>
              <w:sz w:val="24"/>
            </w:rPr>
            <w:fldChar w:fldCharType="begin"/>
          </w:r>
          <w:r>
            <w:rPr>
              <w:rFonts w:eastAsia="方正仿宋简体"/>
              <w:sz w:val="24"/>
            </w:rPr>
            <w:instrText xml:space="preserve"> PAGEREF _Toc14934 \h </w:instrText>
          </w:r>
          <w:r>
            <w:rPr>
              <w:rFonts w:eastAsia="方正仿宋简体"/>
              <w:sz w:val="24"/>
            </w:rPr>
            <w:fldChar w:fldCharType="separate"/>
          </w:r>
          <w:r>
            <w:rPr>
              <w:rFonts w:eastAsia="方正仿宋简体"/>
              <w:sz w:val="24"/>
            </w:rPr>
            <w:t>4</w:t>
          </w:r>
          <w:r>
            <w:rPr>
              <w:rFonts w:eastAsia="方正仿宋简体"/>
              <w:sz w:val="24"/>
            </w:rPr>
            <w:fldChar w:fldCharType="end"/>
          </w:r>
          <w:r>
            <w:rPr>
              <w:rFonts w:ascii="黑体" w:hAnsi="黑体" w:eastAsia="方正仿宋简体"/>
              <w:sz w:val="24"/>
            </w:rPr>
            <w:fldChar w:fldCharType="end"/>
          </w:r>
        </w:p>
        <w:p>
          <w:pPr>
            <w:pStyle w:val="47"/>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_Toc31391 </w:instrText>
          </w:r>
          <w:r>
            <w:rPr>
              <w:rFonts w:ascii="黑体" w:hAnsi="黑体" w:eastAsia="方正仿宋简体"/>
              <w:sz w:val="24"/>
            </w:rPr>
            <w:fldChar w:fldCharType="separate"/>
          </w:r>
          <w:r>
            <w:rPr>
              <w:rFonts w:hint="eastAsia" w:ascii="方正仿宋简体" w:hAnsi="仿宋" w:eastAsia="方正仿宋简体"/>
              <w:bCs/>
              <w:sz w:val="24"/>
              <w:szCs w:val="32"/>
            </w:rPr>
            <w:t>（一）主要职能。</w:t>
          </w:r>
          <w:r>
            <w:rPr>
              <w:rFonts w:eastAsia="方正仿宋简体"/>
              <w:sz w:val="24"/>
            </w:rPr>
            <w:tab/>
          </w:r>
          <w:r>
            <w:rPr>
              <w:rFonts w:eastAsia="方正仿宋简体"/>
              <w:sz w:val="24"/>
            </w:rPr>
            <w:fldChar w:fldCharType="begin"/>
          </w:r>
          <w:r>
            <w:rPr>
              <w:rFonts w:eastAsia="方正仿宋简体"/>
              <w:sz w:val="24"/>
            </w:rPr>
            <w:instrText xml:space="preserve"> PAGEREF _Toc31391 \h </w:instrText>
          </w:r>
          <w:r>
            <w:rPr>
              <w:rFonts w:eastAsia="方正仿宋简体"/>
              <w:sz w:val="24"/>
            </w:rPr>
            <w:fldChar w:fldCharType="separate"/>
          </w:r>
          <w:r>
            <w:rPr>
              <w:rFonts w:eastAsia="方正仿宋简体"/>
              <w:sz w:val="24"/>
            </w:rPr>
            <w:t>4</w:t>
          </w:r>
          <w:r>
            <w:rPr>
              <w:rFonts w:eastAsia="方正仿宋简体"/>
              <w:sz w:val="24"/>
            </w:rPr>
            <w:fldChar w:fldCharType="end"/>
          </w:r>
          <w:r>
            <w:rPr>
              <w:rFonts w:ascii="黑体" w:hAnsi="黑体" w:eastAsia="方正仿宋简体"/>
              <w:sz w:val="24"/>
            </w:rPr>
            <w:fldChar w:fldCharType="end"/>
          </w:r>
        </w:p>
        <w:p>
          <w:pPr>
            <w:pStyle w:val="47"/>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_Toc4116 </w:instrText>
          </w:r>
          <w:r>
            <w:rPr>
              <w:rFonts w:ascii="黑体" w:hAnsi="黑体" w:eastAsia="方正仿宋简体"/>
              <w:sz w:val="24"/>
            </w:rPr>
            <w:fldChar w:fldCharType="separate"/>
          </w:r>
          <w:r>
            <w:rPr>
              <w:rFonts w:hint="eastAsia" w:ascii="方正仿宋简体" w:hAnsi="仿宋" w:eastAsia="方正仿宋简体"/>
              <w:bCs/>
              <w:sz w:val="24"/>
              <w:szCs w:val="32"/>
            </w:rPr>
            <w:t>（二）2021年主要工作完成情况。</w:t>
          </w:r>
          <w:r>
            <w:rPr>
              <w:rFonts w:eastAsia="方正仿宋简体"/>
              <w:sz w:val="24"/>
            </w:rPr>
            <w:tab/>
          </w:r>
          <w:r>
            <w:rPr>
              <w:rFonts w:eastAsia="方正仿宋简体"/>
              <w:sz w:val="24"/>
            </w:rPr>
            <w:fldChar w:fldCharType="begin"/>
          </w:r>
          <w:r>
            <w:rPr>
              <w:rFonts w:eastAsia="方正仿宋简体"/>
              <w:sz w:val="24"/>
            </w:rPr>
            <w:instrText xml:space="preserve"> PAGEREF _Toc4116 \h </w:instrText>
          </w:r>
          <w:r>
            <w:rPr>
              <w:rFonts w:eastAsia="方正仿宋简体"/>
              <w:sz w:val="24"/>
            </w:rPr>
            <w:fldChar w:fldCharType="separate"/>
          </w:r>
          <w:r>
            <w:rPr>
              <w:rFonts w:eastAsia="方正仿宋简体"/>
              <w:sz w:val="24"/>
            </w:rPr>
            <w:t>5</w:t>
          </w:r>
          <w:r>
            <w:rPr>
              <w:rFonts w:eastAsia="方正仿宋简体"/>
              <w:sz w:val="24"/>
            </w:rPr>
            <w:fldChar w:fldCharType="end"/>
          </w:r>
          <w:r>
            <w:rPr>
              <w:rFonts w:ascii="黑体" w:hAnsi="黑体" w:eastAsia="方正仿宋简体"/>
              <w:sz w:val="24"/>
            </w:rPr>
            <w:fldChar w:fldCharType="end"/>
          </w:r>
        </w:p>
        <w:p>
          <w:pPr>
            <w:pStyle w:val="46"/>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_Toc32693 </w:instrText>
          </w:r>
          <w:r>
            <w:rPr>
              <w:rFonts w:ascii="黑体" w:hAnsi="黑体" w:eastAsia="方正仿宋简体"/>
              <w:sz w:val="24"/>
            </w:rPr>
            <w:fldChar w:fldCharType="separate"/>
          </w:r>
          <w:r>
            <w:rPr>
              <w:rFonts w:hint="eastAsia" w:ascii="方正黑体简体" w:hAnsi="黑体" w:eastAsia="方正仿宋简体"/>
              <w:sz w:val="24"/>
            </w:rPr>
            <w:t>二、机构设置</w:t>
          </w:r>
          <w:r>
            <w:rPr>
              <w:rFonts w:eastAsia="方正仿宋简体"/>
              <w:sz w:val="24"/>
            </w:rPr>
            <w:tab/>
          </w:r>
          <w:r>
            <w:rPr>
              <w:rFonts w:eastAsia="方正仿宋简体"/>
              <w:sz w:val="24"/>
            </w:rPr>
            <w:fldChar w:fldCharType="begin"/>
          </w:r>
          <w:r>
            <w:rPr>
              <w:rFonts w:eastAsia="方正仿宋简体"/>
              <w:sz w:val="24"/>
            </w:rPr>
            <w:instrText xml:space="preserve"> PAGEREF _Toc32693 \h </w:instrText>
          </w:r>
          <w:r>
            <w:rPr>
              <w:rFonts w:eastAsia="方正仿宋简体"/>
              <w:sz w:val="24"/>
            </w:rPr>
            <w:fldChar w:fldCharType="separate"/>
          </w:r>
          <w:r>
            <w:rPr>
              <w:rFonts w:eastAsia="方正仿宋简体"/>
              <w:sz w:val="24"/>
            </w:rPr>
            <w:t>8</w:t>
          </w:r>
          <w:r>
            <w:rPr>
              <w:rFonts w:eastAsia="方正仿宋简体"/>
              <w:sz w:val="24"/>
            </w:rPr>
            <w:fldChar w:fldCharType="end"/>
          </w:r>
          <w:r>
            <w:rPr>
              <w:rFonts w:ascii="黑体" w:hAnsi="黑体" w:eastAsia="方正仿宋简体"/>
              <w:sz w:val="24"/>
            </w:rPr>
            <w:fldChar w:fldCharType="end"/>
          </w:r>
        </w:p>
        <w:p>
          <w:pPr>
            <w:pStyle w:val="45"/>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_Toc18434 </w:instrText>
          </w:r>
          <w:r>
            <w:rPr>
              <w:rFonts w:ascii="黑体" w:hAnsi="黑体" w:eastAsia="方正仿宋简体"/>
              <w:sz w:val="24"/>
            </w:rPr>
            <w:fldChar w:fldCharType="separate"/>
          </w:r>
          <w:r>
            <w:rPr>
              <w:rFonts w:hint="eastAsia" w:ascii="方正黑体简体" w:hAnsi="黑体" w:eastAsia="方正仿宋简体"/>
              <w:sz w:val="24"/>
            </w:rPr>
            <w:t>第二部分 2020年度部门决算情况说明</w:t>
          </w:r>
          <w:r>
            <w:rPr>
              <w:rFonts w:eastAsia="方正仿宋简体"/>
              <w:sz w:val="24"/>
            </w:rPr>
            <w:tab/>
          </w:r>
          <w:r>
            <w:rPr>
              <w:rFonts w:eastAsia="方正仿宋简体"/>
              <w:sz w:val="24"/>
            </w:rPr>
            <w:fldChar w:fldCharType="begin"/>
          </w:r>
          <w:r>
            <w:rPr>
              <w:rFonts w:eastAsia="方正仿宋简体"/>
              <w:sz w:val="24"/>
            </w:rPr>
            <w:instrText xml:space="preserve"> PAGEREF _Toc18434 \h </w:instrText>
          </w:r>
          <w:r>
            <w:rPr>
              <w:rFonts w:eastAsia="方正仿宋简体"/>
              <w:sz w:val="24"/>
            </w:rPr>
            <w:fldChar w:fldCharType="separate"/>
          </w:r>
          <w:r>
            <w:rPr>
              <w:rFonts w:eastAsia="方正仿宋简体"/>
              <w:sz w:val="24"/>
            </w:rPr>
            <w:t>9</w:t>
          </w:r>
          <w:r>
            <w:rPr>
              <w:rFonts w:eastAsia="方正仿宋简体"/>
              <w:sz w:val="24"/>
            </w:rPr>
            <w:fldChar w:fldCharType="end"/>
          </w:r>
          <w:r>
            <w:rPr>
              <w:rFonts w:ascii="黑体" w:hAnsi="黑体" w:eastAsia="方正仿宋简体"/>
              <w:sz w:val="24"/>
            </w:rPr>
            <w:fldChar w:fldCharType="end"/>
          </w:r>
        </w:p>
        <w:p>
          <w:pPr>
            <w:pStyle w:val="46"/>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_Toc29692 </w:instrText>
          </w:r>
          <w:r>
            <w:rPr>
              <w:rFonts w:ascii="黑体" w:hAnsi="黑体" w:eastAsia="方正仿宋简体"/>
              <w:sz w:val="24"/>
            </w:rPr>
            <w:fldChar w:fldCharType="separate"/>
          </w:r>
          <w:r>
            <w:rPr>
              <w:rFonts w:hint="eastAsia" w:ascii="方正黑体简体" w:hAnsi="黑体" w:eastAsia="方正仿宋简体"/>
              <w:sz w:val="24"/>
            </w:rPr>
            <w:t>一、收入支出决算总体情况说明</w:t>
          </w:r>
          <w:r>
            <w:rPr>
              <w:rFonts w:eastAsia="方正仿宋简体"/>
              <w:sz w:val="24"/>
            </w:rPr>
            <w:tab/>
          </w:r>
          <w:r>
            <w:rPr>
              <w:rFonts w:eastAsia="方正仿宋简体"/>
              <w:sz w:val="24"/>
            </w:rPr>
            <w:fldChar w:fldCharType="begin"/>
          </w:r>
          <w:r>
            <w:rPr>
              <w:rFonts w:eastAsia="方正仿宋简体"/>
              <w:sz w:val="24"/>
            </w:rPr>
            <w:instrText xml:space="preserve"> PAGEREF _Toc29692 \h </w:instrText>
          </w:r>
          <w:r>
            <w:rPr>
              <w:rFonts w:eastAsia="方正仿宋简体"/>
              <w:sz w:val="24"/>
            </w:rPr>
            <w:fldChar w:fldCharType="separate"/>
          </w:r>
          <w:r>
            <w:rPr>
              <w:rFonts w:eastAsia="方正仿宋简体"/>
              <w:sz w:val="24"/>
            </w:rPr>
            <w:t>9</w:t>
          </w:r>
          <w:r>
            <w:rPr>
              <w:rFonts w:eastAsia="方正仿宋简体"/>
              <w:sz w:val="24"/>
            </w:rPr>
            <w:fldChar w:fldCharType="end"/>
          </w:r>
          <w:r>
            <w:rPr>
              <w:rFonts w:ascii="黑体" w:hAnsi="黑体" w:eastAsia="方正仿宋简体"/>
              <w:sz w:val="24"/>
            </w:rPr>
            <w:fldChar w:fldCharType="end"/>
          </w:r>
        </w:p>
        <w:p>
          <w:pPr>
            <w:pStyle w:val="46"/>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_Toc16926 </w:instrText>
          </w:r>
          <w:r>
            <w:rPr>
              <w:rFonts w:ascii="黑体" w:hAnsi="黑体" w:eastAsia="方正仿宋简体"/>
              <w:sz w:val="24"/>
            </w:rPr>
            <w:fldChar w:fldCharType="separate"/>
          </w:r>
          <w:r>
            <w:rPr>
              <w:rFonts w:hint="eastAsia" w:ascii="方正黑体简体" w:hAnsi="黑体" w:eastAsia="方正仿宋简体"/>
              <w:sz w:val="24"/>
              <w:szCs w:val="32"/>
            </w:rPr>
            <w:t>二、收</w:t>
          </w:r>
          <w:r>
            <w:rPr>
              <w:rFonts w:hint="eastAsia" w:ascii="方正黑体简体" w:hAnsi="黑体" w:eastAsia="方正仿宋简体"/>
              <w:sz w:val="24"/>
            </w:rPr>
            <w:t>入决算情况说明</w:t>
          </w:r>
          <w:r>
            <w:rPr>
              <w:rFonts w:eastAsia="方正仿宋简体"/>
              <w:sz w:val="24"/>
            </w:rPr>
            <w:tab/>
          </w:r>
          <w:r>
            <w:rPr>
              <w:rFonts w:eastAsia="方正仿宋简体"/>
              <w:sz w:val="24"/>
            </w:rPr>
            <w:fldChar w:fldCharType="begin"/>
          </w:r>
          <w:r>
            <w:rPr>
              <w:rFonts w:eastAsia="方正仿宋简体"/>
              <w:sz w:val="24"/>
            </w:rPr>
            <w:instrText xml:space="preserve"> PAGEREF _Toc16926 \h </w:instrText>
          </w:r>
          <w:r>
            <w:rPr>
              <w:rFonts w:eastAsia="方正仿宋简体"/>
              <w:sz w:val="24"/>
            </w:rPr>
            <w:fldChar w:fldCharType="separate"/>
          </w:r>
          <w:r>
            <w:rPr>
              <w:rFonts w:eastAsia="方正仿宋简体"/>
              <w:sz w:val="24"/>
            </w:rPr>
            <w:t>9</w:t>
          </w:r>
          <w:r>
            <w:rPr>
              <w:rFonts w:eastAsia="方正仿宋简体"/>
              <w:sz w:val="24"/>
            </w:rPr>
            <w:fldChar w:fldCharType="end"/>
          </w:r>
          <w:r>
            <w:rPr>
              <w:rFonts w:ascii="黑体" w:hAnsi="黑体" w:eastAsia="方正仿宋简体"/>
              <w:sz w:val="24"/>
            </w:rPr>
            <w:fldChar w:fldCharType="end"/>
          </w:r>
        </w:p>
        <w:p>
          <w:pPr>
            <w:pStyle w:val="46"/>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_Toc32634 </w:instrText>
          </w:r>
          <w:r>
            <w:rPr>
              <w:rFonts w:ascii="黑体" w:hAnsi="黑体" w:eastAsia="方正仿宋简体"/>
              <w:sz w:val="24"/>
            </w:rPr>
            <w:fldChar w:fldCharType="separate"/>
          </w:r>
          <w:r>
            <w:rPr>
              <w:rFonts w:hint="eastAsia" w:ascii="方正黑体简体" w:hAnsi="黑体" w:eastAsia="方正仿宋简体"/>
              <w:sz w:val="24"/>
              <w:szCs w:val="32"/>
            </w:rPr>
            <w:t>三、支</w:t>
          </w:r>
          <w:r>
            <w:rPr>
              <w:rFonts w:hint="eastAsia" w:ascii="方正黑体简体" w:hAnsi="黑体" w:eastAsia="方正仿宋简体"/>
              <w:sz w:val="24"/>
            </w:rPr>
            <w:t>出决算情况说明</w:t>
          </w:r>
          <w:r>
            <w:rPr>
              <w:rFonts w:eastAsia="方正仿宋简体"/>
              <w:sz w:val="24"/>
            </w:rPr>
            <w:tab/>
          </w:r>
          <w:r>
            <w:rPr>
              <w:rFonts w:eastAsia="方正仿宋简体"/>
              <w:sz w:val="24"/>
            </w:rPr>
            <w:fldChar w:fldCharType="begin"/>
          </w:r>
          <w:r>
            <w:rPr>
              <w:rFonts w:eastAsia="方正仿宋简体"/>
              <w:sz w:val="24"/>
            </w:rPr>
            <w:instrText xml:space="preserve"> PAGEREF _Toc32634 \h </w:instrText>
          </w:r>
          <w:r>
            <w:rPr>
              <w:rFonts w:eastAsia="方正仿宋简体"/>
              <w:sz w:val="24"/>
            </w:rPr>
            <w:fldChar w:fldCharType="separate"/>
          </w:r>
          <w:r>
            <w:rPr>
              <w:rFonts w:eastAsia="方正仿宋简体"/>
              <w:sz w:val="24"/>
            </w:rPr>
            <w:t>10</w:t>
          </w:r>
          <w:r>
            <w:rPr>
              <w:rFonts w:eastAsia="方正仿宋简体"/>
              <w:sz w:val="24"/>
            </w:rPr>
            <w:fldChar w:fldCharType="end"/>
          </w:r>
          <w:r>
            <w:rPr>
              <w:rFonts w:ascii="黑体" w:hAnsi="黑体" w:eastAsia="方正仿宋简体"/>
              <w:sz w:val="24"/>
            </w:rPr>
            <w:fldChar w:fldCharType="end"/>
          </w:r>
        </w:p>
        <w:p>
          <w:pPr>
            <w:pStyle w:val="46"/>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_Toc13899 </w:instrText>
          </w:r>
          <w:r>
            <w:rPr>
              <w:rFonts w:ascii="黑体" w:hAnsi="黑体" w:eastAsia="方正仿宋简体"/>
              <w:sz w:val="24"/>
            </w:rPr>
            <w:fldChar w:fldCharType="separate"/>
          </w:r>
          <w:r>
            <w:rPr>
              <w:rFonts w:hint="eastAsia" w:ascii="方正黑体简体" w:hAnsi="黑体" w:eastAsia="方正仿宋简体"/>
              <w:sz w:val="24"/>
              <w:szCs w:val="32"/>
            </w:rPr>
            <w:t>四、财</w:t>
          </w:r>
          <w:r>
            <w:rPr>
              <w:rFonts w:hint="eastAsia" w:ascii="方正黑体简体" w:hAnsi="黑体" w:eastAsia="方正仿宋简体"/>
              <w:sz w:val="24"/>
            </w:rPr>
            <w:t>政拨款收入支出决算总体情况说明</w:t>
          </w:r>
          <w:r>
            <w:rPr>
              <w:rFonts w:eastAsia="方正仿宋简体"/>
              <w:sz w:val="24"/>
            </w:rPr>
            <w:tab/>
          </w:r>
          <w:r>
            <w:rPr>
              <w:rFonts w:eastAsia="方正仿宋简体"/>
              <w:sz w:val="24"/>
            </w:rPr>
            <w:fldChar w:fldCharType="begin"/>
          </w:r>
          <w:r>
            <w:rPr>
              <w:rFonts w:eastAsia="方正仿宋简体"/>
              <w:sz w:val="24"/>
            </w:rPr>
            <w:instrText xml:space="preserve"> PAGEREF _Toc13899 \h </w:instrText>
          </w:r>
          <w:r>
            <w:rPr>
              <w:rFonts w:eastAsia="方正仿宋简体"/>
              <w:sz w:val="24"/>
            </w:rPr>
            <w:fldChar w:fldCharType="separate"/>
          </w:r>
          <w:r>
            <w:rPr>
              <w:rFonts w:eastAsia="方正仿宋简体"/>
              <w:sz w:val="24"/>
            </w:rPr>
            <w:t>11</w:t>
          </w:r>
          <w:r>
            <w:rPr>
              <w:rFonts w:eastAsia="方正仿宋简体"/>
              <w:sz w:val="24"/>
            </w:rPr>
            <w:fldChar w:fldCharType="end"/>
          </w:r>
          <w:r>
            <w:rPr>
              <w:rFonts w:ascii="黑体" w:hAnsi="黑体" w:eastAsia="方正仿宋简体"/>
              <w:sz w:val="24"/>
            </w:rPr>
            <w:fldChar w:fldCharType="end"/>
          </w:r>
        </w:p>
        <w:p>
          <w:pPr>
            <w:pStyle w:val="46"/>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_Toc21146 </w:instrText>
          </w:r>
          <w:r>
            <w:rPr>
              <w:rFonts w:ascii="黑体" w:hAnsi="黑体" w:eastAsia="方正仿宋简体"/>
              <w:sz w:val="24"/>
            </w:rPr>
            <w:fldChar w:fldCharType="separate"/>
          </w:r>
          <w:r>
            <w:rPr>
              <w:rFonts w:hint="eastAsia" w:ascii="方正黑体简体" w:hAnsi="黑体" w:eastAsia="方正仿宋简体"/>
              <w:sz w:val="24"/>
              <w:szCs w:val="32"/>
            </w:rPr>
            <w:t>五、一</w:t>
          </w:r>
          <w:r>
            <w:rPr>
              <w:rFonts w:hint="eastAsia" w:ascii="方正黑体简体" w:hAnsi="黑体" w:eastAsia="方正仿宋简体"/>
              <w:sz w:val="24"/>
            </w:rPr>
            <w:t>般公共预算财政拨款支出决算情况说明</w:t>
          </w:r>
          <w:r>
            <w:rPr>
              <w:rFonts w:eastAsia="方正仿宋简体"/>
              <w:sz w:val="24"/>
            </w:rPr>
            <w:tab/>
          </w:r>
          <w:r>
            <w:rPr>
              <w:rFonts w:eastAsia="方正仿宋简体"/>
              <w:sz w:val="24"/>
            </w:rPr>
            <w:fldChar w:fldCharType="begin"/>
          </w:r>
          <w:r>
            <w:rPr>
              <w:rFonts w:eastAsia="方正仿宋简体"/>
              <w:sz w:val="24"/>
            </w:rPr>
            <w:instrText xml:space="preserve"> PAGEREF _Toc21146 \h </w:instrText>
          </w:r>
          <w:r>
            <w:rPr>
              <w:rFonts w:eastAsia="方正仿宋简体"/>
              <w:sz w:val="24"/>
            </w:rPr>
            <w:fldChar w:fldCharType="separate"/>
          </w:r>
          <w:r>
            <w:rPr>
              <w:rFonts w:eastAsia="方正仿宋简体"/>
              <w:sz w:val="24"/>
            </w:rPr>
            <w:t>11</w:t>
          </w:r>
          <w:r>
            <w:rPr>
              <w:rFonts w:eastAsia="方正仿宋简体"/>
              <w:sz w:val="24"/>
            </w:rPr>
            <w:fldChar w:fldCharType="end"/>
          </w:r>
          <w:r>
            <w:rPr>
              <w:rFonts w:ascii="黑体" w:hAnsi="黑体" w:eastAsia="方正仿宋简体"/>
              <w:sz w:val="24"/>
            </w:rPr>
            <w:fldChar w:fldCharType="end"/>
          </w:r>
        </w:p>
        <w:p>
          <w:pPr>
            <w:pStyle w:val="47"/>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_Toc21271 </w:instrText>
          </w:r>
          <w:r>
            <w:rPr>
              <w:rFonts w:ascii="黑体" w:hAnsi="黑体" w:eastAsia="方正仿宋简体"/>
              <w:sz w:val="24"/>
            </w:rPr>
            <w:fldChar w:fldCharType="separate"/>
          </w:r>
          <w:r>
            <w:rPr>
              <w:rFonts w:hint="eastAsia" w:ascii="方正仿宋简体" w:hAnsi="仿宋" w:eastAsia="方正仿宋简体"/>
              <w:sz w:val="24"/>
              <w:szCs w:val="32"/>
            </w:rPr>
            <w:t>（一）一般公共预算财政拨款支出决算总体情况</w:t>
          </w:r>
          <w:r>
            <w:rPr>
              <w:rFonts w:eastAsia="方正仿宋简体"/>
              <w:sz w:val="24"/>
            </w:rPr>
            <w:tab/>
          </w:r>
          <w:r>
            <w:rPr>
              <w:rFonts w:eastAsia="方正仿宋简体"/>
              <w:sz w:val="24"/>
            </w:rPr>
            <w:fldChar w:fldCharType="begin"/>
          </w:r>
          <w:r>
            <w:rPr>
              <w:rFonts w:eastAsia="方正仿宋简体"/>
              <w:sz w:val="24"/>
            </w:rPr>
            <w:instrText xml:space="preserve"> PAGEREF _Toc21271 \h </w:instrText>
          </w:r>
          <w:r>
            <w:rPr>
              <w:rFonts w:eastAsia="方正仿宋简体"/>
              <w:sz w:val="24"/>
            </w:rPr>
            <w:fldChar w:fldCharType="separate"/>
          </w:r>
          <w:r>
            <w:rPr>
              <w:rFonts w:eastAsia="方正仿宋简体"/>
              <w:sz w:val="24"/>
            </w:rPr>
            <w:t>11</w:t>
          </w:r>
          <w:r>
            <w:rPr>
              <w:rFonts w:eastAsia="方正仿宋简体"/>
              <w:sz w:val="24"/>
            </w:rPr>
            <w:fldChar w:fldCharType="end"/>
          </w:r>
          <w:r>
            <w:rPr>
              <w:rFonts w:ascii="黑体" w:hAnsi="黑体" w:eastAsia="方正仿宋简体"/>
              <w:sz w:val="24"/>
            </w:rPr>
            <w:fldChar w:fldCharType="end"/>
          </w:r>
        </w:p>
        <w:p>
          <w:pPr>
            <w:pStyle w:val="47"/>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_Toc19028 </w:instrText>
          </w:r>
          <w:r>
            <w:rPr>
              <w:rFonts w:ascii="黑体" w:hAnsi="黑体" w:eastAsia="方正仿宋简体"/>
              <w:sz w:val="24"/>
            </w:rPr>
            <w:fldChar w:fldCharType="separate"/>
          </w:r>
          <w:r>
            <w:rPr>
              <w:rFonts w:hint="eastAsia" w:ascii="方正仿宋简体" w:hAnsi="仿宋" w:eastAsia="方正仿宋简体"/>
              <w:sz w:val="24"/>
              <w:szCs w:val="32"/>
            </w:rPr>
            <w:t>（二）一般公共预算财政拨款支出决算结构情况</w:t>
          </w:r>
          <w:r>
            <w:rPr>
              <w:rFonts w:eastAsia="方正仿宋简体"/>
              <w:sz w:val="24"/>
            </w:rPr>
            <w:tab/>
          </w:r>
          <w:r>
            <w:rPr>
              <w:rFonts w:eastAsia="方正仿宋简体"/>
              <w:sz w:val="24"/>
            </w:rPr>
            <w:fldChar w:fldCharType="begin"/>
          </w:r>
          <w:r>
            <w:rPr>
              <w:rFonts w:eastAsia="方正仿宋简体"/>
              <w:sz w:val="24"/>
            </w:rPr>
            <w:instrText xml:space="preserve"> PAGEREF _Toc19028 \h </w:instrText>
          </w:r>
          <w:r>
            <w:rPr>
              <w:rFonts w:eastAsia="方正仿宋简体"/>
              <w:sz w:val="24"/>
            </w:rPr>
            <w:fldChar w:fldCharType="separate"/>
          </w:r>
          <w:r>
            <w:rPr>
              <w:rFonts w:eastAsia="方正仿宋简体"/>
              <w:sz w:val="24"/>
            </w:rPr>
            <w:t>12</w:t>
          </w:r>
          <w:r>
            <w:rPr>
              <w:rFonts w:eastAsia="方正仿宋简体"/>
              <w:sz w:val="24"/>
            </w:rPr>
            <w:fldChar w:fldCharType="end"/>
          </w:r>
          <w:r>
            <w:rPr>
              <w:rFonts w:ascii="黑体" w:hAnsi="黑体" w:eastAsia="方正仿宋简体"/>
              <w:sz w:val="24"/>
            </w:rPr>
            <w:fldChar w:fldCharType="end"/>
          </w:r>
        </w:p>
        <w:p>
          <w:pPr>
            <w:pStyle w:val="47"/>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_Toc20401 </w:instrText>
          </w:r>
          <w:r>
            <w:rPr>
              <w:rFonts w:ascii="黑体" w:hAnsi="黑体" w:eastAsia="方正仿宋简体"/>
              <w:sz w:val="24"/>
            </w:rPr>
            <w:fldChar w:fldCharType="separate"/>
          </w:r>
          <w:r>
            <w:rPr>
              <w:rFonts w:hint="eastAsia" w:ascii="方正仿宋简体" w:hAnsi="仿宋" w:eastAsia="方正仿宋简体"/>
              <w:sz w:val="24"/>
              <w:szCs w:val="32"/>
            </w:rPr>
            <w:t>（三）一般公共预算财政拨款支出决算具体情况</w:t>
          </w:r>
          <w:r>
            <w:rPr>
              <w:rFonts w:eastAsia="方正仿宋简体"/>
              <w:sz w:val="24"/>
            </w:rPr>
            <w:tab/>
          </w:r>
          <w:r>
            <w:rPr>
              <w:rFonts w:eastAsia="方正仿宋简体"/>
              <w:sz w:val="24"/>
            </w:rPr>
            <w:fldChar w:fldCharType="begin"/>
          </w:r>
          <w:r>
            <w:rPr>
              <w:rFonts w:eastAsia="方正仿宋简体"/>
              <w:sz w:val="24"/>
            </w:rPr>
            <w:instrText xml:space="preserve"> PAGEREF _Toc20401 \h </w:instrText>
          </w:r>
          <w:r>
            <w:rPr>
              <w:rFonts w:eastAsia="方正仿宋简体"/>
              <w:sz w:val="24"/>
            </w:rPr>
            <w:fldChar w:fldCharType="separate"/>
          </w:r>
          <w:r>
            <w:rPr>
              <w:rFonts w:eastAsia="方正仿宋简体"/>
              <w:sz w:val="24"/>
            </w:rPr>
            <w:t>13</w:t>
          </w:r>
          <w:r>
            <w:rPr>
              <w:rFonts w:eastAsia="方正仿宋简体"/>
              <w:sz w:val="24"/>
            </w:rPr>
            <w:fldChar w:fldCharType="end"/>
          </w:r>
          <w:r>
            <w:rPr>
              <w:rFonts w:ascii="黑体" w:hAnsi="黑体" w:eastAsia="方正仿宋简体"/>
              <w:sz w:val="24"/>
            </w:rPr>
            <w:fldChar w:fldCharType="end"/>
          </w:r>
        </w:p>
        <w:p>
          <w:pPr>
            <w:pStyle w:val="46"/>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_Toc16076 </w:instrText>
          </w:r>
          <w:r>
            <w:rPr>
              <w:rFonts w:ascii="黑体" w:hAnsi="黑体" w:eastAsia="方正仿宋简体"/>
              <w:sz w:val="24"/>
            </w:rPr>
            <w:fldChar w:fldCharType="separate"/>
          </w:r>
          <w:r>
            <w:rPr>
              <w:rFonts w:hint="eastAsia" w:ascii="方正黑体简体" w:eastAsia="方正仿宋简体"/>
              <w:sz w:val="24"/>
              <w:szCs w:val="32"/>
            </w:rPr>
            <w:t>六、</w:t>
          </w:r>
          <w:r>
            <w:rPr>
              <w:rFonts w:hint="eastAsia" w:ascii="方正黑体简体" w:hAnsi="黑体" w:eastAsia="方正仿宋简体"/>
              <w:sz w:val="24"/>
              <w:szCs w:val="32"/>
            </w:rPr>
            <w:t>一</w:t>
          </w:r>
          <w:r>
            <w:rPr>
              <w:rFonts w:hint="eastAsia" w:ascii="方正黑体简体" w:hAnsi="黑体" w:eastAsia="方正仿宋简体"/>
              <w:sz w:val="24"/>
            </w:rPr>
            <w:t>般公共预算财政拨款基本支出决算情况说明</w:t>
          </w:r>
          <w:r>
            <w:rPr>
              <w:rFonts w:eastAsia="方正仿宋简体"/>
              <w:sz w:val="24"/>
            </w:rPr>
            <w:tab/>
          </w:r>
          <w:r>
            <w:rPr>
              <w:rFonts w:eastAsia="方正仿宋简体"/>
              <w:sz w:val="24"/>
            </w:rPr>
            <w:fldChar w:fldCharType="begin"/>
          </w:r>
          <w:r>
            <w:rPr>
              <w:rFonts w:eastAsia="方正仿宋简体"/>
              <w:sz w:val="24"/>
            </w:rPr>
            <w:instrText xml:space="preserve"> PAGEREF _Toc16076 \h </w:instrText>
          </w:r>
          <w:r>
            <w:rPr>
              <w:rFonts w:eastAsia="方正仿宋简体"/>
              <w:sz w:val="24"/>
            </w:rPr>
            <w:fldChar w:fldCharType="separate"/>
          </w:r>
          <w:r>
            <w:rPr>
              <w:rFonts w:eastAsia="方正仿宋简体"/>
              <w:sz w:val="24"/>
            </w:rPr>
            <w:t>14</w:t>
          </w:r>
          <w:r>
            <w:rPr>
              <w:rFonts w:eastAsia="方正仿宋简体"/>
              <w:sz w:val="24"/>
            </w:rPr>
            <w:fldChar w:fldCharType="end"/>
          </w:r>
          <w:r>
            <w:rPr>
              <w:rFonts w:ascii="黑体" w:hAnsi="黑体" w:eastAsia="方正仿宋简体"/>
              <w:sz w:val="24"/>
            </w:rPr>
            <w:fldChar w:fldCharType="end"/>
          </w:r>
        </w:p>
        <w:p>
          <w:pPr>
            <w:pStyle w:val="46"/>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_Toc29339 </w:instrText>
          </w:r>
          <w:r>
            <w:rPr>
              <w:rFonts w:ascii="黑体" w:hAnsi="黑体" w:eastAsia="方正仿宋简体"/>
              <w:sz w:val="24"/>
            </w:rPr>
            <w:fldChar w:fldCharType="separate"/>
          </w:r>
          <w:r>
            <w:rPr>
              <w:rFonts w:hint="eastAsia" w:ascii="方正黑体简体" w:eastAsia="方正仿宋简体"/>
              <w:sz w:val="24"/>
              <w:szCs w:val="32"/>
            </w:rPr>
            <w:t>七、</w:t>
          </w:r>
          <w:r>
            <w:rPr>
              <w:rFonts w:hint="eastAsia" w:ascii="方正黑体简体" w:hAnsi="黑体" w:eastAsia="方正仿宋简体"/>
              <w:sz w:val="24"/>
            </w:rPr>
            <w:t>“三公”经费财政拨款支出决算情况说明</w:t>
          </w:r>
          <w:r>
            <w:rPr>
              <w:rFonts w:eastAsia="方正仿宋简体"/>
              <w:sz w:val="24"/>
            </w:rPr>
            <w:tab/>
          </w:r>
          <w:r>
            <w:rPr>
              <w:rFonts w:eastAsia="方正仿宋简体"/>
              <w:sz w:val="24"/>
            </w:rPr>
            <w:fldChar w:fldCharType="begin"/>
          </w:r>
          <w:r>
            <w:rPr>
              <w:rFonts w:eastAsia="方正仿宋简体"/>
              <w:sz w:val="24"/>
            </w:rPr>
            <w:instrText xml:space="preserve"> PAGEREF _Toc29339 \h </w:instrText>
          </w:r>
          <w:r>
            <w:rPr>
              <w:rFonts w:eastAsia="方正仿宋简体"/>
              <w:sz w:val="24"/>
            </w:rPr>
            <w:fldChar w:fldCharType="separate"/>
          </w:r>
          <w:r>
            <w:rPr>
              <w:rFonts w:eastAsia="方正仿宋简体"/>
              <w:sz w:val="24"/>
            </w:rPr>
            <w:t>15</w:t>
          </w:r>
          <w:r>
            <w:rPr>
              <w:rFonts w:eastAsia="方正仿宋简体"/>
              <w:sz w:val="24"/>
            </w:rPr>
            <w:fldChar w:fldCharType="end"/>
          </w:r>
          <w:r>
            <w:rPr>
              <w:rFonts w:ascii="黑体" w:hAnsi="黑体" w:eastAsia="方正仿宋简体"/>
              <w:sz w:val="24"/>
            </w:rPr>
            <w:fldChar w:fldCharType="end"/>
          </w:r>
        </w:p>
        <w:p>
          <w:pPr>
            <w:pStyle w:val="47"/>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_Toc6076 </w:instrText>
          </w:r>
          <w:r>
            <w:rPr>
              <w:rFonts w:ascii="黑体" w:hAnsi="黑体" w:eastAsia="方正仿宋简体"/>
              <w:sz w:val="24"/>
            </w:rPr>
            <w:fldChar w:fldCharType="separate"/>
          </w:r>
          <w:r>
            <w:rPr>
              <w:rFonts w:hint="eastAsia" w:ascii="方正仿宋简体" w:hAnsi="仿宋" w:eastAsia="方正仿宋简体"/>
              <w:sz w:val="24"/>
              <w:szCs w:val="32"/>
            </w:rPr>
            <w:t>（一）“三公”经费财政拨款支出决算总体情况说明</w:t>
          </w:r>
          <w:r>
            <w:rPr>
              <w:rFonts w:eastAsia="方正仿宋简体"/>
              <w:sz w:val="24"/>
            </w:rPr>
            <w:tab/>
          </w:r>
          <w:r>
            <w:rPr>
              <w:rFonts w:eastAsia="方正仿宋简体"/>
              <w:sz w:val="24"/>
            </w:rPr>
            <w:fldChar w:fldCharType="begin"/>
          </w:r>
          <w:r>
            <w:rPr>
              <w:rFonts w:eastAsia="方正仿宋简体"/>
              <w:sz w:val="24"/>
            </w:rPr>
            <w:instrText xml:space="preserve"> PAGEREF _Toc6076 \h </w:instrText>
          </w:r>
          <w:r>
            <w:rPr>
              <w:rFonts w:eastAsia="方正仿宋简体"/>
              <w:sz w:val="24"/>
            </w:rPr>
            <w:fldChar w:fldCharType="separate"/>
          </w:r>
          <w:r>
            <w:rPr>
              <w:rFonts w:eastAsia="方正仿宋简体"/>
              <w:sz w:val="24"/>
            </w:rPr>
            <w:t>15</w:t>
          </w:r>
          <w:r>
            <w:rPr>
              <w:rFonts w:eastAsia="方正仿宋简体"/>
              <w:sz w:val="24"/>
            </w:rPr>
            <w:fldChar w:fldCharType="end"/>
          </w:r>
          <w:r>
            <w:rPr>
              <w:rFonts w:ascii="黑体" w:hAnsi="黑体" w:eastAsia="方正仿宋简体"/>
              <w:sz w:val="24"/>
            </w:rPr>
            <w:fldChar w:fldCharType="end"/>
          </w:r>
        </w:p>
        <w:p>
          <w:pPr>
            <w:pStyle w:val="47"/>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_Toc23259 </w:instrText>
          </w:r>
          <w:r>
            <w:rPr>
              <w:rFonts w:ascii="黑体" w:hAnsi="黑体" w:eastAsia="方正仿宋简体"/>
              <w:sz w:val="24"/>
            </w:rPr>
            <w:fldChar w:fldCharType="separate"/>
          </w:r>
          <w:r>
            <w:rPr>
              <w:rFonts w:hint="eastAsia" w:ascii="方正仿宋简体" w:hAnsi="仿宋" w:eastAsia="方正仿宋简体"/>
              <w:sz w:val="24"/>
              <w:szCs w:val="32"/>
            </w:rPr>
            <w:t>（二）“三公”经费财政拨款支出决算具体情况说明</w:t>
          </w:r>
          <w:r>
            <w:rPr>
              <w:rFonts w:eastAsia="方正仿宋简体"/>
              <w:sz w:val="24"/>
            </w:rPr>
            <w:tab/>
          </w:r>
          <w:r>
            <w:rPr>
              <w:rFonts w:eastAsia="方正仿宋简体"/>
              <w:sz w:val="24"/>
            </w:rPr>
            <w:fldChar w:fldCharType="begin"/>
          </w:r>
          <w:r>
            <w:rPr>
              <w:rFonts w:eastAsia="方正仿宋简体"/>
              <w:sz w:val="24"/>
            </w:rPr>
            <w:instrText xml:space="preserve"> PAGEREF _Toc23259 \h </w:instrText>
          </w:r>
          <w:r>
            <w:rPr>
              <w:rFonts w:eastAsia="方正仿宋简体"/>
              <w:sz w:val="24"/>
            </w:rPr>
            <w:fldChar w:fldCharType="separate"/>
          </w:r>
          <w:r>
            <w:rPr>
              <w:rFonts w:eastAsia="方正仿宋简体"/>
              <w:sz w:val="24"/>
            </w:rPr>
            <w:t>15</w:t>
          </w:r>
          <w:r>
            <w:rPr>
              <w:rFonts w:eastAsia="方正仿宋简体"/>
              <w:sz w:val="24"/>
            </w:rPr>
            <w:fldChar w:fldCharType="end"/>
          </w:r>
          <w:r>
            <w:rPr>
              <w:rFonts w:ascii="黑体" w:hAnsi="黑体" w:eastAsia="方正仿宋简体"/>
              <w:sz w:val="24"/>
            </w:rPr>
            <w:fldChar w:fldCharType="end"/>
          </w:r>
        </w:p>
        <w:p>
          <w:pPr>
            <w:pStyle w:val="46"/>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_Toc23912 </w:instrText>
          </w:r>
          <w:r>
            <w:rPr>
              <w:rFonts w:ascii="黑体" w:hAnsi="黑体" w:eastAsia="方正仿宋简体"/>
              <w:sz w:val="24"/>
            </w:rPr>
            <w:fldChar w:fldCharType="separate"/>
          </w:r>
          <w:r>
            <w:rPr>
              <w:rFonts w:hint="eastAsia" w:ascii="方正黑体简体" w:eastAsia="方正仿宋简体"/>
              <w:sz w:val="24"/>
              <w:szCs w:val="32"/>
            </w:rPr>
            <w:t>八、</w:t>
          </w:r>
          <w:r>
            <w:rPr>
              <w:rFonts w:hint="eastAsia" w:ascii="方正黑体简体" w:hAnsi="黑体" w:eastAsia="方正仿宋简体"/>
              <w:sz w:val="24"/>
            </w:rPr>
            <w:t>政府性基金预算支出决算情况说明</w:t>
          </w:r>
          <w:r>
            <w:rPr>
              <w:rFonts w:eastAsia="方正仿宋简体"/>
              <w:sz w:val="24"/>
            </w:rPr>
            <w:tab/>
          </w:r>
          <w:r>
            <w:rPr>
              <w:rFonts w:eastAsia="方正仿宋简体"/>
              <w:sz w:val="24"/>
            </w:rPr>
            <w:fldChar w:fldCharType="begin"/>
          </w:r>
          <w:r>
            <w:rPr>
              <w:rFonts w:eastAsia="方正仿宋简体"/>
              <w:sz w:val="24"/>
            </w:rPr>
            <w:instrText xml:space="preserve"> PAGEREF _Toc23912 \h </w:instrText>
          </w:r>
          <w:r>
            <w:rPr>
              <w:rFonts w:eastAsia="方正仿宋简体"/>
              <w:sz w:val="24"/>
            </w:rPr>
            <w:fldChar w:fldCharType="separate"/>
          </w:r>
          <w:r>
            <w:rPr>
              <w:rFonts w:eastAsia="方正仿宋简体"/>
              <w:sz w:val="24"/>
            </w:rPr>
            <w:t>16</w:t>
          </w:r>
          <w:r>
            <w:rPr>
              <w:rFonts w:eastAsia="方正仿宋简体"/>
              <w:sz w:val="24"/>
            </w:rPr>
            <w:fldChar w:fldCharType="end"/>
          </w:r>
          <w:r>
            <w:rPr>
              <w:rFonts w:ascii="黑体" w:hAnsi="黑体" w:eastAsia="方正仿宋简体"/>
              <w:sz w:val="24"/>
            </w:rPr>
            <w:fldChar w:fldCharType="end"/>
          </w:r>
        </w:p>
        <w:p>
          <w:pPr>
            <w:pStyle w:val="46"/>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_Toc1971 </w:instrText>
          </w:r>
          <w:r>
            <w:rPr>
              <w:rFonts w:ascii="黑体" w:hAnsi="黑体" w:eastAsia="方正仿宋简体"/>
              <w:sz w:val="24"/>
            </w:rPr>
            <w:fldChar w:fldCharType="separate"/>
          </w:r>
          <w:r>
            <w:rPr>
              <w:rFonts w:hint="eastAsia" w:ascii="方正黑体简体" w:hAnsi="仿宋" w:eastAsia="方正仿宋简体"/>
              <w:sz w:val="24"/>
              <w:szCs w:val="32"/>
            </w:rPr>
            <w:t>九、</w:t>
          </w:r>
          <w:r>
            <w:rPr>
              <w:rFonts w:hint="eastAsia" w:ascii="方正黑体简体" w:hAnsi="黑体" w:eastAsia="方正仿宋简体"/>
              <w:sz w:val="24"/>
            </w:rPr>
            <w:t>国有资本经营预算支出决算情况说明</w:t>
          </w:r>
          <w:r>
            <w:rPr>
              <w:rFonts w:eastAsia="方正仿宋简体"/>
              <w:sz w:val="24"/>
            </w:rPr>
            <w:tab/>
          </w:r>
          <w:r>
            <w:rPr>
              <w:rFonts w:eastAsia="方正仿宋简体"/>
              <w:sz w:val="24"/>
            </w:rPr>
            <w:fldChar w:fldCharType="begin"/>
          </w:r>
          <w:r>
            <w:rPr>
              <w:rFonts w:eastAsia="方正仿宋简体"/>
              <w:sz w:val="24"/>
            </w:rPr>
            <w:instrText xml:space="preserve"> PAGEREF _Toc1971 \h </w:instrText>
          </w:r>
          <w:r>
            <w:rPr>
              <w:rFonts w:eastAsia="方正仿宋简体"/>
              <w:sz w:val="24"/>
            </w:rPr>
            <w:fldChar w:fldCharType="separate"/>
          </w:r>
          <w:r>
            <w:rPr>
              <w:rFonts w:eastAsia="方正仿宋简体"/>
              <w:sz w:val="24"/>
            </w:rPr>
            <w:t>16</w:t>
          </w:r>
          <w:r>
            <w:rPr>
              <w:rFonts w:eastAsia="方正仿宋简体"/>
              <w:sz w:val="24"/>
            </w:rPr>
            <w:fldChar w:fldCharType="end"/>
          </w:r>
          <w:r>
            <w:rPr>
              <w:rFonts w:ascii="黑体" w:hAnsi="黑体" w:eastAsia="方正仿宋简体"/>
              <w:sz w:val="24"/>
            </w:rPr>
            <w:fldChar w:fldCharType="end"/>
          </w:r>
        </w:p>
        <w:p>
          <w:pPr>
            <w:pStyle w:val="46"/>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_Toc29163 </w:instrText>
          </w:r>
          <w:r>
            <w:rPr>
              <w:rFonts w:ascii="黑体" w:hAnsi="黑体" w:eastAsia="方正仿宋简体"/>
              <w:sz w:val="24"/>
            </w:rPr>
            <w:fldChar w:fldCharType="separate"/>
          </w:r>
          <w:r>
            <w:rPr>
              <w:rFonts w:hint="eastAsia" w:ascii="方正黑体简体" w:hAnsi="黑体" w:eastAsia="方正仿宋简体"/>
              <w:sz w:val="24"/>
              <w:szCs w:val="32"/>
            </w:rPr>
            <w:t>十</w:t>
          </w:r>
          <w:r>
            <w:rPr>
              <w:rFonts w:hint="eastAsia" w:ascii="方正黑体简体" w:hAnsi="黑体" w:eastAsia="方正仿宋简体"/>
              <w:sz w:val="24"/>
            </w:rPr>
            <w:t>、其他重要事项的情况说明</w:t>
          </w:r>
          <w:r>
            <w:rPr>
              <w:rFonts w:eastAsia="方正仿宋简体"/>
              <w:sz w:val="24"/>
            </w:rPr>
            <w:tab/>
          </w:r>
          <w:r>
            <w:rPr>
              <w:rFonts w:eastAsia="方正仿宋简体"/>
              <w:sz w:val="24"/>
            </w:rPr>
            <w:fldChar w:fldCharType="begin"/>
          </w:r>
          <w:r>
            <w:rPr>
              <w:rFonts w:eastAsia="方正仿宋简体"/>
              <w:sz w:val="24"/>
            </w:rPr>
            <w:instrText xml:space="preserve"> PAGEREF _Toc29163 \h </w:instrText>
          </w:r>
          <w:r>
            <w:rPr>
              <w:rFonts w:eastAsia="方正仿宋简体"/>
              <w:sz w:val="24"/>
            </w:rPr>
            <w:fldChar w:fldCharType="separate"/>
          </w:r>
          <w:r>
            <w:rPr>
              <w:rFonts w:eastAsia="方正仿宋简体"/>
              <w:sz w:val="24"/>
            </w:rPr>
            <w:t>16</w:t>
          </w:r>
          <w:r>
            <w:rPr>
              <w:rFonts w:eastAsia="方正仿宋简体"/>
              <w:sz w:val="24"/>
            </w:rPr>
            <w:fldChar w:fldCharType="end"/>
          </w:r>
          <w:r>
            <w:rPr>
              <w:rFonts w:ascii="黑体" w:hAnsi="黑体" w:eastAsia="方正仿宋简体"/>
              <w:sz w:val="24"/>
            </w:rPr>
            <w:fldChar w:fldCharType="end"/>
          </w:r>
        </w:p>
        <w:p>
          <w:pPr>
            <w:pStyle w:val="47"/>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_Toc15150 </w:instrText>
          </w:r>
          <w:r>
            <w:rPr>
              <w:rFonts w:ascii="黑体" w:hAnsi="黑体" w:eastAsia="方正仿宋简体"/>
              <w:sz w:val="24"/>
            </w:rPr>
            <w:fldChar w:fldCharType="separate"/>
          </w:r>
          <w:r>
            <w:rPr>
              <w:rFonts w:hint="eastAsia" w:ascii="方正仿宋简体" w:hAnsi="仿宋" w:eastAsia="方正仿宋简体"/>
              <w:sz w:val="24"/>
              <w:szCs w:val="32"/>
            </w:rPr>
            <w:t>（一）机关运行经费支出情况</w:t>
          </w:r>
          <w:r>
            <w:rPr>
              <w:rFonts w:eastAsia="方正仿宋简体"/>
              <w:sz w:val="24"/>
            </w:rPr>
            <w:tab/>
          </w:r>
          <w:r>
            <w:rPr>
              <w:rFonts w:eastAsia="方正仿宋简体"/>
              <w:sz w:val="24"/>
            </w:rPr>
            <w:fldChar w:fldCharType="begin"/>
          </w:r>
          <w:r>
            <w:rPr>
              <w:rFonts w:eastAsia="方正仿宋简体"/>
              <w:sz w:val="24"/>
            </w:rPr>
            <w:instrText xml:space="preserve"> PAGEREF _Toc15150 \h </w:instrText>
          </w:r>
          <w:r>
            <w:rPr>
              <w:rFonts w:eastAsia="方正仿宋简体"/>
              <w:sz w:val="24"/>
            </w:rPr>
            <w:fldChar w:fldCharType="separate"/>
          </w:r>
          <w:r>
            <w:rPr>
              <w:rFonts w:eastAsia="方正仿宋简体"/>
              <w:sz w:val="24"/>
            </w:rPr>
            <w:t>16</w:t>
          </w:r>
          <w:r>
            <w:rPr>
              <w:rFonts w:eastAsia="方正仿宋简体"/>
              <w:sz w:val="24"/>
            </w:rPr>
            <w:fldChar w:fldCharType="end"/>
          </w:r>
          <w:r>
            <w:rPr>
              <w:rFonts w:ascii="黑体" w:hAnsi="黑体" w:eastAsia="方正仿宋简体"/>
              <w:sz w:val="24"/>
            </w:rPr>
            <w:fldChar w:fldCharType="end"/>
          </w:r>
        </w:p>
        <w:p>
          <w:pPr>
            <w:pStyle w:val="47"/>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_Toc15892 </w:instrText>
          </w:r>
          <w:r>
            <w:rPr>
              <w:rFonts w:ascii="黑体" w:hAnsi="黑体" w:eastAsia="方正仿宋简体"/>
              <w:sz w:val="24"/>
            </w:rPr>
            <w:fldChar w:fldCharType="separate"/>
          </w:r>
          <w:r>
            <w:rPr>
              <w:rFonts w:hint="eastAsia" w:ascii="方正仿宋简体" w:hAnsi="仿宋" w:eastAsia="方正仿宋简体"/>
              <w:sz w:val="24"/>
              <w:szCs w:val="32"/>
            </w:rPr>
            <w:t>（二）政府采购支出情况</w:t>
          </w:r>
          <w:r>
            <w:rPr>
              <w:rFonts w:eastAsia="方正仿宋简体"/>
              <w:sz w:val="24"/>
            </w:rPr>
            <w:tab/>
          </w:r>
          <w:r>
            <w:rPr>
              <w:rFonts w:eastAsia="方正仿宋简体"/>
              <w:sz w:val="24"/>
            </w:rPr>
            <w:fldChar w:fldCharType="begin"/>
          </w:r>
          <w:r>
            <w:rPr>
              <w:rFonts w:eastAsia="方正仿宋简体"/>
              <w:sz w:val="24"/>
            </w:rPr>
            <w:instrText xml:space="preserve"> PAGEREF _Toc15892 \h </w:instrText>
          </w:r>
          <w:r>
            <w:rPr>
              <w:rFonts w:eastAsia="方正仿宋简体"/>
              <w:sz w:val="24"/>
            </w:rPr>
            <w:fldChar w:fldCharType="separate"/>
          </w:r>
          <w:r>
            <w:rPr>
              <w:rFonts w:eastAsia="方正仿宋简体"/>
              <w:sz w:val="24"/>
            </w:rPr>
            <w:t>17</w:t>
          </w:r>
          <w:r>
            <w:rPr>
              <w:rFonts w:eastAsia="方正仿宋简体"/>
              <w:sz w:val="24"/>
            </w:rPr>
            <w:fldChar w:fldCharType="end"/>
          </w:r>
          <w:r>
            <w:rPr>
              <w:rFonts w:ascii="黑体" w:hAnsi="黑体" w:eastAsia="方正仿宋简体"/>
              <w:sz w:val="24"/>
            </w:rPr>
            <w:fldChar w:fldCharType="end"/>
          </w:r>
        </w:p>
        <w:p>
          <w:pPr>
            <w:pStyle w:val="47"/>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_Toc30212 </w:instrText>
          </w:r>
          <w:r>
            <w:rPr>
              <w:rFonts w:ascii="黑体" w:hAnsi="黑体" w:eastAsia="方正仿宋简体"/>
              <w:sz w:val="24"/>
            </w:rPr>
            <w:fldChar w:fldCharType="separate"/>
          </w:r>
          <w:r>
            <w:rPr>
              <w:rFonts w:hint="eastAsia" w:ascii="方正仿宋简体" w:hAnsi="仿宋" w:eastAsia="方正仿宋简体"/>
              <w:sz w:val="24"/>
              <w:szCs w:val="32"/>
            </w:rPr>
            <w:t>（三）国有资产占有使用情况</w:t>
          </w:r>
          <w:r>
            <w:rPr>
              <w:rFonts w:eastAsia="方正仿宋简体"/>
              <w:sz w:val="24"/>
            </w:rPr>
            <w:tab/>
          </w:r>
          <w:r>
            <w:rPr>
              <w:rFonts w:eastAsia="方正仿宋简体"/>
              <w:sz w:val="24"/>
            </w:rPr>
            <w:fldChar w:fldCharType="begin"/>
          </w:r>
          <w:r>
            <w:rPr>
              <w:rFonts w:eastAsia="方正仿宋简体"/>
              <w:sz w:val="24"/>
            </w:rPr>
            <w:instrText xml:space="preserve"> PAGEREF _Toc30212 \h </w:instrText>
          </w:r>
          <w:r>
            <w:rPr>
              <w:rFonts w:eastAsia="方正仿宋简体"/>
              <w:sz w:val="24"/>
            </w:rPr>
            <w:fldChar w:fldCharType="separate"/>
          </w:r>
          <w:r>
            <w:rPr>
              <w:rFonts w:eastAsia="方正仿宋简体"/>
              <w:sz w:val="24"/>
            </w:rPr>
            <w:t>17</w:t>
          </w:r>
          <w:r>
            <w:rPr>
              <w:rFonts w:eastAsia="方正仿宋简体"/>
              <w:sz w:val="24"/>
            </w:rPr>
            <w:fldChar w:fldCharType="end"/>
          </w:r>
          <w:r>
            <w:rPr>
              <w:rFonts w:ascii="黑体" w:hAnsi="黑体" w:eastAsia="方正仿宋简体"/>
              <w:sz w:val="24"/>
            </w:rPr>
            <w:fldChar w:fldCharType="end"/>
          </w:r>
        </w:p>
        <w:p>
          <w:pPr>
            <w:pStyle w:val="47"/>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_Toc13886 </w:instrText>
          </w:r>
          <w:r>
            <w:rPr>
              <w:rFonts w:ascii="黑体" w:hAnsi="黑体" w:eastAsia="方正仿宋简体"/>
              <w:sz w:val="24"/>
            </w:rPr>
            <w:fldChar w:fldCharType="separate"/>
          </w:r>
          <w:r>
            <w:rPr>
              <w:rFonts w:hint="eastAsia" w:ascii="方正仿宋简体" w:hAnsi="仿宋" w:eastAsia="方正仿宋简体"/>
              <w:sz w:val="24"/>
              <w:szCs w:val="32"/>
            </w:rPr>
            <w:t>（四）预算绩效管理工作开展情况。</w:t>
          </w:r>
          <w:r>
            <w:rPr>
              <w:rFonts w:eastAsia="方正仿宋简体"/>
              <w:sz w:val="24"/>
            </w:rPr>
            <w:tab/>
          </w:r>
          <w:r>
            <w:rPr>
              <w:rFonts w:eastAsia="方正仿宋简体"/>
              <w:sz w:val="24"/>
            </w:rPr>
            <w:fldChar w:fldCharType="begin"/>
          </w:r>
          <w:r>
            <w:rPr>
              <w:rFonts w:eastAsia="方正仿宋简体"/>
              <w:sz w:val="24"/>
            </w:rPr>
            <w:instrText xml:space="preserve"> PAGEREF _Toc13886 \h </w:instrText>
          </w:r>
          <w:r>
            <w:rPr>
              <w:rFonts w:eastAsia="方正仿宋简体"/>
              <w:sz w:val="24"/>
            </w:rPr>
            <w:fldChar w:fldCharType="separate"/>
          </w:r>
          <w:r>
            <w:rPr>
              <w:rFonts w:eastAsia="方正仿宋简体"/>
              <w:sz w:val="24"/>
            </w:rPr>
            <w:t>17</w:t>
          </w:r>
          <w:r>
            <w:rPr>
              <w:rFonts w:eastAsia="方正仿宋简体"/>
              <w:sz w:val="24"/>
            </w:rPr>
            <w:fldChar w:fldCharType="end"/>
          </w:r>
          <w:r>
            <w:rPr>
              <w:rFonts w:ascii="黑体" w:hAnsi="黑体" w:eastAsia="方正仿宋简体"/>
              <w:sz w:val="24"/>
            </w:rPr>
            <w:fldChar w:fldCharType="end"/>
          </w:r>
        </w:p>
        <w:p>
          <w:pPr>
            <w:pStyle w:val="45"/>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_Toc32670 </w:instrText>
          </w:r>
          <w:r>
            <w:rPr>
              <w:rFonts w:ascii="黑体" w:hAnsi="黑体" w:eastAsia="方正仿宋简体"/>
              <w:sz w:val="24"/>
            </w:rPr>
            <w:fldChar w:fldCharType="separate"/>
          </w:r>
          <w:r>
            <w:rPr>
              <w:rFonts w:hint="eastAsia" w:ascii="方正黑体简体" w:hAnsi="黑体" w:eastAsia="方正仿宋简体"/>
              <w:sz w:val="24"/>
              <w:szCs w:val="44"/>
            </w:rPr>
            <w:t>第三部分 名</w:t>
          </w:r>
          <w:r>
            <w:rPr>
              <w:rFonts w:hint="eastAsia" w:ascii="方正黑体简体" w:eastAsia="方正仿宋简体"/>
              <w:bCs/>
              <w:sz w:val="24"/>
              <w:szCs w:val="44"/>
            </w:rPr>
            <w:t>词解释</w:t>
          </w:r>
          <w:r>
            <w:rPr>
              <w:rFonts w:eastAsia="方正仿宋简体"/>
              <w:sz w:val="24"/>
            </w:rPr>
            <w:tab/>
          </w:r>
          <w:r>
            <w:rPr>
              <w:rFonts w:eastAsia="方正仿宋简体"/>
              <w:sz w:val="24"/>
            </w:rPr>
            <w:fldChar w:fldCharType="begin"/>
          </w:r>
          <w:r>
            <w:rPr>
              <w:rFonts w:eastAsia="方正仿宋简体"/>
              <w:sz w:val="24"/>
            </w:rPr>
            <w:instrText xml:space="preserve"> PAGEREF _Toc32670 \h </w:instrText>
          </w:r>
          <w:r>
            <w:rPr>
              <w:rFonts w:eastAsia="方正仿宋简体"/>
              <w:sz w:val="24"/>
            </w:rPr>
            <w:fldChar w:fldCharType="separate"/>
          </w:r>
          <w:r>
            <w:rPr>
              <w:rFonts w:eastAsia="方正仿宋简体"/>
              <w:sz w:val="24"/>
            </w:rPr>
            <w:t>18</w:t>
          </w:r>
          <w:r>
            <w:rPr>
              <w:rFonts w:eastAsia="方正仿宋简体"/>
              <w:sz w:val="24"/>
            </w:rPr>
            <w:fldChar w:fldCharType="end"/>
          </w:r>
          <w:r>
            <w:rPr>
              <w:rFonts w:ascii="黑体" w:hAnsi="黑体" w:eastAsia="方正仿宋简体"/>
              <w:sz w:val="24"/>
            </w:rPr>
            <w:fldChar w:fldCharType="end"/>
          </w:r>
        </w:p>
        <w:p>
          <w:pPr>
            <w:pStyle w:val="45"/>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_Toc32448 </w:instrText>
          </w:r>
          <w:r>
            <w:rPr>
              <w:rFonts w:ascii="黑体" w:hAnsi="黑体" w:eastAsia="方正仿宋简体"/>
              <w:sz w:val="24"/>
            </w:rPr>
            <w:fldChar w:fldCharType="separate"/>
          </w:r>
          <w:r>
            <w:rPr>
              <w:rFonts w:hint="eastAsia" w:ascii="方正黑体简体" w:hAnsi="黑体" w:eastAsia="方正仿宋简体"/>
              <w:sz w:val="24"/>
              <w:szCs w:val="44"/>
            </w:rPr>
            <w:t>第</w:t>
          </w:r>
          <w:r>
            <w:rPr>
              <w:rFonts w:hint="eastAsia" w:ascii="方正黑体简体" w:hAnsi="黑体" w:eastAsia="方正仿宋简体"/>
              <w:sz w:val="24"/>
            </w:rPr>
            <w:t>四部分 附件</w:t>
          </w:r>
          <w:r>
            <w:rPr>
              <w:rFonts w:eastAsia="方正仿宋简体"/>
              <w:sz w:val="24"/>
            </w:rPr>
            <w:tab/>
          </w:r>
          <w:r>
            <w:rPr>
              <w:rFonts w:eastAsia="方正仿宋简体"/>
              <w:sz w:val="24"/>
            </w:rPr>
            <w:fldChar w:fldCharType="begin"/>
          </w:r>
          <w:r>
            <w:rPr>
              <w:rFonts w:eastAsia="方正仿宋简体"/>
              <w:sz w:val="24"/>
            </w:rPr>
            <w:instrText xml:space="preserve"> PAGEREF _Toc32448 \h </w:instrText>
          </w:r>
          <w:r>
            <w:rPr>
              <w:rFonts w:eastAsia="方正仿宋简体"/>
              <w:sz w:val="24"/>
            </w:rPr>
            <w:fldChar w:fldCharType="separate"/>
          </w:r>
          <w:r>
            <w:rPr>
              <w:rFonts w:eastAsia="方正仿宋简体"/>
              <w:sz w:val="24"/>
            </w:rPr>
            <w:t>22</w:t>
          </w:r>
          <w:r>
            <w:rPr>
              <w:rFonts w:eastAsia="方正仿宋简体"/>
              <w:sz w:val="24"/>
            </w:rPr>
            <w:fldChar w:fldCharType="end"/>
          </w:r>
          <w:r>
            <w:rPr>
              <w:rFonts w:ascii="黑体" w:hAnsi="黑体" w:eastAsia="方正仿宋简体"/>
              <w:sz w:val="24"/>
            </w:rPr>
            <w:fldChar w:fldCharType="end"/>
          </w:r>
        </w:p>
        <w:p>
          <w:pPr>
            <w:pStyle w:val="45"/>
            <w:tabs>
              <w:tab w:val="right" w:leader="dot" w:pos="8306"/>
            </w:tabs>
          </w:pPr>
          <w:r>
            <w:rPr>
              <w:rFonts w:ascii="黑体" w:hAnsi="黑体" w:eastAsia="方正仿宋简体"/>
              <w:sz w:val="24"/>
            </w:rPr>
            <w:fldChar w:fldCharType="begin"/>
          </w:r>
          <w:r>
            <w:rPr>
              <w:rFonts w:ascii="黑体" w:hAnsi="黑体" w:eastAsia="方正仿宋简体"/>
              <w:sz w:val="24"/>
            </w:rPr>
            <w:instrText xml:space="preserve"> HYPERLINK \l _Toc12029 </w:instrText>
          </w:r>
          <w:r>
            <w:rPr>
              <w:rFonts w:ascii="黑体" w:hAnsi="黑体" w:eastAsia="方正仿宋简体"/>
              <w:sz w:val="24"/>
            </w:rPr>
            <w:fldChar w:fldCharType="separate"/>
          </w:r>
          <w:r>
            <w:rPr>
              <w:rFonts w:hint="eastAsia" w:ascii="方正黑体简体" w:hAnsi="黑体" w:eastAsia="方正仿宋简体"/>
              <w:sz w:val="24"/>
              <w:szCs w:val="44"/>
            </w:rPr>
            <w:t>第五部分  附表</w:t>
          </w:r>
          <w:r>
            <w:rPr>
              <w:rFonts w:eastAsia="方正仿宋简体"/>
              <w:sz w:val="24"/>
            </w:rPr>
            <w:tab/>
          </w:r>
          <w:r>
            <w:rPr>
              <w:rFonts w:eastAsia="方正仿宋简体"/>
              <w:sz w:val="24"/>
            </w:rPr>
            <w:fldChar w:fldCharType="begin"/>
          </w:r>
          <w:r>
            <w:rPr>
              <w:rFonts w:eastAsia="方正仿宋简体"/>
              <w:sz w:val="24"/>
            </w:rPr>
            <w:instrText xml:space="preserve"> PAGEREF _Toc12029 \h </w:instrText>
          </w:r>
          <w:r>
            <w:rPr>
              <w:rFonts w:eastAsia="方正仿宋简体"/>
              <w:sz w:val="24"/>
            </w:rPr>
            <w:fldChar w:fldCharType="separate"/>
          </w:r>
          <w:r>
            <w:rPr>
              <w:rFonts w:eastAsia="方正仿宋简体"/>
              <w:sz w:val="24"/>
            </w:rPr>
            <w:t>29</w:t>
          </w:r>
          <w:r>
            <w:rPr>
              <w:rFonts w:eastAsia="方正仿宋简体"/>
              <w:sz w:val="24"/>
            </w:rPr>
            <w:fldChar w:fldCharType="end"/>
          </w:r>
          <w:r>
            <w:rPr>
              <w:rFonts w:ascii="黑体" w:hAnsi="黑体" w:eastAsia="方正仿宋简体"/>
              <w:sz w:val="24"/>
            </w:rPr>
            <w:fldChar w:fldCharType="end"/>
          </w:r>
        </w:p>
        <w:p>
          <w:pPr>
            <w:widowControl/>
            <w:jc w:val="left"/>
            <w:rPr>
              <w:rStyle w:val="29"/>
              <w:rFonts w:ascii="黑体" w:hAnsi="黑体"/>
              <w:b w:val="0"/>
            </w:rPr>
          </w:pPr>
          <w:r>
            <w:rPr>
              <w:rFonts w:ascii="黑体" w:hAnsi="黑体"/>
            </w:rPr>
            <w:fldChar w:fldCharType="end"/>
          </w:r>
        </w:p>
      </w:sdtContent>
    </w:sdt>
    <w:p>
      <w:pPr>
        <w:widowControl/>
        <w:jc w:val="left"/>
        <w:rPr>
          <w:rStyle w:val="29"/>
          <w:rFonts w:ascii="黑体" w:hAnsi="黑体"/>
          <w:b w:val="0"/>
        </w:rPr>
      </w:pPr>
    </w:p>
    <w:p>
      <w:pPr>
        <w:widowControl/>
        <w:jc w:val="left"/>
        <w:rPr>
          <w:rStyle w:val="29"/>
          <w:rFonts w:ascii="方正黑体简体" w:hAnsi="黑体" w:eastAsia="方正黑体简体"/>
          <w:b w:val="0"/>
        </w:rPr>
      </w:pPr>
      <w:bookmarkStart w:id="29" w:name="_Toc113351077"/>
      <w:r>
        <w:rPr>
          <w:rStyle w:val="29"/>
          <w:rFonts w:ascii="方正黑体简体" w:hAnsi="黑体" w:eastAsia="方正黑体简体"/>
          <w:b w:val="0"/>
        </w:rPr>
        <w:br w:type="page"/>
      </w:r>
    </w:p>
    <w:p>
      <w:pPr>
        <w:widowControl/>
        <w:jc w:val="center"/>
        <w:outlineLvl w:val="0"/>
        <w:rPr>
          <w:rStyle w:val="29"/>
          <w:rFonts w:hint="eastAsia" w:ascii="方正黑体简体" w:hAnsi="黑体" w:eastAsia="方正黑体简体"/>
          <w:b w:val="0"/>
        </w:rPr>
      </w:pPr>
      <w:bookmarkStart w:id="30" w:name="_Toc113351495"/>
      <w:bookmarkStart w:id="31" w:name="_Toc16683"/>
      <w:bookmarkStart w:id="32" w:name="_Toc9521"/>
      <w:r>
        <w:rPr>
          <w:rStyle w:val="29"/>
          <w:rFonts w:hint="eastAsia" w:ascii="方正黑体简体" w:hAnsi="黑体" w:eastAsia="方正黑体简体"/>
          <w:b w:val="0"/>
        </w:rPr>
        <w:t>第一部分  部门概况</w:t>
      </w:r>
      <w:bookmarkEnd w:id="26"/>
      <w:bookmarkEnd w:id="27"/>
      <w:bookmarkEnd w:id="28"/>
      <w:bookmarkEnd w:id="29"/>
      <w:bookmarkEnd w:id="30"/>
      <w:bookmarkEnd w:id="31"/>
      <w:bookmarkStart w:id="33" w:name="_Toc15377197"/>
      <w:bookmarkStart w:id="34" w:name="_Toc17103550"/>
    </w:p>
    <w:bookmarkEnd w:id="32"/>
    <w:p>
      <w:pPr>
        <w:widowControl/>
        <w:ind w:firstLine="2814" w:firstLineChars="637"/>
        <w:jc w:val="left"/>
        <w:rPr>
          <w:rStyle w:val="29"/>
          <w:rFonts w:ascii="黑体" w:hAnsi="黑体" w:eastAsia="黑体"/>
        </w:rPr>
      </w:pPr>
    </w:p>
    <w:p>
      <w:pPr>
        <w:widowControl/>
        <w:spacing w:line="600" w:lineRule="exact"/>
        <w:ind w:firstLine="787" w:firstLineChars="246"/>
        <w:outlineLvl w:val="1"/>
        <w:rPr>
          <w:rStyle w:val="30"/>
          <w:rFonts w:hint="eastAsia" w:ascii="方正黑体简体" w:hAnsi="黑体" w:eastAsia="方正黑体简体"/>
          <w:b w:val="0"/>
        </w:rPr>
      </w:pPr>
      <w:bookmarkStart w:id="35" w:name="_Toc113285251"/>
      <w:bookmarkStart w:id="36" w:name="_Toc113351078"/>
      <w:bookmarkStart w:id="37" w:name="_Toc113351496"/>
      <w:bookmarkStart w:id="38" w:name="_Toc14934"/>
      <w:bookmarkStart w:id="39" w:name="_Toc18885"/>
      <w:r>
        <w:rPr>
          <w:rStyle w:val="30"/>
          <w:rFonts w:hint="eastAsia" w:ascii="方正黑体简体" w:hAnsi="黑体" w:eastAsia="方正黑体简体"/>
          <w:b w:val="0"/>
        </w:rPr>
        <w:t>一、基本职能及主要工作</w:t>
      </w:r>
      <w:bookmarkEnd w:id="33"/>
      <w:bookmarkEnd w:id="34"/>
      <w:bookmarkEnd w:id="35"/>
      <w:bookmarkEnd w:id="36"/>
      <w:bookmarkEnd w:id="37"/>
      <w:bookmarkEnd w:id="38"/>
    </w:p>
    <w:bookmarkEnd w:id="39"/>
    <w:p>
      <w:pPr>
        <w:spacing w:line="600" w:lineRule="exact"/>
        <w:ind w:firstLine="630" w:firstLineChars="196"/>
        <w:outlineLvl w:val="2"/>
        <w:rPr>
          <w:rFonts w:hint="eastAsia" w:ascii="方正仿宋简体" w:hAnsi="仿宋" w:eastAsia="方正仿宋简体"/>
          <w:b/>
          <w:bCs/>
          <w:color w:val="000000"/>
          <w:sz w:val="32"/>
          <w:szCs w:val="32"/>
        </w:rPr>
      </w:pPr>
      <w:bookmarkStart w:id="40" w:name="_Toc31391"/>
      <w:bookmarkStart w:id="41" w:name="_Toc15377198"/>
      <w:bookmarkStart w:id="42" w:name="_Toc15378445"/>
      <w:r>
        <w:rPr>
          <w:rFonts w:hint="eastAsia" w:ascii="方正仿宋简体" w:hAnsi="仿宋" w:eastAsia="方正仿宋简体"/>
          <w:b/>
          <w:bCs/>
          <w:color w:val="000000"/>
          <w:sz w:val="32"/>
          <w:szCs w:val="32"/>
        </w:rPr>
        <w:t>（一）主要职能。</w:t>
      </w:r>
      <w:bookmarkEnd w:id="40"/>
    </w:p>
    <w:p>
      <w:pPr>
        <w:spacing w:line="600" w:lineRule="exact"/>
        <w:ind w:firstLine="627" w:firstLineChars="196"/>
        <w:rPr>
          <w:rFonts w:hint="eastAsia" w:ascii="方正仿宋简体" w:eastAsia="方正仿宋简体"/>
          <w:color w:val="000000"/>
          <w:sz w:val="32"/>
          <w:szCs w:val="32"/>
        </w:rPr>
      </w:pPr>
      <w:r>
        <w:rPr>
          <w:rFonts w:hint="eastAsia" w:ascii="方正仿宋简体" w:hAnsi="仿宋" w:eastAsia="方正仿宋简体"/>
          <w:sz w:val="32"/>
          <w:szCs w:val="32"/>
        </w:rPr>
        <w:t>资</w:t>
      </w:r>
      <w:r>
        <w:rPr>
          <w:rFonts w:hint="eastAsia" w:ascii="方正仿宋简体" w:eastAsia="方正仿宋简体"/>
          <w:color w:val="000000"/>
          <w:sz w:val="32"/>
          <w:szCs w:val="32"/>
        </w:rPr>
        <w:t>阳市雁江区科学技术协会（简称区科协）是由自然科学、技术科学、县级学会、协会、乡镇科协、厂科协组成的科技工作者的群众组织，是区委领导下的人民团体，是党和政府联系科技工作者的纽带和发展科学技术事业的助手，是科普工作的主要社会力量。其主要职责是：</w:t>
      </w:r>
    </w:p>
    <w:p>
      <w:pPr>
        <w:spacing w:line="600" w:lineRule="exact"/>
        <w:ind w:firstLine="640" w:firstLineChars="200"/>
        <w:rPr>
          <w:rFonts w:hint="eastAsia" w:ascii="方正仿宋简体" w:eastAsia="方正仿宋简体"/>
          <w:color w:val="000000"/>
          <w:sz w:val="32"/>
          <w:szCs w:val="32"/>
        </w:rPr>
      </w:pPr>
      <w:r>
        <w:rPr>
          <w:rFonts w:hint="eastAsia" w:ascii="方正仿宋简体" w:eastAsia="方正仿宋简体"/>
          <w:color w:val="000000"/>
          <w:sz w:val="32"/>
          <w:szCs w:val="32"/>
        </w:rPr>
        <w:t>1、开展学术交流，活跃学术思想，推动学科发展促进决策的科学化、民主化。</w:t>
      </w:r>
    </w:p>
    <w:p>
      <w:pPr>
        <w:spacing w:line="600" w:lineRule="exact"/>
        <w:rPr>
          <w:rFonts w:hint="eastAsia" w:ascii="方正仿宋简体" w:eastAsia="方正仿宋简体"/>
          <w:color w:val="000000"/>
          <w:sz w:val="32"/>
          <w:szCs w:val="32"/>
        </w:rPr>
      </w:pPr>
      <w:r>
        <w:rPr>
          <w:rFonts w:hint="eastAsia" w:ascii="方正仿宋简体" w:eastAsia="方正仿宋简体"/>
          <w:color w:val="000000"/>
          <w:sz w:val="32"/>
          <w:szCs w:val="32"/>
        </w:rPr>
        <w:t xml:space="preserve">    2、普及科学知识，推广先进技术，开展农村干部群众和青少年科技教育活动。</w:t>
      </w:r>
    </w:p>
    <w:p>
      <w:pPr>
        <w:spacing w:line="600" w:lineRule="exact"/>
        <w:rPr>
          <w:rFonts w:hint="eastAsia" w:ascii="方正仿宋简体" w:eastAsia="方正仿宋简体"/>
          <w:color w:val="000000"/>
          <w:sz w:val="32"/>
          <w:szCs w:val="32"/>
        </w:rPr>
      </w:pPr>
      <w:r>
        <w:rPr>
          <w:rFonts w:hint="eastAsia" w:ascii="方正仿宋简体" w:eastAsia="方正仿宋简体"/>
          <w:color w:val="000000"/>
          <w:sz w:val="32"/>
          <w:szCs w:val="32"/>
        </w:rPr>
        <w:t xml:space="preserve">    3、维护科技工作者的合法权益，为科技团体和科技工作者服务，表彰奖励科技工作者，促进人才的成长和尊重知识、尊重人才社会风气的形成。</w:t>
      </w:r>
    </w:p>
    <w:p>
      <w:pPr>
        <w:spacing w:line="600" w:lineRule="exact"/>
        <w:ind w:firstLine="645"/>
        <w:rPr>
          <w:rFonts w:hint="eastAsia" w:ascii="方正仿宋简体" w:eastAsia="方正仿宋简体"/>
          <w:color w:val="000000"/>
          <w:sz w:val="32"/>
          <w:szCs w:val="32"/>
        </w:rPr>
      </w:pPr>
      <w:r>
        <w:rPr>
          <w:rFonts w:hint="eastAsia" w:ascii="方正仿宋简体" w:eastAsia="方正仿宋简体"/>
          <w:color w:val="000000"/>
          <w:sz w:val="32"/>
          <w:szCs w:val="32"/>
        </w:rPr>
        <w:t>4、开展继续教育和技术培训工作，进行技术咨询服务，推动科技成果向生产力转化。</w:t>
      </w:r>
    </w:p>
    <w:p>
      <w:pPr>
        <w:spacing w:line="600" w:lineRule="exact"/>
        <w:ind w:firstLine="645"/>
        <w:rPr>
          <w:rFonts w:hint="eastAsia" w:ascii="方正仿宋简体" w:eastAsia="方正仿宋简体"/>
          <w:color w:val="000000"/>
          <w:sz w:val="32"/>
          <w:szCs w:val="32"/>
        </w:rPr>
      </w:pPr>
      <w:r>
        <w:rPr>
          <w:rFonts w:hint="eastAsia" w:ascii="方正仿宋简体" w:eastAsia="方正仿宋简体"/>
          <w:color w:val="000000"/>
          <w:sz w:val="32"/>
          <w:szCs w:val="32"/>
        </w:rPr>
        <w:t>5、参与科技政策、法规以及科技计划、规划的制定。</w:t>
      </w:r>
    </w:p>
    <w:p>
      <w:pPr>
        <w:spacing w:line="600" w:lineRule="exact"/>
        <w:ind w:firstLine="645"/>
        <w:rPr>
          <w:rFonts w:hint="eastAsia" w:ascii="方正仿宋简体" w:eastAsia="方正仿宋简体"/>
          <w:color w:val="000000"/>
          <w:sz w:val="32"/>
          <w:szCs w:val="32"/>
        </w:rPr>
      </w:pPr>
      <w:r>
        <w:rPr>
          <w:rFonts w:hint="eastAsia" w:ascii="方正仿宋简体" w:eastAsia="方正仿宋简体"/>
          <w:color w:val="000000"/>
          <w:sz w:val="32"/>
          <w:szCs w:val="32"/>
        </w:rPr>
        <w:t>6、开展国际和港、澳、台地区民间科技交流与合作，促进对外开放，推进祖国和平统一。</w:t>
      </w:r>
    </w:p>
    <w:p>
      <w:pPr>
        <w:spacing w:line="600" w:lineRule="exact"/>
        <w:ind w:firstLine="645"/>
        <w:rPr>
          <w:rFonts w:hint="eastAsia" w:ascii="方正仿宋简体" w:hAnsi="仿宋" w:eastAsia="方正仿宋简体"/>
          <w:sz w:val="32"/>
          <w:szCs w:val="32"/>
        </w:rPr>
      </w:pPr>
      <w:r>
        <w:rPr>
          <w:rFonts w:hint="eastAsia" w:ascii="方正仿宋简体" w:eastAsia="方正仿宋简体"/>
          <w:color w:val="000000"/>
          <w:sz w:val="32"/>
          <w:szCs w:val="32"/>
        </w:rPr>
        <w:t>7、对所属区级学会、协会、研究会进行管理，对乡镇</w:t>
      </w:r>
      <w:r>
        <w:rPr>
          <w:rFonts w:hint="eastAsia" w:ascii="方正仿宋简体" w:hAnsi="仿宋" w:eastAsia="方正仿宋简体"/>
          <w:sz w:val="32"/>
          <w:szCs w:val="32"/>
        </w:rPr>
        <w:t>科协和区属厂矿科协进行业务指导。</w:t>
      </w:r>
    </w:p>
    <w:p>
      <w:pPr>
        <w:spacing w:line="600" w:lineRule="exact"/>
        <w:ind w:firstLine="645"/>
        <w:rPr>
          <w:rFonts w:hint="eastAsia" w:ascii="方正仿宋简体" w:hAnsi="仿宋" w:eastAsia="方正仿宋简体"/>
          <w:sz w:val="32"/>
          <w:szCs w:val="32"/>
        </w:rPr>
      </w:pPr>
      <w:r>
        <w:rPr>
          <w:rFonts w:hint="eastAsia" w:ascii="方正仿宋简体" w:hAnsi="仿宋" w:eastAsia="方正仿宋简体"/>
          <w:sz w:val="32"/>
          <w:szCs w:val="32"/>
        </w:rPr>
        <w:t xml:space="preserve">8、承担区委、区政府和市科协交办的其他任务。   </w:t>
      </w:r>
    </w:p>
    <w:bookmarkEnd w:id="41"/>
    <w:bookmarkEnd w:id="42"/>
    <w:p>
      <w:pPr>
        <w:snapToGrid w:val="0"/>
        <w:spacing w:line="600" w:lineRule="exact"/>
        <w:ind w:firstLine="643" w:firstLineChars="200"/>
        <w:outlineLvl w:val="2"/>
        <w:rPr>
          <w:rFonts w:hint="eastAsia" w:ascii="方正仿宋简体" w:hAnsi="仿宋" w:eastAsia="方正仿宋简体"/>
          <w:b/>
          <w:sz w:val="32"/>
          <w:szCs w:val="32"/>
        </w:rPr>
      </w:pPr>
      <w:bookmarkStart w:id="43" w:name="_Toc4116"/>
      <w:bookmarkStart w:id="44" w:name="_Toc15378446"/>
      <w:bookmarkStart w:id="45" w:name="_Toc15377199"/>
      <w:r>
        <w:rPr>
          <w:rFonts w:hint="eastAsia" w:ascii="方正仿宋简体" w:hAnsi="仿宋" w:eastAsia="方正仿宋简体"/>
          <w:b/>
          <w:bCs/>
          <w:color w:val="000000"/>
          <w:sz w:val="32"/>
          <w:szCs w:val="32"/>
        </w:rPr>
        <w:t>（二）2021年主要工作完成情况</w:t>
      </w:r>
      <w:r>
        <w:rPr>
          <w:rFonts w:hint="eastAsia" w:ascii="方正仿宋简体" w:hAnsi="仿宋" w:eastAsia="方正仿宋简体"/>
          <w:bCs/>
          <w:color w:val="000000"/>
          <w:sz w:val="32"/>
          <w:szCs w:val="32"/>
        </w:rPr>
        <w:t>。</w:t>
      </w:r>
      <w:bookmarkEnd w:id="43"/>
      <w:bookmarkEnd w:id="44"/>
      <w:bookmarkEnd w:id="45"/>
      <w:bookmarkStart w:id="46" w:name="_Toc15377200"/>
      <w:bookmarkStart w:id="47" w:name="_Toc17103551"/>
    </w:p>
    <w:bookmarkEnd w:id="46"/>
    <w:bookmarkEnd w:id="47"/>
    <w:p>
      <w:pPr>
        <w:spacing w:line="600" w:lineRule="exact"/>
        <w:ind w:firstLine="645"/>
        <w:rPr>
          <w:rFonts w:hint="eastAsia" w:ascii="方正仿宋简体" w:eastAsia="方正仿宋简体"/>
          <w:color w:val="000000"/>
          <w:sz w:val="32"/>
          <w:szCs w:val="32"/>
        </w:rPr>
      </w:pPr>
      <w:r>
        <w:rPr>
          <w:rFonts w:hint="eastAsia" w:ascii="方正仿宋简体" w:eastAsia="方正仿宋简体"/>
          <w:color w:val="000000"/>
          <w:sz w:val="32"/>
          <w:szCs w:val="32"/>
        </w:rPr>
        <w:t>2021年，区科协在区委、区政府的坚强领导下和市科协的关心指导下，坚持以习近平新时代中国特色社会主义思想为指导，认真贯彻中央、省、市、区工作要求部署，围绕区委、区政府中心工作，以深化“四服务一加强”为核心，以不断提升公众科学文化素质为重点，充分发挥科协组织职能作用，狠抓任务落实，为推动雁江高质量发展作出贡献。</w:t>
      </w:r>
    </w:p>
    <w:p>
      <w:pPr>
        <w:spacing w:line="600" w:lineRule="exact"/>
        <w:ind w:firstLine="645"/>
        <w:rPr>
          <w:rFonts w:hint="eastAsia" w:ascii="方正仿宋简体" w:eastAsia="方正仿宋简体"/>
          <w:color w:val="000000"/>
          <w:sz w:val="32"/>
          <w:szCs w:val="32"/>
        </w:rPr>
      </w:pPr>
      <w:r>
        <w:rPr>
          <w:rFonts w:hint="eastAsia" w:ascii="方正仿宋简体" w:eastAsia="方正仿宋简体"/>
          <w:b/>
          <w:bCs/>
          <w:color w:val="000000"/>
          <w:sz w:val="32"/>
          <w:szCs w:val="32"/>
        </w:rPr>
        <w:t>1.多措并举服务科技工作者。</w:t>
      </w:r>
      <w:r>
        <w:rPr>
          <w:rFonts w:hint="eastAsia" w:ascii="方正仿宋简体" w:eastAsia="方正仿宋简体"/>
          <w:color w:val="000000"/>
          <w:sz w:val="32"/>
          <w:szCs w:val="32"/>
        </w:rPr>
        <w:t>一是积极向上推荐最美科技工作者，我区资阳中学张永老师评为“资阳市最美科技工作者”。二是为科技人员搭建工作平台。协同宣传部、经科信局等相关单位部门举办了“科技、文化、卫生”三下乡、科普宣传月、“科技活动周”、“全国科普日”等大型科普活动，组织科技人员开展送科技下乡进社区进校园。全区共发放《科普知识宣传读本》、《健康养生讲科学》、《科普画册》、围裙、环保袋等8万余份。</w:t>
      </w:r>
    </w:p>
    <w:p>
      <w:pPr>
        <w:spacing w:line="600" w:lineRule="exact"/>
        <w:ind w:firstLine="645"/>
        <w:rPr>
          <w:rFonts w:hint="eastAsia" w:ascii="方正仿宋简体" w:eastAsia="方正仿宋简体"/>
          <w:color w:val="000000"/>
          <w:sz w:val="32"/>
          <w:szCs w:val="32"/>
        </w:rPr>
      </w:pPr>
      <w:r>
        <w:rPr>
          <w:rFonts w:hint="eastAsia" w:ascii="方正仿宋简体" w:eastAsia="方正仿宋简体"/>
          <w:b/>
          <w:bCs/>
          <w:color w:val="000000"/>
          <w:sz w:val="32"/>
          <w:szCs w:val="32"/>
        </w:rPr>
        <w:t>2.深入开展天府科技云服务工作。</w:t>
      </w:r>
      <w:r>
        <w:rPr>
          <w:rFonts w:hint="eastAsia" w:ascii="方正仿宋简体" w:eastAsia="方正仿宋简体"/>
          <w:color w:val="000000"/>
          <w:sz w:val="32"/>
          <w:szCs w:val="32"/>
        </w:rPr>
        <w:t>完善“雁江区天府科技云服务”中心功能，搭建“科技所能”与“科技所需”之间智能精准供给、转化、承接，最终为科技工作者创造财富，为企业创造效益，为社会提供创新、创业机会。2021年累计注册用户15215人，发布科技所能1767个，发布科技所需1330个，交易量613单，科创工作室407个，科技成果209个，“天府科技云服务中心”标准化建设如期完成。</w:t>
      </w:r>
    </w:p>
    <w:p>
      <w:pPr>
        <w:spacing w:line="600" w:lineRule="exact"/>
        <w:ind w:firstLine="645"/>
        <w:rPr>
          <w:rFonts w:hint="eastAsia" w:ascii="方正仿宋简体" w:eastAsia="方正仿宋简体"/>
          <w:color w:val="000000"/>
          <w:sz w:val="32"/>
          <w:szCs w:val="32"/>
        </w:rPr>
      </w:pPr>
      <w:r>
        <w:rPr>
          <w:rFonts w:hint="eastAsia" w:ascii="方正仿宋简体" w:eastAsia="方正仿宋简体"/>
          <w:b/>
          <w:bCs/>
          <w:color w:val="000000"/>
          <w:sz w:val="32"/>
          <w:szCs w:val="32"/>
        </w:rPr>
        <w:t>3.持续推进青少年科技教育。</w:t>
      </w:r>
      <w:r>
        <w:rPr>
          <w:rFonts w:hint="eastAsia" w:ascii="方正仿宋简体" w:eastAsia="方正仿宋简体"/>
          <w:color w:val="000000"/>
          <w:sz w:val="32"/>
          <w:szCs w:val="32"/>
        </w:rPr>
        <w:t>一是充分发挥校园科技馆载体，组织中小学生2万多人次参观校园科技馆活动，同学们通过亲身的自我操作，自我感受，启发了他们学会用科学精神去思考、用科学知识去分析、用科学方法去解决问题的能力，同时培养了学生的科技兴趣，增强学生的创新意识，强化学生的创新精神。二是组织参加第36届四川省青少年科技创新大赛获奖项目22个：一等奖3个，二等奖9个，三等奖10个，区科协获得省创新赛优秀基层组织称号。三是组织一小、二小、三小等学校参加四川省科协主办的“第18届四川省青少年机器人竞赛”：一等奖2个、二等奖1个、三等奖3个。四是组织科技教师参加全国青少年科学调查体验活动，马鞍九年义务教育学校教师曾世丽的《“人间四月芳菲尽，山寺桃花始盛开”我们的《节气日记》报告》和资阳市雁江区第八小学教师卓丹的《关于再生纸的科技实践报告》分别获得全国优秀科技教育实践活动报告。</w:t>
      </w:r>
    </w:p>
    <w:p>
      <w:pPr>
        <w:spacing w:line="600" w:lineRule="exact"/>
        <w:ind w:firstLine="645"/>
        <w:rPr>
          <w:rFonts w:hint="eastAsia" w:ascii="方正仿宋简体" w:eastAsia="方正仿宋简体"/>
          <w:color w:val="000000"/>
          <w:sz w:val="32"/>
          <w:szCs w:val="32"/>
        </w:rPr>
      </w:pPr>
      <w:r>
        <w:rPr>
          <w:rFonts w:hint="eastAsia" w:ascii="方正仿宋简体" w:eastAsia="方正仿宋简体"/>
          <w:b/>
          <w:bCs/>
          <w:color w:val="000000"/>
          <w:sz w:val="32"/>
          <w:szCs w:val="32"/>
        </w:rPr>
        <w:t>4.精心培育选拔乡土人才。</w:t>
      </w:r>
      <w:r>
        <w:rPr>
          <w:rFonts w:hint="eastAsia" w:ascii="方正仿宋简体" w:eastAsia="方正仿宋简体"/>
          <w:color w:val="000000"/>
          <w:sz w:val="32"/>
          <w:szCs w:val="32"/>
        </w:rPr>
        <w:t>雁江区推荐2名参加四川省第五届农村乡土人才创新创业大赛，通过3天的激烈角逐，全市获得2银1铜1贡献奖，我区获得2名银奖(资阳市雁江区长寿</w:t>
      </w:r>
      <w:r>
        <w:rPr>
          <w:rFonts w:hint="eastAsia" w:ascii="方正仿宋简体" w:eastAsia="方正仿宋简体"/>
          <w:color w:val="000000"/>
          <w:sz w:val="32"/>
          <w:szCs w:val="32"/>
          <w:lang w:eastAsia="zh-CN"/>
        </w:rPr>
        <w:t>柑橘</w:t>
      </w:r>
      <w:r>
        <w:rPr>
          <w:rFonts w:hint="eastAsia" w:ascii="方正仿宋简体" w:eastAsia="方正仿宋简体"/>
          <w:color w:val="000000"/>
          <w:sz w:val="32"/>
          <w:szCs w:val="32"/>
        </w:rPr>
        <w:t>协会杨勇、资阳市心乡农生态农业有限公司谢杰荣获“四川省第五届农村乡土人才创新创业大赛银奖”)，获奖的2名选手还获得“四川省优秀乡土人才”荣誉称号和项目资金奖励，并入选四川省农村乡土人才库。</w:t>
      </w:r>
    </w:p>
    <w:p>
      <w:pPr>
        <w:spacing w:line="600" w:lineRule="exact"/>
        <w:ind w:firstLine="645"/>
        <w:rPr>
          <w:rFonts w:hint="eastAsia" w:ascii="方正仿宋简体" w:eastAsia="方正仿宋简体"/>
          <w:color w:val="000000"/>
          <w:sz w:val="32"/>
          <w:szCs w:val="32"/>
        </w:rPr>
      </w:pPr>
      <w:r>
        <w:rPr>
          <w:rFonts w:hint="eastAsia" w:ascii="方正仿宋简体" w:eastAsia="方正仿宋简体"/>
          <w:b/>
          <w:bCs/>
          <w:color w:val="000000"/>
          <w:sz w:val="32"/>
          <w:szCs w:val="32"/>
        </w:rPr>
        <w:t>5.扎实做好双创工作。</w:t>
      </w:r>
      <w:r>
        <w:rPr>
          <w:rFonts w:hint="eastAsia" w:ascii="方正仿宋简体" w:eastAsia="方正仿宋简体"/>
          <w:color w:val="000000"/>
          <w:sz w:val="32"/>
          <w:szCs w:val="32"/>
        </w:rPr>
        <w:t>一是结合文明卫生城市创建，前往包联社区桂花井社区，开展文明城市创建以及卫生大扫除共20多次。二是通过开展“党员义工日”、“党员双报到”等活动，发放各类科普宣传资料1万余份，为创建文明城市加油助力。三是支持桂花井社区开展文明城市创建工作，落实文明城市创建帮扶资金15000元。</w:t>
      </w:r>
    </w:p>
    <w:p>
      <w:pPr>
        <w:spacing w:line="600" w:lineRule="exact"/>
        <w:ind w:firstLine="645"/>
        <w:rPr>
          <w:rFonts w:hint="eastAsia" w:ascii="方正仿宋简体" w:eastAsia="方正仿宋简体"/>
          <w:color w:val="000000"/>
          <w:sz w:val="32"/>
          <w:szCs w:val="32"/>
        </w:rPr>
      </w:pPr>
      <w:r>
        <w:rPr>
          <w:rFonts w:hint="eastAsia" w:ascii="方正仿宋简体" w:eastAsia="方正仿宋简体"/>
          <w:b/>
          <w:bCs/>
          <w:color w:val="000000"/>
          <w:sz w:val="32"/>
          <w:szCs w:val="32"/>
        </w:rPr>
        <w:t>6.注重维护科普服务平台。</w:t>
      </w:r>
      <w:r>
        <w:rPr>
          <w:rFonts w:hint="eastAsia" w:ascii="方正仿宋简体" w:eastAsia="方正仿宋简体"/>
          <w:color w:val="000000"/>
          <w:sz w:val="32"/>
          <w:szCs w:val="32"/>
        </w:rPr>
        <w:t>一是联系服务科技工作者制度化。每名干部每年开展联系工作不低于2次，积极与广大科技工作者广交朋友，经常深入基层听取意见建议。二是节假日走访慰问科技工作者常态化。认真了解了广大科技工作者的心声，询问他们的生活情况、身体状况，有什么问题和困难需要解决，并倾听科技工作者的意见和建议，同时送上了慰问金。三是搭建科普平台，挖掘、培育市级院士（专家）工作站。区科协坚持把促进科技创新与运用同企业产业升级、推动全区工业经济发展作为企业科普工作的重点和结合点。在企业职工中深入开展“讲理想、比贡献”活动，充分调动企业职工的工作积极性和创造性。</w:t>
      </w:r>
    </w:p>
    <w:p>
      <w:pPr>
        <w:spacing w:line="600" w:lineRule="exact"/>
        <w:ind w:firstLine="645"/>
        <w:rPr>
          <w:rFonts w:hint="eastAsia" w:ascii="方正仿宋简体" w:eastAsia="方正仿宋简体"/>
          <w:color w:val="000000"/>
          <w:sz w:val="32"/>
          <w:szCs w:val="32"/>
        </w:rPr>
      </w:pPr>
      <w:r>
        <w:rPr>
          <w:rFonts w:hint="eastAsia" w:ascii="方正仿宋简体" w:eastAsia="方正仿宋简体"/>
          <w:b/>
          <w:bCs/>
          <w:color w:val="000000"/>
          <w:sz w:val="32"/>
          <w:szCs w:val="32"/>
        </w:rPr>
        <w:t>7.切实加强自身建设。</w:t>
      </w:r>
      <w:r>
        <w:rPr>
          <w:rFonts w:hint="eastAsia" w:ascii="方正仿宋简体" w:eastAsia="方正仿宋简体"/>
          <w:color w:val="000000"/>
          <w:sz w:val="32"/>
          <w:szCs w:val="32"/>
        </w:rPr>
        <w:t>一是加强意识形态工作。在抓好业务工作的同时，坚持以理论学习为指导，紧紧围绕“学党史、悟思想、办实事、开新局”总要求，党史学习教育作为坚定理想信念、提升本领能力、强化实干担当的有力抓手，着力推动党史学习教育取得实实在在的成效。开展中心组理论学习12次，机关党支部学习13次，专题党课4次，专题讨论6次。二是党风廉政建设常抓不懈。认真贯彻中央“八</w:t>
      </w:r>
      <w:bookmarkStart w:id="187" w:name="_GoBack"/>
      <w:bookmarkEnd w:id="187"/>
      <w:r>
        <w:rPr>
          <w:rFonts w:hint="eastAsia" w:ascii="方正仿宋简体" w:eastAsia="方正仿宋简体"/>
          <w:color w:val="000000"/>
          <w:sz w:val="32"/>
          <w:szCs w:val="32"/>
        </w:rPr>
        <w:t>项规定”，省委省政府“十项规定”，积极开展各项专项整治工作。切实增强全体干部的思想自觉和行动自觉，注重党员干部学习培训，提升科协干部职工服务能力。三是建立健全机关制度。进一步修订完善财经管理、支部学习、公务出差等机关管理制度4项，建立工作台账制度，把工作量化到月到人，严格落实三重一大集体决策制度，机关工作进一步规范化、制度化，工作效率进一步提升。四是根据“五对照、五查找”主题党日活动的要求，党员干部对照党中央和省委、市委、区委决策部署，对照市委、区委确定的目标任务，对照“三定”方案和岗位职责，对照先进地区，对照群众期盼等五个方面认真查找差距，深刻反思剖析根源，制定了整改措施。五是扎实开展调查研究为民办实事。结合本单位工作实际和群众关心关注的热点、难点问题以及调研情况，结合全区“大走访”活动，开展“开门问计”活动，征集意见建议，全面准确掌握企业、群众等服务对象所需所思所盼，摸清基层的困难事、群众的烦心事。共收到群众反映问题7件，办结7件，及时回应群众诉求，为群众解难题、办实事。</w:t>
      </w:r>
    </w:p>
    <w:p>
      <w:pPr>
        <w:spacing w:line="600" w:lineRule="atLeast"/>
        <w:ind w:firstLine="640" w:firstLineChars="200"/>
        <w:outlineLvl w:val="1"/>
        <w:rPr>
          <w:rStyle w:val="30"/>
          <w:rFonts w:hint="eastAsia" w:ascii="方正黑体简体" w:hAnsi="黑体" w:eastAsia="方正黑体简体"/>
          <w:b w:val="0"/>
        </w:rPr>
      </w:pPr>
      <w:bookmarkStart w:id="48" w:name="_Toc22028"/>
      <w:bookmarkStart w:id="49" w:name="_Toc32693"/>
      <w:bookmarkStart w:id="50" w:name="_Toc113351497"/>
      <w:bookmarkStart w:id="51" w:name="_Toc113351113"/>
      <w:bookmarkStart w:id="52" w:name="_Toc113351079"/>
      <w:bookmarkStart w:id="53" w:name="_Toc113285252"/>
      <w:r>
        <w:rPr>
          <w:rStyle w:val="30"/>
          <w:rFonts w:hint="eastAsia" w:ascii="方正黑体简体" w:hAnsi="黑体" w:eastAsia="方正黑体简体"/>
          <w:b w:val="0"/>
        </w:rPr>
        <w:t>二、机构设置</w:t>
      </w:r>
      <w:bookmarkEnd w:id="48"/>
      <w:bookmarkEnd w:id="49"/>
      <w:bookmarkEnd w:id="50"/>
      <w:bookmarkEnd w:id="51"/>
      <w:bookmarkEnd w:id="52"/>
      <w:bookmarkEnd w:id="53"/>
    </w:p>
    <w:p>
      <w:pPr>
        <w:spacing w:line="600" w:lineRule="atLeas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区科协属独立核算，独立编制的参照公务员法管理的事业单位1个，无下属二级单位。其他事业单位0个。</w:t>
      </w:r>
    </w:p>
    <w:p>
      <w:pPr>
        <w:pStyle w:val="2"/>
        <w:spacing w:before="93"/>
      </w:pPr>
    </w:p>
    <w:p>
      <w:pPr>
        <w:widowControl/>
        <w:jc w:val="center"/>
        <w:outlineLvl w:val="0"/>
        <w:rPr>
          <w:rStyle w:val="29"/>
          <w:rFonts w:hint="eastAsia" w:ascii="方正黑体简体" w:hAnsi="仿宋" w:eastAsia="方正黑体简体"/>
          <w:b w:val="0"/>
          <w:bCs w:val="0"/>
          <w:color w:val="000000"/>
          <w:kern w:val="0"/>
          <w:sz w:val="32"/>
          <w:szCs w:val="32"/>
        </w:rPr>
      </w:pPr>
      <w:bookmarkStart w:id="54" w:name="_Toc113285253"/>
      <w:bookmarkStart w:id="55" w:name="_Toc15377204"/>
      <w:bookmarkStart w:id="56" w:name="_Toc17103552"/>
      <w:r>
        <w:rPr>
          <w:rStyle w:val="29"/>
          <w:rFonts w:ascii="黑体" w:hAnsi="黑体" w:eastAsia="黑体"/>
        </w:rPr>
        <w:br w:type="page"/>
      </w:r>
      <w:bookmarkStart w:id="57" w:name="_Toc18434"/>
      <w:bookmarkStart w:id="58" w:name="_Toc113351498"/>
      <w:bookmarkStart w:id="59" w:name="_Toc113351080"/>
      <w:bookmarkStart w:id="60" w:name="_Toc11232"/>
      <w:r>
        <w:rPr>
          <w:rStyle w:val="29"/>
          <w:rFonts w:hint="eastAsia" w:ascii="方正黑体简体" w:hAnsi="黑体" w:eastAsia="方正黑体简体"/>
          <w:b w:val="0"/>
        </w:rPr>
        <w:t>第二部分 2020年度部门决算情况说明</w:t>
      </w:r>
      <w:bookmarkEnd w:id="54"/>
      <w:bookmarkEnd w:id="55"/>
      <w:bookmarkEnd w:id="56"/>
      <w:bookmarkEnd w:id="57"/>
      <w:bookmarkEnd w:id="58"/>
      <w:bookmarkEnd w:id="59"/>
    </w:p>
    <w:bookmarkEnd w:id="60"/>
    <w:p>
      <w:pPr>
        <w:widowControl/>
        <w:ind w:firstLine="630" w:firstLineChars="196"/>
        <w:jc w:val="left"/>
        <w:rPr>
          <w:rStyle w:val="30"/>
          <w:rFonts w:ascii="黑体" w:hAnsi="黑体" w:eastAsia="黑体"/>
          <w:color w:val="000000" w:themeColor="text1"/>
          <w14:textFill>
            <w14:solidFill>
              <w14:schemeClr w14:val="tx1"/>
            </w14:solidFill>
          </w14:textFill>
        </w:rPr>
      </w:pPr>
      <w:bookmarkStart w:id="61" w:name="_Toc113285254"/>
      <w:bookmarkStart w:id="62" w:name="_Toc17103553"/>
      <w:bookmarkStart w:id="63" w:name="_Toc15377205"/>
    </w:p>
    <w:p>
      <w:pPr>
        <w:widowControl/>
        <w:ind w:firstLine="627" w:firstLineChars="196"/>
        <w:jc w:val="left"/>
        <w:outlineLvl w:val="1"/>
        <w:rPr>
          <w:rStyle w:val="30"/>
          <w:rFonts w:hint="eastAsia" w:ascii="方正黑体简体" w:hAnsi="黑体" w:eastAsia="方正黑体简体"/>
          <w:b w:val="0"/>
          <w:color w:val="000000" w:themeColor="text1"/>
          <w14:textFill>
            <w14:solidFill>
              <w14:schemeClr w14:val="tx1"/>
            </w14:solidFill>
          </w14:textFill>
        </w:rPr>
      </w:pPr>
      <w:bookmarkStart w:id="64" w:name="_Toc29692"/>
      <w:bookmarkStart w:id="65" w:name="_Toc113351499"/>
      <w:bookmarkStart w:id="66" w:name="_Toc113351081"/>
      <w:bookmarkStart w:id="67" w:name="_Toc16473"/>
      <w:r>
        <w:rPr>
          <w:rStyle w:val="30"/>
          <w:rFonts w:hint="eastAsia" w:ascii="方正黑体简体" w:hAnsi="黑体" w:eastAsia="方正黑体简体"/>
          <w:b w:val="0"/>
          <w:color w:val="000000" w:themeColor="text1"/>
          <w14:textFill>
            <w14:solidFill>
              <w14:schemeClr w14:val="tx1"/>
            </w14:solidFill>
          </w14:textFill>
        </w:rPr>
        <w:t>一、收入支出决算总体情况说明</w:t>
      </w:r>
      <w:bookmarkEnd w:id="61"/>
      <w:bookmarkEnd w:id="62"/>
      <w:bookmarkEnd w:id="63"/>
      <w:bookmarkEnd w:id="64"/>
      <w:bookmarkEnd w:id="65"/>
      <w:bookmarkEnd w:id="66"/>
    </w:p>
    <w:bookmarkEnd w:id="67"/>
    <w:p>
      <w:pPr>
        <w:snapToGrid w:val="0"/>
        <w:spacing w:line="520" w:lineRule="exact"/>
        <w:ind w:firstLine="640" w:firstLineChars="200"/>
        <w:rPr>
          <w:rFonts w:ascii="仿宋_GB2312" w:hAnsi="仿宋" w:eastAsia="仿宋_GB2312"/>
          <w:sz w:val="32"/>
          <w:szCs w:val="32"/>
        </w:rPr>
      </w:pPr>
      <w:r>
        <w:rPr>
          <w:rFonts w:hint="eastAsia" w:ascii="方正仿宋简体" w:hAnsi="仿宋" w:eastAsia="方正仿宋简体"/>
          <w:sz w:val="32"/>
          <w:szCs w:val="32"/>
        </w:rPr>
        <w:t>2021年度年初预算收入支出为119.09万元，财政应返还额度108.99万元，年初预算总收入228.08万元。调整预算收入为107.83万元；财政应返还额度为57.84万元，决算总收入为165.67万元。与2020年的269.28万元相比，财政拨款收入减少103.61万元，下降38.48%，主要原因是财政压减支出、收回存量资金51.15万元、绩效目标奖减少14.22万元。（图1：收、支决算总计变动情况图）（柱状图）</w:t>
      </w:r>
    </w:p>
    <w:p>
      <w:pPr>
        <w:spacing w:line="600" w:lineRule="atLeast"/>
        <w:ind w:firstLine="660" w:firstLineChars="200"/>
        <w:rPr>
          <w:rFonts w:hint="eastAsia" w:ascii="黑体" w:hAnsi="黑体" w:eastAsia="黑体"/>
          <w:color w:val="000000"/>
          <w:sz w:val="32"/>
          <w:szCs w:val="32"/>
        </w:rPr>
      </w:pPr>
      <w:r>
        <w:rPr>
          <w:rFonts w:ascii="宋体" w:hAnsi="宋体" w:eastAsia="方正仿宋简体" w:cs="Calibri"/>
          <w:color w:val="000000"/>
          <w:kern w:val="0"/>
          <w:sz w:val="33"/>
          <w:szCs w:val="33"/>
        </w:rPr>
        <w:drawing>
          <wp:inline distT="0" distB="0" distL="0" distR="0">
            <wp:extent cx="4351655" cy="3720465"/>
            <wp:effectExtent l="0" t="0" r="10795" b="13335"/>
            <wp:docPr id="1" name="图片 1" descr="QQ图片20220114155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2201141551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351655" cy="3720465"/>
                    </a:xfrm>
                    <a:prstGeom prst="rect">
                      <a:avLst/>
                    </a:prstGeom>
                    <a:noFill/>
                    <a:ln>
                      <a:noFill/>
                    </a:ln>
                  </pic:spPr>
                </pic:pic>
              </a:graphicData>
            </a:graphic>
          </wp:inline>
        </w:drawing>
      </w:r>
      <w:bookmarkStart w:id="68" w:name="_Toc113285255"/>
      <w:bookmarkStart w:id="69" w:name="_Toc15396604"/>
    </w:p>
    <w:p>
      <w:pPr>
        <w:spacing w:line="600" w:lineRule="atLeast"/>
        <w:ind w:firstLine="640" w:firstLineChars="200"/>
        <w:outlineLvl w:val="1"/>
        <w:rPr>
          <w:rStyle w:val="30"/>
          <w:rFonts w:hint="eastAsia" w:ascii="方正黑体简体" w:hAnsi="仿宋" w:eastAsia="方正黑体简体" w:cs="Times New Roman"/>
          <w:b w:val="0"/>
          <w:bCs w:val="0"/>
        </w:rPr>
      </w:pPr>
      <w:bookmarkStart w:id="70" w:name="_Toc16926"/>
      <w:r>
        <w:rPr>
          <w:rFonts w:hint="eastAsia" w:ascii="方正黑体简体" w:hAnsi="黑体" w:eastAsia="方正黑体简体"/>
          <w:color w:val="000000"/>
          <w:sz w:val="32"/>
          <w:szCs w:val="32"/>
        </w:rPr>
        <w:t>二、收</w:t>
      </w:r>
      <w:r>
        <w:rPr>
          <w:rStyle w:val="30"/>
          <w:rFonts w:hint="eastAsia" w:ascii="方正黑体简体" w:hAnsi="黑体" w:eastAsia="方正黑体简体"/>
          <w:b w:val="0"/>
        </w:rPr>
        <w:t>入决算情况说明</w:t>
      </w:r>
      <w:bookmarkEnd w:id="68"/>
      <w:bookmarkEnd w:id="69"/>
      <w:bookmarkEnd w:id="70"/>
    </w:p>
    <w:p>
      <w:pPr>
        <w:spacing w:line="60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2021年本年收入合计107.83万元，其中：一般公共预算财政拨款收入107.83万元，占收入100%。</w:t>
      </w:r>
    </w:p>
    <w:p>
      <w:pPr>
        <w:spacing w:line="600" w:lineRule="exact"/>
        <w:ind w:firstLine="640" w:firstLineChars="200"/>
        <w:rPr>
          <w:rFonts w:ascii="仿宋_GB2312" w:hAnsi="仿宋" w:eastAsia="仿宋_GB2312"/>
          <w:sz w:val="32"/>
          <w:szCs w:val="32"/>
        </w:rPr>
      </w:pPr>
      <w:r>
        <w:rPr>
          <w:rFonts w:hint="eastAsia" w:ascii="方正仿宋简体" w:hAnsi="仿宋" w:eastAsia="方正仿宋简体"/>
          <w:sz w:val="32"/>
          <w:szCs w:val="32"/>
        </w:rPr>
        <w:t>（图2：收入决算结构图）（饼状图）</w:t>
      </w: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hint="eastAsia" w:ascii="黑体" w:hAnsi="黑体" w:eastAsia="黑体"/>
          <w:color w:val="000000"/>
          <w:sz w:val="32"/>
          <w:szCs w:val="32"/>
        </w:rPr>
      </w:pPr>
      <w:r>
        <w:rPr>
          <w:rFonts w:hint="eastAsia" w:ascii="宋体" w:hAnsi="宋体" w:cs="宋体"/>
          <w:kern w:val="0"/>
          <w:sz w:val="24"/>
        </w:rPr>
        <w:drawing>
          <wp:inline distT="0" distB="0" distL="114300" distR="114300">
            <wp:extent cx="4176395" cy="2324735"/>
            <wp:effectExtent l="7620" t="7620" r="26035" b="1079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Start w:id="71" w:name="_Toc15396605"/>
      <w:bookmarkStart w:id="72" w:name="_Toc113285256"/>
    </w:p>
    <w:p>
      <w:pPr>
        <w:widowControl/>
        <w:jc w:val="left"/>
        <w:outlineLvl w:val="1"/>
        <w:rPr>
          <w:rStyle w:val="30"/>
          <w:rFonts w:hint="eastAsia" w:ascii="方正黑体简体" w:hAnsi="宋体" w:eastAsia="方正黑体简体" w:cs="宋体"/>
          <w:b w:val="0"/>
          <w:bCs w:val="0"/>
          <w:kern w:val="0"/>
          <w:sz w:val="24"/>
          <w:szCs w:val="24"/>
        </w:rPr>
      </w:pPr>
      <w:r>
        <w:rPr>
          <w:rFonts w:hint="eastAsia" w:ascii="黑体" w:hAnsi="黑体" w:eastAsia="黑体"/>
          <w:color w:val="000000"/>
          <w:sz w:val="32"/>
          <w:szCs w:val="32"/>
        </w:rPr>
        <w:t xml:space="preserve">   </w:t>
      </w:r>
      <w:r>
        <w:rPr>
          <w:rFonts w:hint="eastAsia" w:ascii="方正黑体简体" w:hAnsi="黑体" w:eastAsia="方正黑体简体"/>
          <w:color w:val="000000"/>
          <w:sz w:val="32"/>
          <w:szCs w:val="32"/>
        </w:rPr>
        <w:t xml:space="preserve"> </w:t>
      </w:r>
      <w:bookmarkStart w:id="73" w:name="_Toc32634"/>
      <w:r>
        <w:rPr>
          <w:rFonts w:hint="eastAsia" w:ascii="方正黑体简体" w:hAnsi="黑体" w:eastAsia="方正黑体简体"/>
          <w:color w:val="000000"/>
          <w:sz w:val="32"/>
          <w:szCs w:val="32"/>
        </w:rPr>
        <w:t>三、支</w:t>
      </w:r>
      <w:r>
        <w:rPr>
          <w:rStyle w:val="30"/>
          <w:rFonts w:hint="eastAsia" w:ascii="方正黑体简体" w:hAnsi="黑体" w:eastAsia="方正黑体简体"/>
          <w:b w:val="0"/>
        </w:rPr>
        <w:t>出决算情况说明</w:t>
      </w:r>
      <w:bookmarkEnd w:id="71"/>
      <w:bookmarkEnd w:id="72"/>
      <w:bookmarkEnd w:id="73"/>
    </w:p>
    <w:p>
      <w:pPr>
        <w:spacing w:line="60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2021年支出合计151.83万元，其中：基本支出74.89万元，占49.32%；项目支出76.94万元，占50.68%；上缴上级支出0万元，占0%；经营支出0万元，占0%；对附属单位补助支出0万元，占0%。</w:t>
      </w:r>
    </w:p>
    <w:p>
      <w:pPr>
        <w:spacing w:line="60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（图3：支出决算结构图）（饼状图）</w:t>
      </w:r>
    </w:p>
    <w:p>
      <w:pPr>
        <w:widowControl/>
        <w:jc w:val="left"/>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r>
        <w:rPr>
          <w:rFonts w:hint="eastAsia" w:ascii="宋体" w:hAnsi="宋体" w:cs="宋体"/>
          <w:kern w:val="0"/>
          <w:sz w:val="24"/>
        </w:rPr>
        <w:drawing>
          <wp:inline distT="0" distB="0" distL="114300" distR="114300">
            <wp:extent cx="4300220" cy="2639060"/>
            <wp:effectExtent l="4445" t="5080" r="19685" b="2286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30"/>
          <w:rFonts w:hint="eastAsia" w:ascii="方正黑体简体" w:hAnsi="黑体" w:eastAsia="方正黑体简体"/>
          <w:b w:val="0"/>
        </w:rPr>
      </w:pPr>
      <w:bookmarkStart w:id="74" w:name="_Toc15396606"/>
      <w:bookmarkStart w:id="75" w:name="_Toc13899"/>
      <w:bookmarkStart w:id="76" w:name="_Toc28479"/>
      <w:bookmarkStart w:id="77" w:name="_Toc113285257"/>
      <w:bookmarkStart w:id="78" w:name="_Toc113351082"/>
      <w:bookmarkStart w:id="79" w:name="_Toc113351500"/>
      <w:r>
        <w:rPr>
          <w:rFonts w:hint="eastAsia" w:ascii="方正黑体简体" w:hAnsi="黑体" w:eastAsia="方正黑体简体"/>
          <w:color w:val="000000"/>
          <w:sz w:val="32"/>
          <w:szCs w:val="32"/>
        </w:rPr>
        <w:t>四、财</w:t>
      </w:r>
      <w:r>
        <w:rPr>
          <w:rStyle w:val="30"/>
          <w:rFonts w:hint="eastAsia" w:ascii="方正黑体简体" w:hAnsi="黑体" w:eastAsia="方正黑体简体"/>
          <w:b w:val="0"/>
        </w:rPr>
        <w:t>政拨款收入支出决算总体情况说明</w:t>
      </w:r>
      <w:bookmarkEnd w:id="74"/>
      <w:bookmarkEnd w:id="75"/>
      <w:bookmarkEnd w:id="76"/>
      <w:bookmarkEnd w:id="77"/>
      <w:bookmarkEnd w:id="78"/>
      <w:bookmarkEnd w:id="79"/>
    </w:p>
    <w:p>
      <w:pPr>
        <w:snapToGrid w:val="0"/>
        <w:spacing w:line="520" w:lineRule="exact"/>
        <w:ind w:firstLine="640" w:firstLineChars="200"/>
        <w:rPr>
          <w:rFonts w:hint="eastAsia" w:ascii="方正仿宋简体" w:hAnsi="仿宋" w:eastAsia="方正仿宋简体"/>
          <w:sz w:val="32"/>
          <w:szCs w:val="32"/>
        </w:rPr>
      </w:pPr>
      <w:r>
        <w:rPr>
          <w:rFonts w:hint="eastAsia" w:ascii="方正仿宋简体" w:hAnsi="仿宋" w:eastAsia="方正仿宋简体"/>
          <w:color w:val="000000"/>
          <w:sz w:val="32"/>
          <w:szCs w:val="32"/>
        </w:rPr>
        <w:t>2</w:t>
      </w:r>
      <w:r>
        <w:rPr>
          <w:rFonts w:hint="eastAsia" w:ascii="方正仿宋简体" w:hAnsi="仿宋" w:eastAsia="方正仿宋简体"/>
          <w:sz w:val="32"/>
          <w:szCs w:val="32"/>
        </w:rPr>
        <w:t>021年度财政拨款收入107.83万元，与2020年的178.47万元相比，收入总计减少70.64万元，下降39.58%，主要原因是财政压减支出、收回存量资金51.15万元、绩效目标奖减少。2021年度当年财政预算收入107.83万元，实际收入107.83万元，完成预算的100%。与2020年132.63万元相比，财政拨款收入执行减少24.8万元，减少的主要原因是绩效目标奖减少、财政压减支出。</w:t>
      </w:r>
    </w:p>
    <w:p>
      <w:pPr>
        <w:snapToGrid w:val="0"/>
        <w:spacing w:line="52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2021年财政收回存量资金51.15万元，财政应返还额度拨款44万元，2021年年末结转13.84万元。（图4：财政拨款收、支决算总计变动情况）（柱状图）</w:t>
      </w:r>
    </w:p>
    <w:p>
      <w:pPr>
        <w:snapToGrid w:val="0"/>
        <w:spacing w:line="520" w:lineRule="exact"/>
        <w:ind w:firstLine="420" w:firstLineChars="200"/>
        <w:rPr>
          <w:rFonts w:ascii="宋体" w:hAnsi="宋体" w:eastAsia="方正仿宋简体" w:cs="Calibri"/>
          <w:color w:val="000000"/>
          <w:kern w:val="0"/>
          <w:sz w:val="33"/>
          <w:szCs w:val="33"/>
        </w:rPr>
      </w:pPr>
      <w:r>
        <w:drawing>
          <wp:anchor distT="0" distB="0" distL="114300" distR="114300" simplePos="0" relativeHeight="251659264" behindDoc="1" locked="0" layoutInCell="1" allowOverlap="1">
            <wp:simplePos x="0" y="0"/>
            <wp:positionH relativeFrom="column">
              <wp:posOffset>342900</wp:posOffset>
            </wp:positionH>
            <wp:positionV relativeFrom="paragraph">
              <wp:posOffset>297180</wp:posOffset>
            </wp:positionV>
            <wp:extent cx="5267325" cy="3581400"/>
            <wp:effectExtent l="0" t="0" r="9525" b="0"/>
            <wp:wrapTight wrapText="bothSides">
              <wp:wrapPolygon>
                <wp:start x="0" y="0"/>
                <wp:lineTo x="0" y="21485"/>
                <wp:lineTo x="21561" y="21485"/>
                <wp:lineTo x="21561"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67325" cy="3581400"/>
                    </a:xfrm>
                    <a:prstGeom prst="rect">
                      <a:avLst/>
                    </a:prstGeom>
                    <a:noFill/>
                    <a:ln>
                      <a:noFill/>
                    </a:ln>
                  </pic:spPr>
                </pic:pic>
              </a:graphicData>
            </a:graphic>
          </wp:anchor>
        </w:drawing>
      </w:r>
    </w:p>
    <w:p>
      <w:pPr>
        <w:spacing w:line="600" w:lineRule="exact"/>
        <w:ind w:firstLine="640" w:firstLineChars="200"/>
        <w:outlineLvl w:val="1"/>
        <w:rPr>
          <w:rStyle w:val="30"/>
          <w:rFonts w:hint="eastAsia" w:ascii="方正黑体简体" w:hAnsi="黑体" w:eastAsia="方正黑体简体"/>
          <w:b w:val="0"/>
        </w:rPr>
      </w:pPr>
      <w:bookmarkStart w:id="80" w:name="_Toc113285258"/>
      <w:bookmarkStart w:id="81" w:name="_Toc113351083"/>
      <w:bookmarkStart w:id="82" w:name="_Toc113351501"/>
      <w:bookmarkStart w:id="83" w:name="_Toc21265"/>
      <w:bookmarkStart w:id="84" w:name="_Toc21146"/>
      <w:bookmarkStart w:id="85" w:name="_Toc15377206"/>
      <w:bookmarkStart w:id="86" w:name="_Toc17103554"/>
      <w:r>
        <w:rPr>
          <w:rFonts w:hint="eastAsia" w:ascii="方正黑体简体" w:hAnsi="黑体" w:eastAsia="方正黑体简体"/>
          <w:color w:val="000000"/>
          <w:sz w:val="32"/>
          <w:szCs w:val="32"/>
        </w:rPr>
        <w:t>五、</w:t>
      </w:r>
      <w:r>
        <w:rPr>
          <w:rFonts w:hint="eastAsia" w:ascii="方正黑体简体" w:hAnsi="黑体" w:eastAsia="方正黑体简体"/>
          <w:b/>
          <w:color w:val="000000"/>
          <w:sz w:val="32"/>
          <w:szCs w:val="32"/>
        </w:rPr>
        <w:t>一</w:t>
      </w:r>
      <w:r>
        <w:rPr>
          <w:rStyle w:val="30"/>
          <w:rFonts w:hint="eastAsia" w:ascii="方正黑体简体" w:hAnsi="黑体" w:eastAsia="方正黑体简体"/>
          <w:b w:val="0"/>
        </w:rPr>
        <w:t>般公共预算财政拨款支出决算情况说明</w:t>
      </w:r>
      <w:bookmarkEnd w:id="80"/>
      <w:bookmarkEnd w:id="81"/>
      <w:bookmarkEnd w:id="82"/>
      <w:bookmarkEnd w:id="83"/>
      <w:bookmarkEnd w:id="84"/>
    </w:p>
    <w:p>
      <w:pPr>
        <w:spacing w:line="600" w:lineRule="exact"/>
        <w:ind w:firstLine="472" w:firstLineChars="147"/>
        <w:outlineLvl w:val="2"/>
        <w:rPr>
          <w:rFonts w:hint="eastAsia" w:ascii="方正仿宋简体" w:hAnsi="仿宋" w:eastAsia="方正仿宋简体"/>
          <w:b/>
          <w:color w:val="000000"/>
          <w:sz w:val="32"/>
          <w:szCs w:val="32"/>
        </w:rPr>
      </w:pPr>
      <w:bookmarkStart w:id="87" w:name="_Toc113285259"/>
      <w:bookmarkStart w:id="88" w:name="_Toc113351084"/>
      <w:bookmarkStart w:id="89" w:name="_Toc113351502"/>
      <w:bookmarkStart w:id="90" w:name="_Toc30143"/>
      <w:bookmarkStart w:id="91" w:name="_Toc21271"/>
      <w:r>
        <w:rPr>
          <w:rFonts w:hint="eastAsia" w:ascii="方正仿宋简体" w:hAnsi="仿宋" w:eastAsia="方正仿宋简体"/>
          <w:b/>
          <w:color w:val="000000"/>
          <w:sz w:val="32"/>
          <w:szCs w:val="32"/>
        </w:rPr>
        <w:t>（一）一般公共预算财政拨款支出决算总体情况</w:t>
      </w:r>
      <w:bookmarkEnd w:id="87"/>
      <w:bookmarkEnd w:id="88"/>
      <w:bookmarkEnd w:id="89"/>
      <w:bookmarkEnd w:id="90"/>
      <w:bookmarkEnd w:id="91"/>
    </w:p>
    <w:p>
      <w:pPr>
        <w:spacing w:line="60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2021年一般公共预算财政拨款决算支出151.83万元，占本年支出合计的100%。与2020年160.29万元相比，一般公共预算</w:t>
      </w:r>
      <w:r>
        <w:rPr>
          <w:rFonts w:hint="eastAsia" w:ascii="方正仿宋简体" w:hAnsi="仿宋" w:eastAsia="方正仿宋简体"/>
          <w:sz w:val="32"/>
          <w:szCs w:val="32"/>
          <w:lang w:eastAsia="zh-CN"/>
        </w:rPr>
        <w:t>财政拨款</w:t>
      </w:r>
      <w:r>
        <w:rPr>
          <w:rFonts w:hint="eastAsia" w:ascii="方正仿宋简体" w:hAnsi="仿宋" w:eastAsia="方正仿宋简体"/>
          <w:sz w:val="32"/>
          <w:szCs w:val="32"/>
        </w:rPr>
        <w:t>支出减少8.46万元，减少5.23%。主要变动原因是主要原因是财政压减支出、绩效目标奖减少。</w:t>
      </w:r>
    </w:p>
    <w:p>
      <w:pPr>
        <w:spacing w:line="600" w:lineRule="exact"/>
        <w:rPr>
          <w:rFonts w:hint="eastAsia" w:ascii="方正仿宋简体" w:hAnsi="仿宋" w:eastAsia="方正仿宋简体"/>
          <w:sz w:val="32"/>
          <w:szCs w:val="32"/>
        </w:rPr>
      </w:pPr>
      <w:r>
        <w:rPr>
          <w:rFonts w:hint="eastAsia" w:ascii="方正仿宋简体" w:hAnsi="仿宋" w:eastAsia="方正仿宋简体"/>
          <w:sz w:val="32"/>
          <w:szCs w:val="32"/>
        </w:rPr>
        <w:t>（图5：一般公共预算财政拨款支出决算变动情况）（柱状图）</w:t>
      </w:r>
    </w:p>
    <w:p>
      <w:pPr>
        <w:spacing w:line="600" w:lineRule="exact"/>
        <w:rPr>
          <w:rFonts w:ascii="仿宋_GB2312" w:hAnsi="仿宋" w:eastAsia="仿宋_GB2312"/>
          <w:sz w:val="32"/>
          <w:szCs w:val="32"/>
        </w:rPr>
      </w:pPr>
      <w:r>
        <w:rPr>
          <w:rFonts w:hint="eastAsia" w:ascii="仿宋_GB2312" w:hAnsi="仿宋" w:eastAsia="仿宋_GB2312"/>
          <w:sz w:val="32"/>
          <w:szCs w:val="32"/>
        </w:rPr>
        <w:drawing>
          <wp:anchor distT="0" distB="0" distL="114300" distR="114300" simplePos="0" relativeHeight="251660288" behindDoc="0" locked="0" layoutInCell="1" allowOverlap="1">
            <wp:simplePos x="0" y="0"/>
            <wp:positionH relativeFrom="column">
              <wp:posOffset>671195</wp:posOffset>
            </wp:positionH>
            <wp:positionV relativeFrom="paragraph">
              <wp:posOffset>299720</wp:posOffset>
            </wp:positionV>
            <wp:extent cx="4509770" cy="2687320"/>
            <wp:effectExtent l="4445" t="4445" r="19685" b="13335"/>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rPr>
          <w:rFonts w:ascii="仿宋_GB2312" w:hAnsi="仿宋" w:eastAsia="仿宋_GB2312"/>
          <w:sz w:val="32"/>
          <w:szCs w:val="32"/>
        </w:rPr>
      </w:pPr>
    </w:p>
    <w:p>
      <w:pPr>
        <w:spacing w:line="600" w:lineRule="exact"/>
        <w:rPr>
          <w:rFonts w:ascii="仿宋_GB2312" w:hAnsi="仿宋" w:eastAsia="仿宋_GB2312"/>
          <w:sz w:val="32"/>
          <w:szCs w:val="32"/>
        </w:rPr>
      </w:pPr>
    </w:p>
    <w:p>
      <w:pPr>
        <w:spacing w:line="600" w:lineRule="exact"/>
        <w:rPr>
          <w:rFonts w:ascii="仿宋_GB2312" w:hAnsi="仿宋" w:eastAsia="仿宋_GB2312"/>
          <w:sz w:val="32"/>
          <w:szCs w:val="32"/>
        </w:rPr>
      </w:pPr>
    </w:p>
    <w:p>
      <w:pPr>
        <w:spacing w:line="600" w:lineRule="exact"/>
        <w:rPr>
          <w:rFonts w:ascii="仿宋_GB2312" w:hAnsi="仿宋" w:eastAsia="仿宋_GB2312"/>
          <w:sz w:val="32"/>
          <w:szCs w:val="32"/>
        </w:rPr>
      </w:pPr>
    </w:p>
    <w:p>
      <w:pPr>
        <w:spacing w:line="600" w:lineRule="exact"/>
        <w:rPr>
          <w:rFonts w:ascii="仿宋_GB2312" w:hAnsi="仿宋" w:eastAsia="仿宋_GB2312"/>
          <w:sz w:val="32"/>
          <w:szCs w:val="32"/>
        </w:rPr>
      </w:pPr>
    </w:p>
    <w:p>
      <w:pPr>
        <w:spacing w:line="600" w:lineRule="exact"/>
        <w:rPr>
          <w:rFonts w:ascii="仿宋_GB2312" w:hAnsi="仿宋" w:eastAsia="仿宋_GB2312"/>
          <w:sz w:val="32"/>
          <w:szCs w:val="32"/>
        </w:rPr>
      </w:pPr>
    </w:p>
    <w:p>
      <w:pPr>
        <w:spacing w:line="600" w:lineRule="exact"/>
        <w:rPr>
          <w:rFonts w:ascii="仿宋_GB2312" w:hAnsi="仿宋" w:eastAsia="仿宋_GB2312"/>
          <w:sz w:val="32"/>
          <w:szCs w:val="32"/>
        </w:rPr>
      </w:pPr>
    </w:p>
    <w:p>
      <w:pPr>
        <w:spacing w:line="600" w:lineRule="exact"/>
        <w:rPr>
          <w:rFonts w:ascii="仿宋_GB2312" w:hAnsi="仿宋" w:eastAsia="仿宋_GB2312"/>
          <w:sz w:val="32"/>
          <w:szCs w:val="32"/>
        </w:rPr>
      </w:pPr>
    </w:p>
    <w:p>
      <w:pPr>
        <w:spacing w:line="600" w:lineRule="exact"/>
        <w:ind w:firstLine="643" w:firstLineChars="200"/>
        <w:outlineLvl w:val="2"/>
        <w:rPr>
          <w:rFonts w:hint="eastAsia" w:ascii="方正仿宋简体" w:hAnsi="仿宋" w:eastAsia="方正仿宋简体"/>
          <w:b/>
          <w:color w:val="000000"/>
          <w:sz w:val="32"/>
          <w:szCs w:val="32"/>
        </w:rPr>
      </w:pPr>
      <w:bookmarkStart w:id="92" w:name="_Toc113351503"/>
      <w:bookmarkStart w:id="93" w:name="_Toc113351085"/>
      <w:bookmarkStart w:id="94" w:name="_Toc113285260"/>
      <w:bookmarkStart w:id="95" w:name="_Toc1082"/>
      <w:bookmarkStart w:id="96" w:name="_Toc19028"/>
      <w:r>
        <w:rPr>
          <w:rFonts w:hint="eastAsia" w:ascii="方正仿宋简体" w:hAnsi="仿宋" w:eastAsia="方正仿宋简体"/>
          <w:b/>
          <w:color w:val="000000"/>
          <w:sz w:val="32"/>
          <w:szCs w:val="32"/>
        </w:rPr>
        <w:t>（二）一般公共预算财政拨款支出决算结构情况</w:t>
      </w:r>
      <w:bookmarkEnd w:id="92"/>
      <w:bookmarkEnd w:id="93"/>
      <w:bookmarkEnd w:id="94"/>
      <w:bookmarkEnd w:id="95"/>
      <w:bookmarkEnd w:id="96"/>
    </w:p>
    <w:p>
      <w:pPr>
        <w:spacing w:line="60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2021年一般公共预算财政拨款支出151.83万元，主要用于以下方面:科学技术（206类）支出135.98万元，占89.56%；社会保障和就业（208类）支出8.89万元，占5.85%；卫生健康(210类)支出3.03万元，占2%；住房保障(221类)支出3.93万元，占2.59%。</w:t>
      </w:r>
    </w:p>
    <w:p>
      <w:pPr>
        <w:spacing w:line="600" w:lineRule="exact"/>
        <w:ind w:firstLine="643" w:firstLineChars="200"/>
        <w:rPr>
          <w:rFonts w:hint="eastAsia" w:ascii="方正仿宋简体" w:hAnsi="仿宋" w:eastAsia="方正仿宋简体"/>
          <w:b/>
          <w:color w:val="000000"/>
          <w:sz w:val="32"/>
          <w:szCs w:val="32"/>
        </w:rPr>
      </w:pPr>
      <w:r>
        <w:rPr>
          <w:rFonts w:hint="eastAsia" w:ascii="方正仿宋简体" w:hAnsi="仿宋" w:eastAsia="方正仿宋简体"/>
          <w:b/>
          <w:color w:val="000000"/>
          <w:sz w:val="32"/>
          <w:szCs w:val="32"/>
        </w:rPr>
        <w:t>（图6：一般公共预算财政拨款支出决算结构）（饼状图）</w:t>
      </w:r>
    </w:p>
    <w:p>
      <w:pPr>
        <w:spacing w:line="4000" w:lineRule="exact"/>
        <w:ind w:firstLine="640" w:firstLineChars="200"/>
        <w:rPr>
          <w:rFonts w:ascii="仿宋" w:hAnsi="仿宋" w:eastAsia="仿宋"/>
          <w:color w:val="000000"/>
          <w:sz w:val="32"/>
          <w:szCs w:val="32"/>
        </w:rPr>
      </w:pPr>
      <w:r>
        <w:rPr>
          <w:rFonts w:ascii="仿宋" w:hAnsi="仿宋" w:eastAsia="仿宋"/>
          <w:color w:val="000000"/>
          <w:sz w:val="32"/>
          <w:szCs w:val="32"/>
        </w:rPr>
        <w:drawing>
          <wp:inline distT="0" distB="0" distL="0" distR="0">
            <wp:extent cx="4629150" cy="1876425"/>
            <wp:effectExtent l="0" t="0" r="19050" b="9525"/>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hint="eastAsia" w:ascii="方正仿宋简体" w:hAnsi="仿宋" w:eastAsia="方正仿宋简体"/>
          <w:b/>
          <w:color w:val="000000" w:themeColor="text1"/>
          <w:sz w:val="32"/>
          <w:szCs w:val="32"/>
          <w14:textFill>
            <w14:solidFill>
              <w14:schemeClr w14:val="tx1"/>
            </w14:solidFill>
          </w14:textFill>
        </w:rPr>
      </w:pPr>
      <w:bookmarkStart w:id="97" w:name="_Toc113285261"/>
      <w:bookmarkStart w:id="98" w:name="_Toc113351086"/>
      <w:bookmarkStart w:id="99" w:name="_Toc113351504"/>
      <w:bookmarkStart w:id="100" w:name="_Toc4710"/>
      <w:bookmarkStart w:id="101" w:name="_Toc20401"/>
      <w:r>
        <w:rPr>
          <w:rFonts w:hint="eastAsia" w:ascii="方正仿宋简体" w:hAnsi="仿宋" w:eastAsia="方正仿宋简体"/>
          <w:b/>
          <w:color w:val="000000" w:themeColor="text1"/>
          <w:sz w:val="32"/>
          <w:szCs w:val="32"/>
          <w14:textFill>
            <w14:solidFill>
              <w14:schemeClr w14:val="tx1"/>
            </w14:solidFill>
          </w14:textFill>
        </w:rPr>
        <w:t>（三）一般公共预算财政拨款支出决算具体情况</w:t>
      </w:r>
      <w:bookmarkEnd w:id="97"/>
      <w:bookmarkEnd w:id="98"/>
      <w:bookmarkEnd w:id="99"/>
      <w:bookmarkEnd w:id="100"/>
      <w:bookmarkEnd w:id="101"/>
    </w:p>
    <w:p>
      <w:pPr>
        <w:spacing w:line="60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2021年年初预算支出为119.09万元，调整预算支出数为158.99万元。当年财政拨款支出107.83万元，完成当年预算67.82%，2021年新增结余51.16万元（留雁江区财政局国库股）。2021年年初财政应返还额度108.99万元。2021年财政收回存量资金51.15万元，调整年初财政应返还额度为57.84万元，2021年财政应返还额度拨款支出44万元，2021年财政应返还额度13.84万元。2021年决算支出数为151.83万元。</w:t>
      </w:r>
    </w:p>
    <w:p>
      <w:pPr>
        <w:spacing w:line="60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具体收入支出情况如下：</w:t>
      </w:r>
    </w:p>
    <w:p>
      <w:pPr>
        <w:spacing w:line="60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2060701款机构运行为本级财政预算的基本支出59.03万元，决算支出59.03万元，当年预算支出完成率100%。</w:t>
      </w:r>
    </w:p>
    <w:p>
      <w:pPr>
        <w:spacing w:line="60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2060702为本级财政预算的科普活动经费14.34万元和校园科技馆经费15万元，2021年拨付到位41.34万元，当年预算支出完成率为140.9%，主要原因是拨付往年返还额度资金12万元。</w:t>
      </w:r>
    </w:p>
    <w:p>
      <w:pPr>
        <w:spacing w:line="60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2060799款其他科学技术普及支出为3.6万元，2021年拨付到位35.6万元，预算支出完成</w:t>
      </w:r>
      <w:r>
        <w:rPr>
          <w:rFonts w:hint="eastAsia" w:ascii="方正仿宋简体" w:hAnsi="仿宋" w:eastAsia="方正仿宋简体"/>
          <w:sz w:val="32"/>
          <w:szCs w:val="32"/>
          <w:lang w:eastAsia="zh-CN"/>
        </w:rPr>
        <w:t>率为</w:t>
      </w:r>
      <w:r>
        <w:rPr>
          <w:rFonts w:hint="eastAsia" w:ascii="方正仿宋简体" w:hAnsi="仿宋" w:eastAsia="方正仿宋简体"/>
          <w:sz w:val="32"/>
          <w:szCs w:val="32"/>
        </w:rPr>
        <w:t>9</w:t>
      </w:r>
      <w:r>
        <w:rPr>
          <w:rFonts w:hint="eastAsia" w:ascii="方正仿宋简体" w:hAnsi="仿宋" w:eastAsia="方正仿宋简体"/>
          <w:sz w:val="32"/>
          <w:szCs w:val="32"/>
          <w:lang w:val="en-US" w:eastAsia="zh-CN"/>
        </w:rPr>
        <w:t>8</w:t>
      </w:r>
      <w:r>
        <w:rPr>
          <w:rFonts w:hint="eastAsia" w:ascii="方正仿宋简体" w:hAnsi="仿宋" w:eastAsia="方正仿宋简体"/>
          <w:sz w:val="32"/>
          <w:szCs w:val="32"/>
        </w:rPr>
        <w:t>8%。主要原因是拨付2020年省级科普活动专项经费32万元。</w:t>
      </w:r>
    </w:p>
    <w:p>
      <w:pPr>
        <w:spacing w:line="60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2080501为本级财政预算支出的退休人员生活补贴3.6万元，决算支出3.6万元，当年预算支出完成率为100%。</w:t>
      </w:r>
    </w:p>
    <w:p>
      <w:pPr>
        <w:spacing w:line="60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2080505为本级财政预算的机关事业单位养老保险缴5.23万元，决算支出5.23万元，完成预算100%。</w:t>
      </w:r>
    </w:p>
    <w:p>
      <w:pPr>
        <w:spacing w:line="60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2089999为本级财政预算工伤生育保险0.05万元，决算支出0.05万元，完成预算100%。</w:t>
      </w:r>
    </w:p>
    <w:p>
      <w:pPr>
        <w:spacing w:line="60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2101101为机关事业单位医疗保险缴费2.45万元，拨付支出2.45万元，当年预算支出完成率为100%；</w:t>
      </w:r>
    </w:p>
    <w:p>
      <w:pPr>
        <w:spacing w:line="60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2101103为公务员医疗补助支出0.58万元，拨付支出0.58万元，当年预算支出完成率为100%。</w:t>
      </w:r>
    </w:p>
    <w:p>
      <w:pPr>
        <w:tabs>
          <w:tab w:val="right" w:pos="8306"/>
        </w:tabs>
        <w:spacing w:line="600" w:lineRule="exact"/>
        <w:ind w:firstLine="640"/>
        <w:outlineLvl w:val="1"/>
        <w:rPr>
          <w:rStyle w:val="30"/>
          <w:rFonts w:hint="eastAsia" w:ascii="方正黑体简体" w:eastAsia="方正黑体简体"/>
          <w:color w:val="C00000"/>
        </w:rPr>
      </w:pPr>
      <w:bookmarkStart w:id="102" w:name="_Toc113351087"/>
      <w:bookmarkStart w:id="103" w:name="_Toc9076"/>
      <w:bookmarkStart w:id="104" w:name="_Toc16076"/>
      <w:bookmarkStart w:id="105" w:name="_Toc113285262"/>
      <w:bookmarkStart w:id="106" w:name="_Toc113351505"/>
      <w:r>
        <w:rPr>
          <w:rFonts w:hint="eastAsia" w:ascii="方正黑体简体" w:eastAsia="方正黑体简体"/>
          <w:color w:val="000000" w:themeColor="text1"/>
          <w:sz w:val="32"/>
          <w:szCs w:val="32"/>
          <w14:textFill>
            <w14:solidFill>
              <w14:schemeClr w14:val="tx1"/>
            </w14:solidFill>
          </w14:textFill>
        </w:rPr>
        <w:t>六</w:t>
      </w:r>
      <w:r>
        <w:rPr>
          <w:rFonts w:hint="eastAsia" w:ascii="方正黑体简体" w:eastAsia="方正黑体简体"/>
          <w:b/>
          <w:color w:val="000000" w:themeColor="text1"/>
          <w:sz w:val="32"/>
          <w:szCs w:val="32"/>
          <w14:textFill>
            <w14:solidFill>
              <w14:schemeClr w14:val="tx1"/>
            </w14:solidFill>
          </w14:textFill>
        </w:rPr>
        <w:t>、</w:t>
      </w:r>
      <w:r>
        <w:rPr>
          <w:rFonts w:hint="eastAsia" w:ascii="方正黑体简体" w:hAnsi="黑体" w:eastAsia="方正黑体简体"/>
          <w:b/>
          <w:color w:val="000000" w:themeColor="text1"/>
          <w:sz w:val="32"/>
          <w:szCs w:val="32"/>
          <w14:textFill>
            <w14:solidFill>
              <w14:schemeClr w14:val="tx1"/>
            </w14:solidFill>
          </w14:textFill>
        </w:rPr>
        <w:t>一</w:t>
      </w:r>
      <w:r>
        <w:rPr>
          <w:rStyle w:val="30"/>
          <w:rFonts w:hint="eastAsia" w:ascii="方正黑体简体" w:hAnsi="黑体" w:eastAsia="方正黑体简体"/>
          <w:b w:val="0"/>
          <w:color w:val="000000" w:themeColor="text1"/>
          <w14:textFill>
            <w14:solidFill>
              <w14:schemeClr w14:val="tx1"/>
            </w14:solidFill>
          </w14:textFill>
        </w:rPr>
        <w:t>般公共预算财政拨款基本支出决算情况说明</w:t>
      </w:r>
      <w:bookmarkEnd w:id="102"/>
      <w:bookmarkEnd w:id="103"/>
      <w:bookmarkEnd w:id="104"/>
      <w:bookmarkEnd w:id="105"/>
      <w:bookmarkEnd w:id="106"/>
    </w:p>
    <w:p>
      <w:pPr>
        <w:spacing w:line="60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雁江区科协2021年一般公共预算财政拨款基本支出74.87万元，其中：</w:t>
      </w:r>
    </w:p>
    <w:p>
      <w:pPr>
        <w:spacing w:line="600" w:lineRule="exact"/>
        <w:ind w:firstLine="645"/>
        <w:rPr>
          <w:rFonts w:eastAsia="仿宋"/>
          <w:color w:val="000000"/>
          <w:sz w:val="32"/>
          <w:szCs w:val="32"/>
        </w:rPr>
      </w:pPr>
      <w:r>
        <w:rPr>
          <w:rFonts w:eastAsia="仿宋"/>
          <w:color w:val="000000"/>
          <w:sz w:val="32"/>
          <w:szCs w:val="32"/>
        </w:rPr>
        <w:t>人员经费</w:t>
      </w:r>
      <w:r>
        <w:rPr>
          <w:rFonts w:hint="eastAsia" w:ascii="方正仿宋简体" w:eastAsia="方正仿宋简体"/>
          <w:color w:val="000000"/>
          <w:sz w:val="32"/>
          <w:szCs w:val="32"/>
        </w:rPr>
        <w:t>64.86</w:t>
      </w:r>
      <w:r>
        <w:rPr>
          <w:rFonts w:eastAsia="仿宋"/>
          <w:color w:val="000000"/>
          <w:sz w:val="32"/>
          <w:szCs w:val="32"/>
        </w:rPr>
        <w:t>万元，主要包括：</w:t>
      </w:r>
      <w:r>
        <w:rPr>
          <w:rFonts w:hint="eastAsia" w:ascii="方正仿宋简体" w:hAnsi="仿宋" w:eastAsia="方正仿宋简体"/>
          <w:sz w:val="32"/>
          <w:szCs w:val="32"/>
        </w:rPr>
        <w:t>基本工资19.65万元、津贴补贴11.92万元、奖金17.45万元、</w:t>
      </w:r>
      <w:r>
        <w:rPr>
          <w:rFonts w:eastAsia="仿宋"/>
          <w:color w:val="000000"/>
          <w:sz w:val="32"/>
          <w:szCs w:val="32"/>
        </w:rPr>
        <w:t>机关事业单位基本养老保险缴费</w:t>
      </w:r>
      <w:r>
        <w:rPr>
          <w:rFonts w:hint="eastAsia" w:ascii="方正仿宋简体" w:hAnsi="仿宋" w:eastAsia="方正仿宋简体"/>
          <w:sz w:val="32"/>
          <w:szCs w:val="32"/>
        </w:rPr>
        <w:t>5.23</w:t>
      </w:r>
      <w:r>
        <w:rPr>
          <w:rFonts w:eastAsia="仿宋"/>
          <w:color w:val="000000"/>
          <w:sz w:val="32"/>
          <w:szCs w:val="32"/>
        </w:rPr>
        <w:t>万元、职工基本医疗保险缴费</w:t>
      </w:r>
      <w:r>
        <w:rPr>
          <w:rFonts w:hint="eastAsia" w:ascii="方正仿宋简体" w:hAnsi="仿宋" w:eastAsia="方正仿宋简体"/>
          <w:sz w:val="32"/>
          <w:szCs w:val="32"/>
        </w:rPr>
        <w:t>2.45</w:t>
      </w:r>
      <w:r>
        <w:rPr>
          <w:rFonts w:eastAsia="仿宋"/>
          <w:color w:val="000000"/>
          <w:sz w:val="32"/>
          <w:szCs w:val="32"/>
        </w:rPr>
        <w:t>万元、公务员医疗补助缴费</w:t>
      </w:r>
      <w:r>
        <w:rPr>
          <w:rFonts w:hint="eastAsia" w:ascii="方正仿宋简体" w:hAnsi="仿宋" w:eastAsia="方正仿宋简体"/>
          <w:sz w:val="32"/>
          <w:szCs w:val="32"/>
        </w:rPr>
        <w:t>0.58</w:t>
      </w:r>
      <w:r>
        <w:rPr>
          <w:rFonts w:eastAsia="仿宋"/>
          <w:color w:val="000000"/>
          <w:sz w:val="32"/>
          <w:szCs w:val="32"/>
        </w:rPr>
        <w:t>万元、其他社会保障缴费</w:t>
      </w:r>
      <w:r>
        <w:rPr>
          <w:rFonts w:hint="eastAsia" w:ascii="方正仿宋简体" w:hAnsi="仿宋" w:eastAsia="方正仿宋简体"/>
          <w:sz w:val="32"/>
          <w:szCs w:val="32"/>
        </w:rPr>
        <w:t>0.05</w:t>
      </w:r>
      <w:r>
        <w:rPr>
          <w:rFonts w:eastAsia="仿宋"/>
          <w:color w:val="000000"/>
          <w:sz w:val="32"/>
          <w:szCs w:val="32"/>
        </w:rPr>
        <w:t>万元、住房公积金</w:t>
      </w:r>
      <w:r>
        <w:rPr>
          <w:rFonts w:hint="eastAsia" w:ascii="方正仿宋简体" w:hAnsi="仿宋" w:eastAsia="方正仿宋简体"/>
          <w:sz w:val="32"/>
          <w:szCs w:val="32"/>
        </w:rPr>
        <w:t>3.93</w:t>
      </w:r>
      <w:r>
        <w:rPr>
          <w:rFonts w:eastAsia="仿宋"/>
          <w:color w:val="000000"/>
          <w:sz w:val="32"/>
          <w:szCs w:val="32"/>
        </w:rPr>
        <w:t>万元、生活补助</w:t>
      </w:r>
      <w:r>
        <w:rPr>
          <w:rFonts w:hint="eastAsia" w:ascii="方正仿宋简体" w:hAnsi="仿宋" w:eastAsia="方正仿宋简体"/>
          <w:sz w:val="32"/>
          <w:szCs w:val="32"/>
        </w:rPr>
        <w:t>3.6</w:t>
      </w:r>
      <w:r>
        <w:rPr>
          <w:rFonts w:eastAsia="仿宋"/>
          <w:color w:val="000000"/>
          <w:sz w:val="32"/>
          <w:szCs w:val="32"/>
        </w:rPr>
        <w:t>万元。</w:t>
      </w:r>
    </w:p>
    <w:p>
      <w:pPr>
        <w:spacing w:line="600" w:lineRule="exact"/>
        <w:ind w:firstLine="640" w:firstLineChars="200"/>
        <w:rPr>
          <w:rFonts w:hint="eastAsia" w:eastAsia="仿宋"/>
          <w:color w:val="000000"/>
          <w:sz w:val="32"/>
          <w:szCs w:val="32"/>
        </w:rPr>
      </w:pPr>
      <w:r>
        <w:rPr>
          <w:rFonts w:eastAsia="仿宋"/>
          <w:color w:val="000000"/>
          <w:sz w:val="32"/>
          <w:szCs w:val="32"/>
        </w:rPr>
        <w:t>公用经费</w:t>
      </w:r>
      <w:r>
        <w:rPr>
          <w:rFonts w:hint="eastAsia" w:ascii="方正仿宋简体" w:hAnsi="仿宋" w:eastAsia="方正仿宋简体"/>
          <w:sz w:val="32"/>
          <w:szCs w:val="32"/>
        </w:rPr>
        <w:t>10.01</w:t>
      </w:r>
      <w:r>
        <w:rPr>
          <w:rFonts w:eastAsia="仿宋"/>
          <w:color w:val="000000"/>
          <w:sz w:val="32"/>
          <w:szCs w:val="32"/>
        </w:rPr>
        <w:t>万元，主要包括：</w:t>
      </w:r>
      <w:r>
        <w:rPr>
          <w:rFonts w:hint="eastAsia" w:ascii="方正仿宋简体" w:hAnsi="仿宋" w:eastAsia="方正仿宋简体"/>
          <w:sz w:val="32"/>
          <w:szCs w:val="32"/>
        </w:rPr>
        <w:t>办公费0.18万元，水费0.17万元，差旅费0.04万元，维修（维护）费0.04万元，委托业务费0.04万元，工会经费0.85万元，福利费1.36万元，其他交通费用3.59万元，其他商品和服务支出3.74万元。</w:t>
      </w:r>
    </w:p>
    <w:p>
      <w:pPr>
        <w:spacing w:line="600" w:lineRule="exact"/>
        <w:ind w:firstLine="640"/>
        <w:outlineLvl w:val="1"/>
        <w:rPr>
          <w:rStyle w:val="30"/>
          <w:rFonts w:hint="eastAsia" w:ascii="方正黑体简体" w:hAnsi="黑体" w:eastAsia="方正黑体简体"/>
          <w:b w:val="0"/>
        </w:rPr>
      </w:pPr>
      <w:bookmarkStart w:id="107" w:name="_Toc113285263"/>
      <w:bookmarkStart w:id="108" w:name="_Toc113351088"/>
      <w:bookmarkStart w:id="109" w:name="_Toc113351506"/>
      <w:bookmarkStart w:id="110" w:name="_Toc17477"/>
      <w:bookmarkStart w:id="111" w:name="_Toc29339"/>
      <w:r>
        <w:rPr>
          <w:rFonts w:hint="eastAsia" w:ascii="方正黑体简体" w:eastAsia="方正黑体简体"/>
          <w:color w:val="000000"/>
          <w:sz w:val="32"/>
          <w:szCs w:val="32"/>
        </w:rPr>
        <w:t>七、</w:t>
      </w:r>
      <w:r>
        <w:rPr>
          <w:rStyle w:val="30"/>
          <w:rFonts w:hint="eastAsia" w:ascii="方正黑体简体" w:hAnsi="黑体" w:eastAsia="方正黑体简体"/>
        </w:rPr>
        <w:t>“</w:t>
      </w:r>
      <w:r>
        <w:rPr>
          <w:rStyle w:val="30"/>
          <w:rFonts w:hint="eastAsia" w:ascii="方正黑体简体" w:hAnsi="黑体" w:eastAsia="方正黑体简体"/>
          <w:b w:val="0"/>
        </w:rPr>
        <w:t>三公”经费财政拨款支出决算情况说明</w:t>
      </w:r>
      <w:bookmarkEnd w:id="107"/>
      <w:bookmarkEnd w:id="108"/>
      <w:bookmarkEnd w:id="109"/>
      <w:bookmarkEnd w:id="110"/>
      <w:bookmarkEnd w:id="111"/>
    </w:p>
    <w:p>
      <w:pPr>
        <w:spacing w:line="600" w:lineRule="exact"/>
        <w:ind w:firstLine="640"/>
        <w:outlineLvl w:val="2"/>
        <w:rPr>
          <w:rFonts w:hint="eastAsia" w:ascii="方正仿宋简体" w:hAnsi="仿宋" w:eastAsia="方正仿宋简体"/>
          <w:b/>
          <w:color w:val="000000"/>
          <w:sz w:val="32"/>
          <w:szCs w:val="32"/>
        </w:rPr>
      </w:pPr>
      <w:bookmarkStart w:id="112" w:name="_Toc113285264"/>
      <w:bookmarkStart w:id="113" w:name="_Toc113351089"/>
      <w:bookmarkStart w:id="114" w:name="_Toc113351507"/>
      <w:bookmarkStart w:id="115" w:name="_Toc4564"/>
      <w:bookmarkStart w:id="116" w:name="_Toc6076"/>
      <w:r>
        <w:rPr>
          <w:rFonts w:hint="eastAsia" w:ascii="方正仿宋简体" w:hAnsi="仿宋" w:eastAsia="方正仿宋简体"/>
          <w:b/>
          <w:color w:val="000000"/>
          <w:sz w:val="32"/>
          <w:szCs w:val="32"/>
        </w:rPr>
        <w:t>（一）“三公”经费财政拨款支出决算总体情况说明</w:t>
      </w:r>
      <w:bookmarkEnd w:id="112"/>
      <w:bookmarkEnd w:id="113"/>
      <w:bookmarkEnd w:id="114"/>
      <w:bookmarkEnd w:id="115"/>
      <w:bookmarkEnd w:id="116"/>
    </w:p>
    <w:p>
      <w:pPr>
        <w:spacing w:line="60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2021年“三公”经费财政拨款预算1.1万元，决算支出为0.28万元，完成预算25.45%，决算数小于预算数的主要原因是财政经费拨付未到位和2021公务接待减少。</w:t>
      </w:r>
    </w:p>
    <w:p>
      <w:pPr>
        <w:spacing w:line="600" w:lineRule="exact"/>
        <w:ind w:firstLine="640"/>
        <w:outlineLvl w:val="2"/>
        <w:rPr>
          <w:rFonts w:hint="eastAsia" w:ascii="方正仿宋简体" w:hAnsi="仿宋" w:eastAsia="方正仿宋简体"/>
          <w:b/>
          <w:color w:val="000000"/>
          <w:sz w:val="32"/>
          <w:szCs w:val="32"/>
        </w:rPr>
      </w:pPr>
      <w:bookmarkStart w:id="117" w:name="_Toc113285265"/>
      <w:bookmarkStart w:id="118" w:name="_Toc113351090"/>
      <w:bookmarkStart w:id="119" w:name="_Toc113351508"/>
      <w:bookmarkStart w:id="120" w:name="_Toc21842"/>
      <w:bookmarkStart w:id="121" w:name="_Toc23259"/>
      <w:r>
        <w:rPr>
          <w:rFonts w:hint="eastAsia" w:ascii="方正仿宋简体" w:hAnsi="仿宋" w:eastAsia="方正仿宋简体"/>
          <w:b/>
          <w:color w:val="000000"/>
          <w:sz w:val="32"/>
          <w:szCs w:val="32"/>
        </w:rPr>
        <w:t>（二）“三公”经费财政拨款支出决算具体情况说明</w:t>
      </w:r>
      <w:bookmarkEnd w:id="117"/>
      <w:bookmarkEnd w:id="118"/>
      <w:bookmarkEnd w:id="119"/>
      <w:bookmarkEnd w:id="120"/>
      <w:bookmarkEnd w:id="121"/>
    </w:p>
    <w:p>
      <w:pPr>
        <w:spacing w:line="60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2021年“三公”经费财政拨款支出决算中，因公出国（境）费支出决算0万元，占0%；公务用车购置及运行维护费支出决算0万元，占0%；公务接待费支出决算0.28万元，占100%。具体情况如下：</w:t>
      </w:r>
    </w:p>
    <w:p>
      <w:pPr>
        <w:spacing w:line="60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（图7：“三公”经费财政拨款支出结构）（饼状图）</w:t>
      </w:r>
    </w:p>
    <w:p>
      <w:pPr>
        <w:spacing w:line="4000" w:lineRule="exact"/>
        <w:rPr>
          <w:rFonts w:ascii="仿宋" w:hAnsi="仿宋" w:eastAsia="仿宋"/>
          <w:color w:val="FFFFFF" w:themeColor="background1"/>
          <w:sz w:val="32"/>
          <w:szCs w:val="32"/>
          <w14:textFill>
            <w14:solidFill>
              <w14:schemeClr w14:val="bg1"/>
            </w14:solidFill>
          </w14:textFill>
        </w:rPr>
      </w:pPr>
      <w:r>
        <w:rPr>
          <w:rFonts w:ascii="仿宋" w:hAnsi="仿宋" w:eastAsia="仿宋"/>
          <w:color w:val="000000"/>
          <w:sz w:val="32"/>
          <w:szCs w:val="32"/>
        </w:rPr>
        <w:drawing>
          <wp:inline distT="0" distB="0" distL="0" distR="0">
            <wp:extent cx="4608830" cy="2343785"/>
            <wp:effectExtent l="19050" t="0" r="1270" b="0"/>
            <wp:docPr id="19" name="图片 19" descr="C:\Users\Administrator\Desktop\2018年决算公开资料\2018决算公示图片\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Administrator\Desktop\2018年决算公开资料\2018决算公示图片\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608830" cy="2343785"/>
                    </a:xfrm>
                    <a:prstGeom prst="rect">
                      <a:avLst/>
                    </a:prstGeom>
                    <a:solidFill>
                      <a:schemeClr val="tx1"/>
                    </a:solidFill>
                    <a:ln>
                      <a:noFill/>
                    </a:ln>
                  </pic:spPr>
                </pic:pic>
              </a:graphicData>
            </a:graphic>
          </wp:inline>
        </w:drawing>
      </w:r>
    </w:p>
    <w:p>
      <w:pPr>
        <w:spacing w:line="600" w:lineRule="exact"/>
        <w:rPr>
          <w:rFonts w:hint="eastAsia" w:ascii="方正仿宋简体" w:hAnsi="仿宋" w:eastAsia="方正仿宋简体"/>
          <w:color w:val="FFFFFF" w:themeColor="background1"/>
          <w:sz w:val="32"/>
          <w:szCs w:val="32"/>
          <w14:textFill>
            <w14:solidFill>
              <w14:schemeClr w14:val="bg1"/>
            </w14:solidFill>
          </w14:textFill>
        </w:rPr>
      </w:pPr>
      <w:r>
        <w:rPr>
          <w:rFonts w:hint="eastAsia" w:ascii="仿宋_GB2312" w:hAnsi="仿宋" w:eastAsia="仿宋_GB2312"/>
          <w:sz w:val="32"/>
          <w:szCs w:val="32"/>
        </w:rPr>
        <w:t xml:space="preserve">    </w:t>
      </w:r>
      <w:r>
        <w:rPr>
          <w:rFonts w:hint="eastAsia" w:ascii="方正仿宋简体" w:hAnsi="仿宋" w:eastAsia="方正仿宋简体"/>
          <w:sz w:val="32"/>
          <w:szCs w:val="32"/>
        </w:rPr>
        <w:t>1.因公出国（境）经费支出0万元，完成预算0%。全年安排因公出国（境）团组0次，出国（境）0人。2021年和2020年均无因公出国（境）经费支出。</w:t>
      </w:r>
    </w:p>
    <w:p>
      <w:pPr>
        <w:spacing w:line="60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2.公务用车购置及运行维护费支出0万元,完成预算0%。2021年和2020年均无公务用车购置费、公务用车运行维护费。</w:t>
      </w:r>
    </w:p>
    <w:p>
      <w:pPr>
        <w:spacing w:line="600" w:lineRule="exact"/>
        <w:ind w:firstLine="640" w:firstLineChars="200"/>
        <w:rPr>
          <w:rFonts w:hint="eastAsia" w:ascii="方正仿宋简体" w:hAnsi="仿宋" w:eastAsia="方正仿宋简体"/>
          <w:color w:val="000000"/>
          <w:sz w:val="32"/>
          <w:szCs w:val="32"/>
        </w:rPr>
      </w:pPr>
      <w:r>
        <w:rPr>
          <w:rFonts w:hint="eastAsia" w:ascii="方正仿宋简体" w:hAnsi="仿宋" w:eastAsia="方正仿宋简体"/>
          <w:sz w:val="32"/>
          <w:szCs w:val="32"/>
        </w:rPr>
        <w:t>3.公务接待费支出0.28万元，完成预算的25.45%，比2020年0.39万元减少0.11万元，下降28.21%，下降原因</w:t>
      </w:r>
      <w:r>
        <w:rPr>
          <w:rFonts w:hint="eastAsia" w:ascii="方正仿宋简体" w:hAnsi="仿宋" w:eastAsia="方正仿宋简体"/>
          <w:color w:val="000000"/>
          <w:sz w:val="32"/>
          <w:szCs w:val="32"/>
        </w:rPr>
        <w:t>是财政经费拨付未到位和2021公务接待减少。其中：</w:t>
      </w:r>
    </w:p>
    <w:p>
      <w:pPr>
        <w:spacing w:line="60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国内公务接待支出0.28万元，主要用于执行公务、开展业务活动开支的交通费、住宿费、用餐费等。雁江区科协使用公共预算财政拨款支出的公务接待3批次、27人次，共计支出0.28万元。具体用于接待市科协、安岳、乐至科协等来我区指导、调研科技教育、绿道科普、青少年科创、科普示范基地建设、科普资源整合、科普信息化建设、天府科技云服务中心标准化建设等公务活动开支的交通费、用餐费等。</w:t>
      </w:r>
    </w:p>
    <w:p>
      <w:pPr>
        <w:spacing w:line="60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外事接待支出0万元，外事接待0批次，0人，共计支出0万元。</w:t>
      </w:r>
    </w:p>
    <w:p>
      <w:pPr>
        <w:spacing w:line="600" w:lineRule="exact"/>
        <w:ind w:firstLine="640"/>
        <w:outlineLvl w:val="1"/>
        <w:rPr>
          <w:rStyle w:val="30"/>
          <w:rFonts w:hint="eastAsia" w:ascii="方正黑体简体" w:hAnsi="黑体" w:eastAsia="方正黑体简体"/>
        </w:rPr>
      </w:pPr>
      <w:bookmarkStart w:id="122" w:name="_Toc113285266"/>
      <w:bookmarkStart w:id="123" w:name="_Toc113351091"/>
      <w:bookmarkStart w:id="124" w:name="_Toc113351509"/>
      <w:bookmarkStart w:id="125" w:name="_Toc4549"/>
      <w:bookmarkStart w:id="126" w:name="_Toc23912"/>
      <w:r>
        <w:rPr>
          <w:rFonts w:hint="eastAsia" w:ascii="方正黑体简体" w:eastAsia="方正黑体简体"/>
          <w:color w:val="000000"/>
          <w:sz w:val="32"/>
          <w:szCs w:val="32"/>
        </w:rPr>
        <w:t>八、</w:t>
      </w:r>
      <w:r>
        <w:rPr>
          <w:rStyle w:val="30"/>
          <w:rFonts w:hint="eastAsia" w:ascii="方正黑体简体" w:hAnsi="黑体" w:eastAsia="方正黑体简体"/>
          <w:b w:val="0"/>
        </w:rPr>
        <w:t>政府性基金预算支出决算情况说明</w:t>
      </w:r>
      <w:bookmarkEnd w:id="122"/>
      <w:bookmarkEnd w:id="123"/>
      <w:bookmarkEnd w:id="124"/>
      <w:bookmarkEnd w:id="125"/>
      <w:bookmarkEnd w:id="126"/>
    </w:p>
    <w:p>
      <w:pPr>
        <w:spacing w:line="60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2021年政府性基金预算拨款支出0万元。</w:t>
      </w:r>
      <w:bookmarkStart w:id="127" w:name="_Toc113285267"/>
    </w:p>
    <w:p>
      <w:pPr>
        <w:spacing w:line="600" w:lineRule="exact"/>
        <w:ind w:firstLine="640" w:firstLineChars="200"/>
        <w:outlineLvl w:val="1"/>
        <w:rPr>
          <w:rStyle w:val="30"/>
          <w:rFonts w:hint="eastAsia" w:ascii="方正黑体简体" w:hAnsi="黑体" w:eastAsia="方正黑体简体"/>
          <w:b w:val="0"/>
        </w:rPr>
      </w:pPr>
      <w:bookmarkStart w:id="128" w:name="_Toc1971"/>
      <w:r>
        <w:rPr>
          <w:rFonts w:hint="eastAsia" w:ascii="方正黑体简体" w:hAnsi="仿宋" w:eastAsia="方正黑体简体"/>
          <w:sz w:val="32"/>
          <w:szCs w:val="32"/>
        </w:rPr>
        <w:t>九、</w:t>
      </w:r>
      <w:r>
        <w:rPr>
          <w:rStyle w:val="30"/>
          <w:rFonts w:hint="eastAsia" w:ascii="方正黑体简体" w:hAnsi="黑体" w:eastAsia="方正黑体简体"/>
          <w:b w:val="0"/>
        </w:rPr>
        <w:t>国有资本经营预算支出决算情况说明</w:t>
      </w:r>
      <w:bookmarkEnd w:id="127"/>
      <w:bookmarkEnd w:id="128"/>
    </w:p>
    <w:p>
      <w:pPr>
        <w:spacing w:line="60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2021年国有资本经营预算拨款支出0万元。</w:t>
      </w:r>
    </w:p>
    <w:bookmarkEnd w:id="85"/>
    <w:bookmarkEnd w:id="86"/>
    <w:p>
      <w:pPr>
        <w:spacing w:line="600" w:lineRule="exact"/>
        <w:ind w:firstLine="800" w:firstLineChars="250"/>
        <w:outlineLvl w:val="1"/>
        <w:rPr>
          <w:rStyle w:val="30"/>
          <w:rFonts w:hint="eastAsia" w:ascii="方正黑体简体" w:hAnsi="黑体" w:eastAsia="方正黑体简体"/>
        </w:rPr>
      </w:pPr>
      <w:bookmarkStart w:id="129" w:name="_Toc15377221"/>
      <w:bookmarkStart w:id="130" w:name="_Toc17103564"/>
      <w:bookmarkStart w:id="131" w:name="_Toc113285268"/>
      <w:bookmarkStart w:id="132" w:name="_Toc113351092"/>
      <w:bookmarkStart w:id="133" w:name="_Toc113351510"/>
      <w:bookmarkStart w:id="134" w:name="_Toc25945"/>
      <w:bookmarkStart w:id="135" w:name="_Toc29163"/>
      <w:r>
        <w:rPr>
          <w:rFonts w:hint="eastAsia" w:ascii="方正黑体简体" w:hAnsi="黑体" w:eastAsia="方正黑体简体"/>
          <w:color w:val="000000"/>
          <w:sz w:val="32"/>
          <w:szCs w:val="32"/>
        </w:rPr>
        <w:t>十</w:t>
      </w:r>
      <w:r>
        <w:rPr>
          <w:rStyle w:val="30"/>
          <w:rFonts w:hint="eastAsia" w:ascii="方正黑体简体" w:hAnsi="黑体" w:eastAsia="方正黑体简体"/>
        </w:rPr>
        <w:t>、</w:t>
      </w:r>
      <w:r>
        <w:rPr>
          <w:rStyle w:val="30"/>
          <w:rFonts w:hint="eastAsia" w:ascii="方正黑体简体" w:hAnsi="黑体" w:eastAsia="方正黑体简体"/>
          <w:b w:val="0"/>
        </w:rPr>
        <w:t>其他重要事项的情况说明</w:t>
      </w:r>
      <w:bookmarkEnd w:id="129"/>
      <w:bookmarkEnd w:id="130"/>
      <w:bookmarkEnd w:id="131"/>
      <w:bookmarkEnd w:id="132"/>
      <w:bookmarkEnd w:id="133"/>
      <w:bookmarkEnd w:id="134"/>
      <w:bookmarkEnd w:id="135"/>
    </w:p>
    <w:p>
      <w:pPr>
        <w:spacing w:line="600" w:lineRule="exact"/>
        <w:ind w:firstLine="643" w:firstLineChars="200"/>
        <w:outlineLvl w:val="2"/>
        <w:rPr>
          <w:rFonts w:hint="eastAsia" w:ascii="方正仿宋简体" w:hAnsi="仿宋" w:eastAsia="方正仿宋简体"/>
          <w:color w:val="000000"/>
          <w:sz w:val="32"/>
          <w:szCs w:val="32"/>
        </w:rPr>
      </w:pPr>
      <w:bookmarkStart w:id="136" w:name="_Toc113351511"/>
      <w:bookmarkStart w:id="137" w:name="_Toc15377222"/>
      <w:bookmarkStart w:id="138" w:name="_Toc113285269"/>
      <w:bookmarkStart w:id="139" w:name="_Toc14022"/>
      <w:bookmarkStart w:id="140" w:name="_Toc15150"/>
      <w:bookmarkStart w:id="141" w:name="_Toc113351093"/>
      <w:r>
        <w:rPr>
          <w:rFonts w:hint="eastAsia" w:ascii="方正仿宋简体" w:hAnsi="仿宋" w:eastAsia="方正仿宋简体"/>
          <w:b/>
          <w:color w:val="000000"/>
          <w:sz w:val="32"/>
          <w:szCs w:val="32"/>
        </w:rPr>
        <w:t>（一）机关运行经费支出情况</w:t>
      </w:r>
      <w:bookmarkEnd w:id="136"/>
      <w:bookmarkEnd w:id="137"/>
      <w:bookmarkEnd w:id="138"/>
      <w:bookmarkEnd w:id="139"/>
      <w:bookmarkEnd w:id="140"/>
      <w:bookmarkEnd w:id="141"/>
    </w:p>
    <w:p>
      <w:pPr>
        <w:spacing w:line="60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2021年，雁江区科协机关运行经费支出10.01万元，比2020年的9.42万元增加0.59万元，增加6.26%。主要原因</w:t>
      </w:r>
      <w:bookmarkStart w:id="142" w:name="_Toc15377223"/>
      <w:r>
        <w:rPr>
          <w:rFonts w:hint="eastAsia" w:ascii="方正仿宋简体" w:hAnsi="仿宋" w:eastAsia="方正仿宋简体"/>
          <w:sz w:val="32"/>
          <w:szCs w:val="32"/>
        </w:rPr>
        <w:t>今年公用经费按预算支付完成。</w:t>
      </w:r>
    </w:p>
    <w:bookmarkEnd w:id="142"/>
    <w:p>
      <w:pPr>
        <w:autoSpaceDE w:val="0"/>
        <w:autoSpaceDN w:val="0"/>
        <w:adjustRightInd w:val="0"/>
        <w:spacing w:line="600" w:lineRule="exact"/>
        <w:ind w:firstLine="643" w:firstLineChars="200"/>
        <w:jc w:val="left"/>
        <w:outlineLvl w:val="2"/>
        <w:rPr>
          <w:rFonts w:hint="eastAsia" w:ascii="方正仿宋简体" w:hAnsi="仿宋" w:eastAsia="方正仿宋简体"/>
          <w:b/>
          <w:color w:val="000000"/>
          <w:sz w:val="32"/>
          <w:szCs w:val="32"/>
        </w:rPr>
      </w:pPr>
      <w:bookmarkStart w:id="143" w:name="_Toc113285270"/>
      <w:bookmarkStart w:id="144" w:name="_Toc113351094"/>
      <w:bookmarkStart w:id="145" w:name="_Toc113351512"/>
      <w:bookmarkStart w:id="146" w:name="_Toc26932"/>
      <w:bookmarkStart w:id="147" w:name="_Toc15892"/>
      <w:r>
        <w:rPr>
          <w:rFonts w:hint="eastAsia" w:ascii="方正仿宋简体" w:hAnsi="仿宋" w:eastAsia="方正仿宋简体"/>
          <w:b/>
          <w:color w:val="000000"/>
          <w:sz w:val="32"/>
          <w:szCs w:val="32"/>
        </w:rPr>
        <w:t>（二）政府采购支出情况</w:t>
      </w:r>
      <w:bookmarkEnd w:id="143"/>
      <w:bookmarkEnd w:id="144"/>
      <w:bookmarkEnd w:id="145"/>
      <w:bookmarkEnd w:id="146"/>
      <w:bookmarkEnd w:id="147"/>
    </w:p>
    <w:p>
      <w:pPr>
        <w:spacing w:line="600" w:lineRule="exact"/>
        <w:ind w:firstLine="640" w:firstLineChars="200"/>
        <w:rPr>
          <w:rFonts w:eastAsia="仿宋_GB2312"/>
          <w:color w:val="000000"/>
          <w:sz w:val="32"/>
          <w:szCs w:val="32"/>
        </w:rPr>
      </w:pPr>
      <w:r>
        <w:rPr>
          <w:rFonts w:hint="eastAsia" w:ascii="方正仿宋简体" w:hAnsi="仿宋" w:eastAsia="方正仿宋简体"/>
          <w:sz w:val="32"/>
          <w:szCs w:val="32"/>
        </w:rPr>
        <w:t>2021年</w:t>
      </w:r>
      <w:r>
        <w:rPr>
          <w:rFonts w:ascii="方正仿宋简体" w:hAnsi="仿宋" w:eastAsia="方正仿宋简体"/>
          <w:sz w:val="32"/>
          <w:szCs w:val="32"/>
        </w:rPr>
        <w:t>，</w:t>
      </w:r>
      <w:r>
        <w:rPr>
          <w:rFonts w:hint="eastAsia" w:ascii="方正仿宋简体" w:hAnsi="仿宋" w:eastAsia="方正仿宋简体"/>
          <w:sz w:val="32"/>
          <w:szCs w:val="32"/>
        </w:rPr>
        <w:t>雁江区科协</w:t>
      </w:r>
      <w:r>
        <w:rPr>
          <w:rFonts w:ascii="方正仿宋简体" w:hAnsi="仿宋" w:eastAsia="方正仿宋简体"/>
          <w:sz w:val="32"/>
          <w:szCs w:val="32"/>
        </w:rPr>
        <w:t>政府采购支出总额</w:t>
      </w:r>
      <w:r>
        <w:rPr>
          <w:rFonts w:hint="eastAsia" w:ascii="方正仿宋简体" w:hAnsi="仿宋" w:eastAsia="方正仿宋简体"/>
          <w:sz w:val="32"/>
          <w:szCs w:val="32"/>
        </w:rPr>
        <w:t>0.99</w:t>
      </w:r>
      <w:r>
        <w:rPr>
          <w:rFonts w:ascii="方正仿宋简体" w:hAnsi="仿宋" w:eastAsia="方正仿宋简体"/>
          <w:sz w:val="32"/>
          <w:szCs w:val="32"/>
        </w:rPr>
        <w:t>万元，其中：政府采购货物支出</w:t>
      </w:r>
      <w:r>
        <w:rPr>
          <w:rFonts w:hint="eastAsia" w:ascii="方正仿宋简体" w:hAnsi="仿宋" w:eastAsia="方正仿宋简体"/>
          <w:sz w:val="32"/>
          <w:szCs w:val="32"/>
        </w:rPr>
        <w:t>0.99</w:t>
      </w:r>
      <w:r>
        <w:rPr>
          <w:rFonts w:ascii="方正仿宋简体" w:hAnsi="仿宋" w:eastAsia="方正仿宋简体"/>
          <w:sz w:val="32"/>
          <w:szCs w:val="32"/>
        </w:rPr>
        <w:t>万元、政府采购工程支出</w:t>
      </w:r>
      <w:r>
        <w:rPr>
          <w:rFonts w:hint="eastAsia" w:ascii="方正仿宋简体" w:hAnsi="仿宋" w:eastAsia="方正仿宋简体"/>
          <w:sz w:val="32"/>
          <w:szCs w:val="32"/>
        </w:rPr>
        <w:t>0</w:t>
      </w:r>
      <w:r>
        <w:rPr>
          <w:rFonts w:ascii="方正仿宋简体" w:hAnsi="仿宋" w:eastAsia="方正仿宋简体"/>
          <w:sz w:val="32"/>
          <w:szCs w:val="32"/>
        </w:rPr>
        <w:t>万元、政府采购服务支出</w:t>
      </w:r>
      <w:r>
        <w:rPr>
          <w:rFonts w:hint="eastAsia" w:ascii="方正仿宋简体" w:hAnsi="仿宋" w:eastAsia="方正仿宋简体"/>
          <w:sz w:val="32"/>
          <w:szCs w:val="32"/>
        </w:rPr>
        <w:t>0</w:t>
      </w:r>
      <w:r>
        <w:rPr>
          <w:rFonts w:ascii="方正仿宋简体" w:hAnsi="仿宋" w:eastAsia="方正仿宋简体"/>
          <w:sz w:val="32"/>
          <w:szCs w:val="32"/>
        </w:rPr>
        <w:t>万元。主要用于</w:t>
      </w:r>
      <w:r>
        <w:rPr>
          <w:rFonts w:hint="eastAsia" w:ascii="方正仿宋简体" w:hAnsi="仿宋" w:eastAsia="方正仿宋简体"/>
          <w:sz w:val="32"/>
          <w:szCs w:val="32"/>
        </w:rPr>
        <w:t>购买办公室用电脑2台。</w:t>
      </w:r>
      <w:r>
        <w:rPr>
          <w:rFonts w:ascii="方正仿宋简体" w:hAnsi="仿宋" w:eastAsia="方正仿宋简体"/>
          <w:sz w:val="32"/>
          <w:szCs w:val="32"/>
        </w:rPr>
        <w:t>。授予中小企业合同金额</w:t>
      </w:r>
      <w:r>
        <w:rPr>
          <w:rFonts w:hint="eastAsia" w:ascii="方正仿宋简体" w:hAnsi="仿宋" w:eastAsia="方正仿宋简体"/>
          <w:sz w:val="32"/>
          <w:szCs w:val="32"/>
        </w:rPr>
        <w:t>0.99</w:t>
      </w:r>
      <w:r>
        <w:rPr>
          <w:rFonts w:ascii="方正仿宋简体" w:hAnsi="仿宋" w:eastAsia="方正仿宋简体"/>
          <w:sz w:val="32"/>
          <w:szCs w:val="32"/>
        </w:rPr>
        <w:t>万元，占政府采购支出总额的</w:t>
      </w:r>
      <w:r>
        <w:rPr>
          <w:rFonts w:hint="eastAsia" w:ascii="方正仿宋简体" w:hAnsi="仿宋" w:eastAsia="方正仿宋简体"/>
          <w:sz w:val="32"/>
          <w:szCs w:val="32"/>
        </w:rPr>
        <w:t>100</w:t>
      </w:r>
      <w:r>
        <w:rPr>
          <w:rFonts w:ascii="方正仿宋简体" w:hAnsi="仿宋" w:eastAsia="方正仿宋简体"/>
          <w:sz w:val="32"/>
          <w:szCs w:val="32"/>
        </w:rPr>
        <w:t>%，其中：授予小微企业合同金额</w:t>
      </w:r>
      <w:r>
        <w:rPr>
          <w:rFonts w:hint="eastAsia" w:ascii="方正仿宋简体" w:hAnsi="仿宋" w:eastAsia="方正仿宋简体"/>
          <w:sz w:val="32"/>
          <w:szCs w:val="32"/>
        </w:rPr>
        <w:t>0.99</w:t>
      </w:r>
      <w:r>
        <w:rPr>
          <w:rFonts w:ascii="方正仿宋简体" w:hAnsi="仿宋" w:eastAsia="方正仿宋简体"/>
          <w:sz w:val="32"/>
          <w:szCs w:val="32"/>
        </w:rPr>
        <w:t>万元，占政府采购支出总额的</w:t>
      </w:r>
      <w:r>
        <w:rPr>
          <w:rFonts w:hint="eastAsia" w:ascii="方正仿宋简体" w:hAnsi="仿宋" w:eastAsia="方正仿宋简体"/>
          <w:sz w:val="32"/>
          <w:szCs w:val="32"/>
        </w:rPr>
        <w:t>100</w:t>
      </w:r>
      <w:r>
        <w:rPr>
          <w:rFonts w:ascii="方正仿宋简体" w:hAnsi="仿宋" w:eastAsia="方正仿宋简体"/>
          <w:sz w:val="32"/>
          <w:szCs w:val="32"/>
        </w:rPr>
        <w:t>%。</w:t>
      </w:r>
    </w:p>
    <w:p>
      <w:pPr>
        <w:autoSpaceDE w:val="0"/>
        <w:autoSpaceDN w:val="0"/>
        <w:adjustRightInd w:val="0"/>
        <w:spacing w:line="600" w:lineRule="exact"/>
        <w:ind w:firstLine="643" w:firstLineChars="200"/>
        <w:jc w:val="left"/>
        <w:outlineLvl w:val="2"/>
        <w:rPr>
          <w:rFonts w:hint="eastAsia" w:ascii="方正仿宋简体" w:hAnsi="仿宋" w:eastAsia="方正仿宋简体"/>
          <w:b/>
          <w:color w:val="000000"/>
          <w:sz w:val="32"/>
          <w:szCs w:val="32"/>
        </w:rPr>
      </w:pPr>
      <w:bookmarkStart w:id="148" w:name="_Toc15377224"/>
      <w:bookmarkStart w:id="149" w:name="_Toc113285271"/>
      <w:bookmarkStart w:id="150" w:name="_Toc113351095"/>
      <w:bookmarkStart w:id="151" w:name="_Toc113351513"/>
      <w:bookmarkStart w:id="152" w:name="_Toc31804"/>
      <w:bookmarkStart w:id="153" w:name="_Toc30212"/>
      <w:r>
        <w:rPr>
          <w:rFonts w:hint="eastAsia" w:ascii="方正仿宋简体" w:hAnsi="仿宋" w:eastAsia="方正仿宋简体"/>
          <w:b/>
          <w:color w:val="000000"/>
          <w:sz w:val="32"/>
          <w:szCs w:val="32"/>
        </w:rPr>
        <w:t>（三）国有资产占有使用情况</w:t>
      </w:r>
      <w:bookmarkEnd w:id="148"/>
      <w:bookmarkEnd w:id="149"/>
      <w:bookmarkEnd w:id="150"/>
      <w:bookmarkEnd w:id="151"/>
      <w:bookmarkEnd w:id="152"/>
      <w:bookmarkEnd w:id="153"/>
    </w:p>
    <w:p>
      <w:pPr>
        <w:spacing w:line="600" w:lineRule="exact"/>
        <w:ind w:firstLine="640" w:firstLineChars="200"/>
        <w:rPr>
          <w:rFonts w:hint="eastAsia" w:ascii="方正仿宋简体" w:hAnsi="仿宋" w:eastAsia="方正仿宋简体"/>
          <w:sz w:val="32"/>
          <w:szCs w:val="32"/>
        </w:rPr>
      </w:pPr>
      <w:r>
        <w:rPr>
          <w:rFonts w:ascii="方正仿宋简体" w:hAnsi="仿宋" w:eastAsia="方正仿宋简体"/>
          <w:sz w:val="32"/>
          <w:szCs w:val="32"/>
        </w:rPr>
        <w:t>截至</w:t>
      </w:r>
      <w:r>
        <w:rPr>
          <w:rFonts w:hint="eastAsia" w:ascii="方正仿宋简体" w:hAnsi="仿宋" w:eastAsia="方正仿宋简体"/>
          <w:sz w:val="32"/>
          <w:szCs w:val="32"/>
        </w:rPr>
        <w:t>2021年</w:t>
      </w:r>
      <w:r>
        <w:rPr>
          <w:rFonts w:ascii="方正仿宋简体" w:hAnsi="仿宋" w:eastAsia="方正仿宋简体"/>
          <w:sz w:val="32"/>
          <w:szCs w:val="32"/>
        </w:rPr>
        <w:t>12月31日，</w:t>
      </w:r>
      <w:r>
        <w:rPr>
          <w:rFonts w:hint="eastAsia" w:ascii="方正仿宋简体" w:hAnsi="仿宋" w:eastAsia="方正仿宋简体"/>
          <w:sz w:val="32"/>
          <w:szCs w:val="32"/>
        </w:rPr>
        <w:t>雁江区科协</w:t>
      </w:r>
      <w:r>
        <w:rPr>
          <w:rFonts w:ascii="方正仿宋简体" w:hAnsi="仿宋" w:eastAsia="方正仿宋简体"/>
          <w:sz w:val="32"/>
          <w:szCs w:val="32"/>
        </w:rPr>
        <w:t>共有车辆</w:t>
      </w:r>
      <w:r>
        <w:rPr>
          <w:rFonts w:hint="eastAsia" w:ascii="方正仿宋简体" w:hAnsi="仿宋" w:eastAsia="方正仿宋简体"/>
          <w:sz w:val="32"/>
          <w:szCs w:val="32"/>
        </w:rPr>
        <w:t>0</w:t>
      </w:r>
      <w:r>
        <w:rPr>
          <w:rFonts w:ascii="方正仿宋简体" w:hAnsi="仿宋" w:eastAsia="方正仿宋简体"/>
          <w:sz w:val="32"/>
          <w:szCs w:val="32"/>
        </w:rPr>
        <w:t>辆，其中：主要领导干部用车</w:t>
      </w:r>
      <w:r>
        <w:rPr>
          <w:rFonts w:hint="eastAsia" w:ascii="方正仿宋简体" w:hAnsi="仿宋" w:eastAsia="方正仿宋简体"/>
          <w:sz w:val="32"/>
          <w:szCs w:val="32"/>
        </w:rPr>
        <w:t>0</w:t>
      </w:r>
      <w:r>
        <w:rPr>
          <w:rFonts w:ascii="方正仿宋简体" w:hAnsi="仿宋" w:eastAsia="方正仿宋简体"/>
          <w:sz w:val="32"/>
          <w:szCs w:val="32"/>
        </w:rPr>
        <w:t>辆、机要通信用车</w:t>
      </w:r>
      <w:r>
        <w:rPr>
          <w:rFonts w:hint="eastAsia" w:ascii="方正仿宋简体" w:hAnsi="仿宋" w:eastAsia="方正仿宋简体"/>
          <w:sz w:val="32"/>
          <w:szCs w:val="32"/>
        </w:rPr>
        <w:t>0</w:t>
      </w:r>
      <w:r>
        <w:rPr>
          <w:rFonts w:ascii="方正仿宋简体" w:hAnsi="仿宋" w:eastAsia="方正仿宋简体"/>
          <w:sz w:val="32"/>
          <w:szCs w:val="32"/>
        </w:rPr>
        <w:t>辆、应急保障用车</w:t>
      </w:r>
      <w:r>
        <w:rPr>
          <w:rFonts w:hint="eastAsia" w:ascii="方正仿宋简体" w:hAnsi="仿宋" w:eastAsia="方正仿宋简体"/>
          <w:sz w:val="32"/>
          <w:szCs w:val="32"/>
        </w:rPr>
        <w:t>0</w:t>
      </w:r>
      <w:r>
        <w:rPr>
          <w:rFonts w:ascii="方正仿宋简体" w:hAnsi="仿宋" w:eastAsia="方正仿宋简体"/>
          <w:sz w:val="32"/>
          <w:szCs w:val="32"/>
        </w:rPr>
        <w:t>辆、执法执勤用车</w:t>
      </w:r>
      <w:r>
        <w:rPr>
          <w:rFonts w:hint="eastAsia" w:ascii="方正仿宋简体" w:hAnsi="仿宋" w:eastAsia="方正仿宋简体"/>
          <w:sz w:val="32"/>
          <w:szCs w:val="32"/>
        </w:rPr>
        <w:t>0</w:t>
      </w:r>
      <w:r>
        <w:rPr>
          <w:rFonts w:ascii="方正仿宋简体" w:hAnsi="仿宋" w:eastAsia="方正仿宋简体"/>
          <w:sz w:val="32"/>
          <w:szCs w:val="32"/>
        </w:rPr>
        <w:t>辆、特种专业技术用车</w:t>
      </w:r>
      <w:r>
        <w:rPr>
          <w:rFonts w:hint="eastAsia" w:ascii="方正仿宋简体" w:hAnsi="仿宋" w:eastAsia="方正仿宋简体"/>
          <w:sz w:val="32"/>
          <w:szCs w:val="32"/>
        </w:rPr>
        <w:t>0</w:t>
      </w:r>
      <w:r>
        <w:rPr>
          <w:rFonts w:ascii="方正仿宋简体" w:hAnsi="仿宋" w:eastAsia="方正仿宋简体"/>
          <w:sz w:val="32"/>
          <w:szCs w:val="32"/>
        </w:rPr>
        <w:t>辆、其他用车</w:t>
      </w:r>
      <w:r>
        <w:rPr>
          <w:rFonts w:hint="eastAsia" w:ascii="方正仿宋简体" w:hAnsi="仿宋" w:eastAsia="方正仿宋简体"/>
          <w:sz w:val="32"/>
          <w:szCs w:val="32"/>
        </w:rPr>
        <w:t>0</w:t>
      </w:r>
      <w:r>
        <w:rPr>
          <w:rFonts w:ascii="方正仿宋简体" w:hAnsi="仿宋" w:eastAsia="方正仿宋简体"/>
          <w:sz w:val="32"/>
          <w:szCs w:val="32"/>
        </w:rPr>
        <w:t>辆。</w:t>
      </w:r>
    </w:p>
    <w:p>
      <w:pPr>
        <w:spacing w:line="600" w:lineRule="exact"/>
        <w:ind w:firstLine="640" w:firstLineChars="200"/>
        <w:rPr>
          <w:rFonts w:hint="eastAsia" w:ascii="方正仿宋简体" w:hAnsi="仿宋" w:eastAsia="方正仿宋简体"/>
          <w:sz w:val="32"/>
          <w:szCs w:val="32"/>
        </w:rPr>
      </w:pPr>
      <w:r>
        <w:rPr>
          <w:rFonts w:ascii="方正仿宋简体" w:hAnsi="仿宋" w:eastAsia="方正仿宋简体"/>
          <w:sz w:val="32"/>
          <w:szCs w:val="32"/>
        </w:rPr>
        <w:t>单价50万元以上通用设备</w:t>
      </w:r>
      <w:r>
        <w:rPr>
          <w:rFonts w:hint="eastAsia" w:ascii="方正仿宋简体" w:hAnsi="仿宋" w:eastAsia="方正仿宋简体"/>
          <w:sz w:val="32"/>
          <w:szCs w:val="32"/>
        </w:rPr>
        <w:t>0</w:t>
      </w:r>
      <w:r>
        <w:rPr>
          <w:rFonts w:ascii="方正仿宋简体" w:hAnsi="仿宋" w:eastAsia="方正仿宋简体"/>
          <w:sz w:val="32"/>
          <w:szCs w:val="32"/>
        </w:rPr>
        <w:t>台（套），单价100万元以上专用设备</w:t>
      </w:r>
      <w:r>
        <w:rPr>
          <w:rFonts w:hint="eastAsia" w:ascii="方正仿宋简体" w:hAnsi="仿宋" w:eastAsia="方正仿宋简体"/>
          <w:sz w:val="32"/>
          <w:szCs w:val="32"/>
        </w:rPr>
        <w:t>0</w:t>
      </w:r>
      <w:r>
        <w:rPr>
          <w:rFonts w:ascii="方正仿宋简体" w:hAnsi="仿宋" w:eastAsia="方正仿宋简体"/>
          <w:sz w:val="32"/>
          <w:szCs w:val="32"/>
        </w:rPr>
        <w:t>台（套）。</w:t>
      </w:r>
    </w:p>
    <w:p>
      <w:pPr>
        <w:spacing w:line="580" w:lineRule="exact"/>
        <w:ind w:firstLine="472" w:firstLineChars="147"/>
        <w:outlineLvl w:val="2"/>
        <w:rPr>
          <w:rFonts w:hint="eastAsia" w:ascii="方正仿宋简体" w:hAnsi="仿宋" w:eastAsia="方正仿宋简体"/>
          <w:b/>
          <w:color w:val="000000"/>
          <w:sz w:val="32"/>
          <w:szCs w:val="32"/>
        </w:rPr>
      </w:pPr>
      <w:bookmarkStart w:id="154" w:name="_Toc13886"/>
      <w:r>
        <w:rPr>
          <w:rFonts w:hint="eastAsia" w:ascii="方正仿宋简体" w:hAnsi="仿宋" w:eastAsia="方正仿宋简体"/>
          <w:b/>
          <w:color w:val="000000"/>
          <w:sz w:val="32"/>
          <w:szCs w:val="32"/>
        </w:rPr>
        <w:t>（四）预算绩效管理工作开展情况。</w:t>
      </w:r>
      <w:bookmarkEnd w:id="154"/>
    </w:p>
    <w:p>
      <w:pPr>
        <w:spacing w:line="600" w:lineRule="exact"/>
        <w:ind w:firstLine="640" w:firstLineChars="200"/>
        <w:rPr>
          <w:rFonts w:ascii="仿宋_GB2312" w:hAnsi="仿宋" w:eastAsia="仿宋_GB2312"/>
          <w:sz w:val="32"/>
          <w:szCs w:val="32"/>
        </w:rPr>
      </w:pPr>
      <w:r>
        <w:rPr>
          <w:rFonts w:ascii="方正仿宋简体" w:hAnsi="仿宋" w:eastAsia="方正仿宋简体"/>
          <w:sz w:val="32"/>
          <w:szCs w:val="32"/>
        </w:rPr>
        <w:t>根据预算绩效管理要求，本</w:t>
      </w:r>
      <w:r>
        <w:rPr>
          <w:rFonts w:hint="eastAsia" w:ascii="方正仿宋简体" w:hAnsi="仿宋" w:eastAsia="方正仿宋简体"/>
          <w:sz w:val="32"/>
          <w:szCs w:val="32"/>
        </w:rPr>
        <w:t>部门在2021年度预算编制阶段，</w:t>
      </w:r>
      <w:r>
        <w:rPr>
          <w:rFonts w:ascii="方正仿宋简体" w:hAnsi="仿宋" w:eastAsia="方正仿宋简体"/>
          <w:sz w:val="32"/>
          <w:szCs w:val="32"/>
        </w:rPr>
        <w:t>组织对</w:t>
      </w:r>
      <w:r>
        <w:rPr>
          <w:rFonts w:hint="eastAsia" w:ascii="方正仿宋简体" w:hAnsi="仿宋" w:eastAsia="方正仿宋简体"/>
          <w:sz w:val="32"/>
          <w:szCs w:val="32"/>
        </w:rPr>
        <w:t>本部门对2021年部门整体开展绩效自评，《雁江区科协2021年部门整体支出绩效评价报告》见附件（第四部分）。本部门无达到事前绩效评估条件项目，因此未组织开展项目事前绩效评估；无专项预算项目，因此未组织开展项目支出绩效评价。</w:t>
      </w:r>
      <w:r>
        <w:rPr>
          <w:rFonts w:ascii="仿宋_GB2312" w:hAnsi="仿宋" w:eastAsia="仿宋_GB2312"/>
          <w:sz w:val="32"/>
          <w:szCs w:val="32"/>
        </w:rPr>
        <w:br w:type="page"/>
      </w:r>
    </w:p>
    <w:p>
      <w:pPr>
        <w:spacing w:line="600" w:lineRule="exact"/>
        <w:ind w:left="663"/>
        <w:jc w:val="center"/>
        <w:outlineLvl w:val="0"/>
        <w:rPr>
          <w:rFonts w:hint="eastAsia" w:ascii="方正黑体简体" w:eastAsia="方正黑体简体"/>
          <w:b/>
          <w:bCs/>
          <w:color w:val="000000"/>
          <w:sz w:val="44"/>
          <w:szCs w:val="44"/>
        </w:rPr>
      </w:pPr>
      <w:bookmarkStart w:id="155" w:name="_Toc15377225"/>
      <w:bookmarkStart w:id="156" w:name="_Toc17103565"/>
      <w:bookmarkStart w:id="157" w:name="_Toc113285272"/>
      <w:bookmarkStart w:id="158" w:name="_Toc113351096"/>
      <w:bookmarkStart w:id="159" w:name="_Toc113351514"/>
      <w:bookmarkStart w:id="160" w:name="_Toc10463"/>
      <w:bookmarkStart w:id="161" w:name="_Toc32670"/>
      <w:r>
        <w:rPr>
          <w:rFonts w:hint="eastAsia" w:ascii="方正黑体简体" w:hAnsi="黑体" w:eastAsia="方正黑体简体"/>
          <w:color w:val="000000"/>
          <w:sz w:val="44"/>
          <w:szCs w:val="44"/>
        </w:rPr>
        <w:t>第三部分 名</w:t>
      </w:r>
      <w:r>
        <w:rPr>
          <w:rFonts w:hint="eastAsia" w:ascii="方正黑体简体" w:eastAsia="方正黑体简体"/>
          <w:bCs/>
          <w:color w:val="000000"/>
          <w:sz w:val="44"/>
          <w:szCs w:val="44"/>
        </w:rPr>
        <w:t>词解释</w:t>
      </w:r>
      <w:bookmarkEnd w:id="155"/>
      <w:bookmarkEnd w:id="156"/>
      <w:bookmarkEnd w:id="157"/>
      <w:bookmarkEnd w:id="158"/>
      <w:bookmarkEnd w:id="159"/>
      <w:bookmarkEnd w:id="160"/>
      <w:bookmarkEnd w:id="161"/>
    </w:p>
    <w:p>
      <w:pPr>
        <w:spacing w:line="600" w:lineRule="exact"/>
        <w:jc w:val="left"/>
        <w:rPr>
          <w:rFonts w:ascii="宋体"/>
          <w:b/>
          <w:color w:val="000000"/>
          <w:sz w:val="44"/>
          <w:szCs w:val="44"/>
        </w:rPr>
      </w:pP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1.财政拨款收入：指单位从同级财政部门取得的财政预算资金。</w:t>
      </w:r>
    </w:p>
    <w:p>
      <w:pPr>
        <w:snapToGrid w:val="0"/>
        <w:spacing w:line="560" w:lineRule="exact"/>
        <w:ind w:firstLine="640" w:firstLineChars="200"/>
        <w:rPr>
          <w:rFonts w:ascii="方正仿宋简体" w:hAnsi="仿宋" w:eastAsia="方正仿宋简体"/>
          <w:sz w:val="32"/>
          <w:szCs w:val="32"/>
        </w:rPr>
      </w:pPr>
      <w:r>
        <w:rPr>
          <w:rFonts w:ascii="方正仿宋简体" w:hAnsi="仿宋" w:eastAsia="方正仿宋简体"/>
          <w:sz w:val="32"/>
          <w:szCs w:val="32"/>
        </w:rPr>
        <w:t>2.</w:t>
      </w:r>
      <w:r>
        <w:rPr>
          <w:rFonts w:hint="eastAsia" w:ascii="方正仿宋简体" w:hAnsi="仿宋" w:eastAsia="方正仿宋简体"/>
          <w:sz w:val="32"/>
          <w:szCs w:val="32"/>
        </w:rPr>
        <w:t>事业收入：指事业单位开展专业业务活动及辅助活动取得的收入。如…（二级预算单位事业收入情况）等。</w:t>
      </w:r>
    </w:p>
    <w:p>
      <w:pPr>
        <w:snapToGrid w:val="0"/>
        <w:spacing w:line="560" w:lineRule="exact"/>
        <w:ind w:firstLine="640" w:firstLineChars="200"/>
        <w:rPr>
          <w:rFonts w:ascii="方正仿宋简体" w:hAnsi="仿宋" w:eastAsia="方正仿宋简体"/>
          <w:sz w:val="32"/>
          <w:szCs w:val="32"/>
        </w:rPr>
      </w:pPr>
      <w:r>
        <w:rPr>
          <w:rFonts w:ascii="方正仿宋简体" w:hAnsi="仿宋" w:eastAsia="方正仿宋简体"/>
          <w:sz w:val="32"/>
          <w:szCs w:val="32"/>
        </w:rPr>
        <w:t>3.</w:t>
      </w:r>
      <w:r>
        <w:rPr>
          <w:rFonts w:hint="eastAsia" w:ascii="方正仿宋简体" w:hAnsi="仿宋" w:eastAsia="方正仿宋简体"/>
          <w:sz w:val="32"/>
          <w:szCs w:val="32"/>
        </w:rPr>
        <w:t>经营收入：指事业单位在专业业务活动及其辅助活动之外开展非独立核算经营活动取得的收入。如…（二级预算单位经营收入情况）等。</w:t>
      </w:r>
    </w:p>
    <w:p>
      <w:pPr>
        <w:snapToGrid w:val="0"/>
        <w:spacing w:line="560" w:lineRule="exact"/>
        <w:ind w:firstLine="640" w:firstLineChars="200"/>
        <w:rPr>
          <w:rFonts w:ascii="方正仿宋简体" w:hAnsi="仿宋" w:eastAsia="方正仿宋简体"/>
          <w:sz w:val="32"/>
          <w:szCs w:val="32"/>
        </w:rPr>
      </w:pPr>
      <w:r>
        <w:rPr>
          <w:rFonts w:ascii="方正仿宋简体" w:hAnsi="仿宋" w:eastAsia="方正仿宋简体"/>
          <w:sz w:val="32"/>
          <w:szCs w:val="32"/>
        </w:rPr>
        <w:t>4.</w:t>
      </w:r>
      <w:r>
        <w:rPr>
          <w:rFonts w:hint="eastAsia" w:ascii="方正仿宋简体" w:hAnsi="仿宋" w:eastAsia="方正仿宋简体"/>
          <w:sz w:val="32"/>
          <w:szCs w:val="32"/>
        </w:rPr>
        <w:t>其他收入：指单位取得的除上述收入以外的各项收入。主要是…（收入类型）等。</w:t>
      </w:r>
      <w:r>
        <w:rPr>
          <w:rFonts w:ascii="方正仿宋简体" w:hAnsi="仿宋" w:eastAsia="方正仿宋简体"/>
          <w:sz w:val="32"/>
          <w:szCs w:val="32"/>
        </w:rPr>
        <w:t xml:space="preserve"> </w:t>
      </w:r>
    </w:p>
    <w:p>
      <w:pPr>
        <w:snapToGrid w:val="0"/>
        <w:spacing w:line="560" w:lineRule="exact"/>
        <w:ind w:firstLine="640" w:firstLineChars="200"/>
        <w:rPr>
          <w:rFonts w:ascii="方正仿宋简体" w:hAnsi="仿宋" w:eastAsia="方正仿宋简体"/>
          <w:sz w:val="32"/>
          <w:szCs w:val="32"/>
        </w:rPr>
      </w:pPr>
      <w:r>
        <w:rPr>
          <w:rFonts w:ascii="方正仿宋简体" w:hAnsi="仿宋" w:eastAsia="方正仿宋简体"/>
          <w:sz w:val="32"/>
          <w:szCs w:val="32"/>
        </w:rPr>
        <w:t>5.</w:t>
      </w:r>
      <w:r>
        <w:rPr>
          <w:rFonts w:hint="eastAsia" w:ascii="方正仿宋简体" w:hAnsi="仿宋" w:eastAsia="方正仿宋简体"/>
          <w:sz w:val="32"/>
          <w:szCs w:val="32"/>
        </w:rPr>
        <w:t>使用非财政拨款结余：指事业单位使用以前年度积累的非财政拨款结余弥补当年收支差额的金额。</w:t>
      </w:r>
      <w:r>
        <w:rPr>
          <w:rFonts w:ascii="方正仿宋简体" w:hAnsi="仿宋" w:eastAsia="方正仿宋简体"/>
          <w:sz w:val="32"/>
          <w:szCs w:val="32"/>
        </w:rPr>
        <w:t xml:space="preserve"> </w:t>
      </w:r>
    </w:p>
    <w:p>
      <w:pPr>
        <w:snapToGrid w:val="0"/>
        <w:spacing w:line="560" w:lineRule="exact"/>
        <w:ind w:firstLine="640" w:firstLineChars="200"/>
        <w:rPr>
          <w:rFonts w:ascii="方正仿宋简体" w:hAnsi="仿宋" w:eastAsia="方正仿宋简体"/>
          <w:sz w:val="32"/>
          <w:szCs w:val="32"/>
        </w:rPr>
      </w:pPr>
      <w:r>
        <w:rPr>
          <w:rFonts w:ascii="方正仿宋简体" w:hAnsi="仿宋" w:eastAsia="方正仿宋简体"/>
          <w:sz w:val="32"/>
          <w:szCs w:val="32"/>
        </w:rPr>
        <w:t>6.</w:t>
      </w:r>
      <w:r>
        <w:rPr>
          <w:rFonts w:hint="eastAsia" w:ascii="方正仿宋简体" w:hAnsi="仿宋" w:eastAsia="方正仿宋简体"/>
          <w:sz w:val="32"/>
          <w:szCs w:val="32"/>
        </w:rPr>
        <w:t>年初结转和结余：指以前年度尚未完成、结转到本年按有关规定继续使用的资金。</w:t>
      </w:r>
      <w:r>
        <w:rPr>
          <w:rFonts w:ascii="方正仿宋简体" w:hAnsi="仿宋" w:eastAsia="方正仿宋简体"/>
          <w:sz w:val="32"/>
          <w:szCs w:val="32"/>
        </w:rPr>
        <w:t xml:space="preserve"> </w:t>
      </w:r>
    </w:p>
    <w:p>
      <w:pPr>
        <w:snapToGrid w:val="0"/>
        <w:spacing w:line="560" w:lineRule="exact"/>
        <w:ind w:firstLine="640" w:firstLineChars="200"/>
        <w:rPr>
          <w:rFonts w:ascii="方正仿宋简体" w:hAnsi="仿宋" w:eastAsia="方正仿宋简体"/>
          <w:sz w:val="32"/>
          <w:szCs w:val="32"/>
        </w:rPr>
      </w:pPr>
      <w:r>
        <w:rPr>
          <w:rFonts w:ascii="方正仿宋简体" w:hAnsi="仿宋" w:eastAsia="方正仿宋简体"/>
          <w:sz w:val="32"/>
          <w:szCs w:val="32"/>
        </w:rPr>
        <w:t>7.</w:t>
      </w:r>
      <w:r>
        <w:rPr>
          <w:rFonts w:hint="eastAsia" w:ascii="方正仿宋简体" w:hAnsi="仿宋" w:eastAsia="方正仿宋简体"/>
          <w:sz w:val="32"/>
          <w:szCs w:val="32"/>
        </w:rPr>
        <w:t>结余分配：指事业单位按照会计制度规定缴纳的所得税、提取的专用结余以及转入非财政拨款结余的金额等。</w:t>
      </w:r>
    </w:p>
    <w:p>
      <w:pPr>
        <w:snapToGrid w:val="0"/>
        <w:spacing w:line="560" w:lineRule="exact"/>
        <w:ind w:firstLine="640" w:firstLineChars="200"/>
        <w:rPr>
          <w:rFonts w:ascii="方正仿宋简体" w:hAnsi="仿宋" w:eastAsia="方正仿宋简体"/>
          <w:sz w:val="32"/>
          <w:szCs w:val="32"/>
        </w:rPr>
      </w:pPr>
      <w:r>
        <w:rPr>
          <w:rFonts w:ascii="方正仿宋简体" w:hAnsi="仿宋" w:eastAsia="方正仿宋简体"/>
          <w:sz w:val="32"/>
          <w:szCs w:val="32"/>
        </w:rPr>
        <w:t>8</w:t>
      </w:r>
      <w:r>
        <w:rPr>
          <w:rFonts w:hint="eastAsia" w:ascii="方正仿宋简体" w:hAnsi="仿宋" w:eastAsia="方正仿宋简体"/>
          <w:sz w:val="32"/>
          <w:szCs w:val="32"/>
        </w:rPr>
        <w:t>.年末结转和结余：指单位按有关规定结转到下年或以后年度继续使用的资金。</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9.206类科学技术支出2060701款机构运行：指区科协是用于保障区科协机关机构正常运转的日常支出，包括基本工资、津贴补贴、奖金、养老保险缴费、奖励金等人员经费以及办公费、印刷费、水电费、办公设备购置、其他交通费用等日常公用经费。</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10.206类科学技术支出2060702款科普活动：指区科协用于完成全区科学技术普及、开展科普宣传活动、科技实验、科技示范、科普惠农兴村、社区益民计划等工作任务而使用的本级财政拨入的项目经费支出。</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11.206类科学技术支出2060702款校园科技馆：指雁江区科协用于拨付雁江区三贤九义校校园科技馆支付临聘人员工资、五险及运行、维护、管理的经费支出。</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12.206类科学技术支出2060799其他科学技术普及支出：指区科协用于开展中央、省科协基层科普行动计划、社区益民计划先进集体、先进个人奖励补助、科普示范能力建设、完善科普基础设施等工作而使用的中科协、省科协拨入的项目经费支出。</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13.206类科学技术支出2060799其他科学技术普及支出临聘人员工作经费支出：指雁江区科协用于支付单位临聘人员工资、五险等的经费支出。</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14.210卫生健康支出。2101101行政单位医疗指单位为机关职工缴纳的医疗保险缴费支出。</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15.210卫生健康支出。2101103公务员医疗补助指为单位职工缴纳的公务员医疗补助支出。</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16.208类社会保障和就业支出。2080501款</w:t>
      </w:r>
      <w:r>
        <w:rPr>
          <w:rFonts w:hint="eastAsia" w:ascii="方正仿宋简体" w:hAnsi="仿宋" w:eastAsia="方正仿宋简体"/>
          <w:sz w:val="32"/>
          <w:szCs w:val="32"/>
          <w:lang w:eastAsia="zh-CN"/>
        </w:rPr>
        <w:t>归口管理</w:t>
      </w:r>
      <w:r>
        <w:rPr>
          <w:rFonts w:hint="eastAsia" w:ascii="方正仿宋简体" w:hAnsi="仿宋" w:eastAsia="方正仿宋简体"/>
          <w:sz w:val="32"/>
          <w:szCs w:val="32"/>
        </w:rPr>
        <w:t>的行政事业单位离退休人员经费，指区科协用于退休人员生活补助方面的支出。</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17.208类社会保障和就业支出2080505款机关事业单位基本养老保险缴费支出：指区科协用于单位职工缴纳养老保险方面的支出。</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18.208类社会保障和就业支出2080506款机关事业单位职业年金缴费支出指区科协用于单位职工缴纳职业年金缴费方面的支出。</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19.208类社会保障和就业支出20899001款其他社会保障和就业支出指区科协用于单位职工缴纳工伤、生育保险方面的支出。</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20.221类住房保障支出2210201款住房公积金：指雁江区科协用于缴纳职工住房公积金的支出。</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21.基本支出：指为保障是用于保障雁江区科协机关机构正常运转、完成日常工作任务而发生的人员支出和公用支出，包括基本工资、津贴补贴、奖金、养老保险缴费、奖励金等人员经费以及办公费、印刷费、水电费、工会经费、福利费、办公设备购置、公务用车改革车贴等日常公用经费。</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22.项目支出：是用于保障区科协机关为完成全区科学技术普及、开展科普活动和中央、省、市科协安排部署的科普惠农兴村、社区益民计划及基层科普行动计划先进集体、个人奖励补助工作、加强科普示范能力建设、完善科普基础设施建设、开展雁江区三贤九义校校园科技馆运行、维护管理（包括3名临聘人员工资、五险及校园科技馆水费、电费、维修费等）支出、单位临聘人员工资、五险及补助等经费支出。</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23.“三公”经费：指区科协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24.机关运行经费：为保障科协机关</w:t>
      </w:r>
      <w:r>
        <w:rPr>
          <w:rFonts w:hint="eastAsia" w:ascii="方正仿宋简体" w:hAnsi="仿宋" w:eastAsia="方正仿宋简体"/>
          <w:sz w:val="32"/>
          <w:szCs w:val="32"/>
          <w:lang w:eastAsia="zh-CN"/>
        </w:rPr>
        <w:t>运行</w:t>
      </w:r>
      <w:r>
        <w:rPr>
          <w:rFonts w:hint="eastAsia" w:ascii="方正仿宋简体" w:hAnsi="仿宋" w:eastAsia="方正仿宋简体"/>
          <w:sz w:val="32"/>
          <w:szCs w:val="32"/>
        </w:rPr>
        <w:t>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napToGrid w:val="0"/>
        <w:spacing w:line="560" w:lineRule="exact"/>
        <w:jc w:val="center"/>
        <w:outlineLvl w:val="0"/>
        <w:rPr>
          <w:rStyle w:val="29"/>
          <w:rFonts w:hint="eastAsia" w:ascii="方正黑体简体" w:hAnsi="黑体" w:eastAsia="方正黑体简体"/>
          <w:b w:val="0"/>
        </w:rPr>
      </w:pPr>
      <w:r>
        <w:rPr>
          <w:rFonts w:ascii="仿宋_GB2312" w:hAnsi="仿宋" w:eastAsia="仿宋_GB2312"/>
          <w:sz w:val="32"/>
          <w:szCs w:val="32"/>
        </w:rPr>
        <w:br w:type="page"/>
      </w:r>
      <w:bookmarkStart w:id="162" w:name="_Toc17103566"/>
      <w:bookmarkStart w:id="163" w:name="_Toc32448"/>
      <w:r>
        <w:rPr>
          <w:rFonts w:hint="eastAsia" w:ascii="方正黑体简体" w:hAnsi="黑体" w:eastAsia="方正黑体简体"/>
          <w:color w:val="000000"/>
          <w:sz w:val="44"/>
          <w:szCs w:val="44"/>
        </w:rPr>
        <w:t>第</w:t>
      </w:r>
      <w:r>
        <w:rPr>
          <w:rStyle w:val="29"/>
          <w:rFonts w:hint="eastAsia" w:ascii="方正黑体简体" w:hAnsi="黑体" w:eastAsia="方正黑体简体"/>
          <w:b w:val="0"/>
        </w:rPr>
        <w:t>四部分 附件</w:t>
      </w:r>
      <w:bookmarkEnd w:id="162"/>
      <w:bookmarkEnd w:id="163"/>
      <w:bookmarkStart w:id="164" w:name="_Toc17103567"/>
    </w:p>
    <w:p>
      <w:pPr>
        <w:spacing w:line="620" w:lineRule="exact"/>
        <w:jc w:val="center"/>
        <w:rPr>
          <w:rFonts w:hint="eastAsia" w:ascii="方正小标宋简体" w:hAnsi="方正小标宋简体" w:eastAsia="方正小标宋简体" w:cs="方正小标宋简体"/>
          <w:color w:val="000000"/>
          <w:spacing w:val="-20"/>
          <w:kern w:val="0"/>
          <w:sz w:val="44"/>
          <w:szCs w:val="44"/>
        </w:rPr>
      </w:pPr>
    </w:p>
    <w:p>
      <w:pPr>
        <w:spacing w:line="620" w:lineRule="exact"/>
        <w:jc w:val="center"/>
        <w:outlineLvl w:val="1"/>
        <w:rPr>
          <w:rFonts w:ascii="方正小标宋简体" w:hAnsi="方正小标宋简体" w:eastAsia="方正小标宋简体" w:cs="方正小标宋简体"/>
          <w:color w:val="000000"/>
          <w:spacing w:val="-20"/>
          <w:kern w:val="0"/>
          <w:sz w:val="44"/>
          <w:szCs w:val="44"/>
        </w:rPr>
      </w:pPr>
      <w:bookmarkStart w:id="165" w:name="_Toc17222"/>
      <w:r>
        <w:rPr>
          <w:rFonts w:hint="eastAsia" w:ascii="方正小标宋简体" w:hAnsi="方正小标宋简体" w:eastAsia="方正小标宋简体" w:cs="方正小标宋简体"/>
          <w:color w:val="000000"/>
          <w:spacing w:val="-20"/>
          <w:kern w:val="0"/>
          <w:sz w:val="44"/>
          <w:szCs w:val="44"/>
        </w:rPr>
        <w:t>资阳市雁江区科学技术协会</w:t>
      </w:r>
      <w:bookmarkEnd w:id="165"/>
    </w:p>
    <w:p>
      <w:pPr>
        <w:spacing w:line="620" w:lineRule="exact"/>
        <w:jc w:val="center"/>
        <w:rPr>
          <w:rFonts w:ascii="方正小标宋简体" w:hAnsi="方正小标宋简体" w:eastAsia="方正小标宋简体" w:cs="方正小标宋简体"/>
          <w:color w:val="000000"/>
          <w:spacing w:val="-20"/>
          <w:kern w:val="0"/>
          <w:sz w:val="44"/>
          <w:szCs w:val="44"/>
        </w:rPr>
      </w:pPr>
      <w:r>
        <w:rPr>
          <w:rFonts w:hint="eastAsia" w:ascii="方正小标宋简体" w:hAnsi="方正小标宋简体" w:eastAsia="方正小标宋简体" w:cs="方正小标宋简体"/>
          <w:color w:val="000000"/>
          <w:spacing w:val="-20"/>
          <w:kern w:val="0"/>
          <w:sz w:val="44"/>
          <w:szCs w:val="44"/>
        </w:rPr>
        <w:t>2021年部门整体支出绩效自评报告</w:t>
      </w:r>
    </w:p>
    <w:p>
      <w:pPr>
        <w:spacing w:line="620" w:lineRule="exact"/>
        <w:jc w:val="center"/>
        <w:rPr>
          <w:rFonts w:ascii="方正小标宋简体" w:hAnsi="方正小标宋简体" w:eastAsia="方正小标宋简体" w:cs="方正小标宋简体"/>
          <w:sz w:val="44"/>
          <w:szCs w:val="44"/>
        </w:rPr>
      </w:pPr>
    </w:p>
    <w:p>
      <w:pPr>
        <w:spacing w:line="590" w:lineRule="exact"/>
        <w:ind w:firstLine="643" w:firstLineChars="200"/>
        <w:outlineLvl w:val="1"/>
        <w:rPr>
          <w:rStyle w:val="30"/>
          <w:rFonts w:hint="eastAsia" w:ascii="方正黑体简体" w:hAnsi="黑体" w:eastAsia="方正黑体简体"/>
          <w:b w:val="0"/>
        </w:rPr>
      </w:pPr>
      <w:bookmarkStart w:id="166" w:name="_Toc29919"/>
      <w:r>
        <w:rPr>
          <w:rFonts w:hint="eastAsia" w:ascii="方正黑体简体" w:hAnsi="方正小标宋简体" w:eastAsia="方正黑体简体" w:cs="方正小标宋简体"/>
          <w:b/>
          <w:sz w:val="32"/>
          <w:szCs w:val="32"/>
        </w:rPr>
        <w:t>一、</w:t>
      </w:r>
      <w:r>
        <w:rPr>
          <w:rStyle w:val="30"/>
          <w:rFonts w:hint="eastAsia" w:ascii="方正黑体简体" w:hAnsi="黑体" w:eastAsia="方正黑体简体"/>
          <w:b w:val="0"/>
        </w:rPr>
        <w:t>部门（单位）概况</w:t>
      </w:r>
      <w:bookmarkEnd w:id="166"/>
    </w:p>
    <w:p>
      <w:pPr>
        <w:spacing w:line="590" w:lineRule="exact"/>
        <w:ind w:firstLine="643" w:firstLineChars="200"/>
        <w:outlineLvl w:val="2"/>
        <w:rPr>
          <w:rFonts w:hint="eastAsia" w:ascii="方正仿宋简体" w:hAnsi="仿宋" w:eastAsia="方正仿宋简体"/>
          <w:b/>
          <w:bCs/>
          <w:color w:val="000000"/>
          <w:sz w:val="32"/>
          <w:szCs w:val="32"/>
        </w:rPr>
      </w:pPr>
      <w:bookmarkStart w:id="167" w:name="_Toc21444"/>
      <w:r>
        <w:rPr>
          <w:rFonts w:hint="eastAsia" w:ascii="方正仿宋简体" w:hAnsi="仿宋" w:eastAsia="方正仿宋简体"/>
          <w:b/>
          <w:bCs/>
          <w:color w:val="000000"/>
          <w:sz w:val="32"/>
          <w:szCs w:val="32"/>
        </w:rPr>
        <w:t>（一）机构组成</w:t>
      </w:r>
      <w:bookmarkEnd w:id="167"/>
    </w:p>
    <w:p>
      <w:pPr>
        <w:spacing w:line="59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资阳市雁江区科学技术协会属独立核算，独立编制的参照公务员法管理的单位，现有行政编制3名。设综合办公室1个。领导职数:主席1名，副主席1名，中层领导职数1名。</w:t>
      </w:r>
    </w:p>
    <w:p>
      <w:pPr>
        <w:spacing w:line="590" w:lineRule="exact"/>
        <w:ind w:firstLine="643" w:firstLineChars="200"/>
        <w:outlineLvl w:val="2"/>
        <w:rPr>
          <w:rFonts w:hint="eastAsia" w:ascii="方正仿宋简体" w:hAnsi="仿宋" w:eastAsia="方正仿宋简体"/>
          <w:b/>
          <w:bCs/>
          <w:color w:val="000000"/>
          <w:sz w:val="32"/>
          <w:szCs w:val="32"/>
        </w:rPr>
      </w:pPr>
      <w:bookmarkStart w:id="168" w:name="_Toc18548"/>
      <w:r>
        <w:rPr>
          <w:rFonts w:hint="eastAsia" w:ascii="方正仿宋简体" w:hAnsi="仿宋" w:eastAsia="方正仿宋简体"/>
          <w:b/>
          <w:bCs/>
          <w:color w:val="000000"/>
          <w:sz w:val="32"/>
          <w:szCs w:val="32"/>
        </w:rPr>
        <w:t>（二）机构职能</w:t>
      </w:r>
      <w:bookmarkEnd w:id="168"/>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资阳市雁江区科学技术协会（简称区科协）是由自然科学、技术科学、县级学会、协会、乡镇科协、厂科协组成的科技工作者的群众组织，是区委领导下的人民团体，是党和政府联系科技工作者的纽带和发展科学技术事业的助手，是科普工作的主要社会力量。其主要职责是：</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1、开展学术交流，活跃学术思想，推动学科发展促进决策的科学化、民主化。</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2、普及科学知识，推广先进技术，开展农村干部群众和青少年科技教育活动。</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3、维护科技工作者的合法权益，为科技团体和科技工作者服务，表彰奖励科技工作者，促进人才的成长和尊重知识、尊重人才社会风气的形成。</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4、开展继续教育和技术培训工作，进行技术咨询服务，推动科技成果向生产力转化。</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5、参与科技政策、法规以及科技计划、规划的制定。</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6、开展国际和港、澳、台地区民间科技交流与合作，促进对外开放，推进祖国和平统一。</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7、对所属区级学会、协会、研究会进行管理，对乡镇科协和区属厂矿科协进行业务指导。</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8、承担区委、区政府和市科协交办的其他任务。</w:t>
      </w:r>
    </w:p>
    <w:p>
      <w:pPr>
        <w:spacing w:line="590" w:lineRule="exact"/>
        <w:ind w:firstLine="643" w:firstLineChars="200"/>
        <w:outlineLvl w:val="2"/>
        <w:rPr>
          <w:rFonts w:hint="eastAsia" w:ascii="方正仿宋简体" w:hAnsi="仿宋" w:eastAsia="方正仿宋简体"/>
          <w:b/>
          <w:bCs/>
          <w:color w:val="000000"/>
          <w:sz w:val="32"/>
          <w:szCs w:val="32"/>
        </w:rPr>
      </w:pPr>
      <w:bookmarkStart w:id="169" w:name="_Toc12536"/>
      <w:r>
        <w:rPr>
          <w:rFonts w:hint="eastAsia" w:ascii="方正仿宋简体" w:hAnsi="仿宋" w:eastAsia="方正仿宋简体"/>
          <w:b/>
          <w:bCs/>
          <w:color w:val="000000"/>
          <w:sz w:val="32"/>
          <w:szCs w:val="32"/>
        </w:rPr>
        <w:t>（三）人员概况</w:t>
      </w:r>
      <w:bookmarkEnd w:id="169"/>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2021年期末在职人员4名，其中：主席（三级调研员）1名，副主席（副科级实职、三级主任科员）1名，二级主任科员2名。</w:t>
      </w:r>
    </w:p>
    <w:p>
      <w:pPr>
        <w:spacing w:line="590" w:lineRule="exact"/>
        <w:ind w:firstLine="643" w:firstLineChars="200"/>
        <w:outlineLvl w:val="1"/>
        <w:rPr>
          <w:rFonts w:hint="eastAsia" w:ascii="方正黑体简体" w:hAnsi="仿宋" w:eastAsia="方正黑体简体"/>
          <w:b/>
          <w:bCs/>
          <w:color w:val="000000"/>
          <w:sz w:val="32"/>
          <w:szCs w:val="32"/>
        </w:rPr>
      </w:pPr>
      <w:bookmarkStart w:id="170" w:name="_Toc29602"/>
      <w:r>
        <w:rPr>
          <w:rFonts w:hint="eastAsia" w:ascii="方正黑体简体" w:hAnsi="方正小标宋简体" w:eastAsia="方正黑体简体" w:cs="方正小标宋简体"/>
          <w:b/>
          <w:sz w:val="32"/>
          <w:szCs w:val="32"/>
        </w:rPr>
        <w:t>二、</w:t>
      </w:r>
      <w:r>
        <w:rPr>
          <w:rStyle w:val="30"/>
          <w:rFonts w:hint="eastAsia" w:ascii="方正黑体简体" w:hAnsi="黑体" w:eastAsia="方正黑体简体"/>
          <w:b w:val="0"/>
        </w:rPr>
        <w:t>部门财政资金收支情况</w:t>
      </w:r>
      <w:bookmarkEnd w:id="170"/>
    </w:p>
    <w:p>
      <w:pPr>
        <w:spacing w:line="590" w:lineRule="exact"/>
        <w:ind w:firstLine="640" w:firstLineChars="200"/>
        <w:outlineLvl w:val="2"/>
        <w:rPr>
          <w:rStyle w:val="30"/>
          <w:rFonts w:hint="eastAsia" w:ascii="方正仿宋简体" w:hAnsi="黑体" w:eastAsia="方正仿宋简体"/>
          <w:color w:val="000000" w:themeColor="text1"/>
          <w14:textFill>
            <w14:solidFill>
              <w14:schemeClr w14:val="tx1"/>
            </w14:solidFill>
          </w14:textFill>
        </w:rPr>
      </w:pPr>
      <w:bookmarkStart w:id="171" w:name="_Toc1841"/>
      <w:r>
        <w:rPr>
          <w:rFonts w:hint="eastAsia" w:ascii="方正仿宋简体" w:hAnsi="方正楷体简体" w:eastAsia="方正仿宋简体" w:cs="方正楷体简体"/>
          <w:sz w:val="32"/>
          <w:szCs w:val="32"/>
        </w:rPr>
        <w:t>（一）</w:t>
      </w:r>
      <w:r>
        <w:rPr>
          <w:rFonts w:hint="eastAsia" w:ascii="方正仿宋简体" w:hAnsi="仿宋" w:eastAsia="方正仿宋简体"/>
          <w:b/>
          <w:bCs/>
          <w:color w:val="000000"/>
          <w:sz w:val="32"/>
          <w:szCs w:val="32"/>
        </w:rPr>
        <w:t>部门财政资金收入情况</w:t>
      </w:r>
      <w:bookmarkEnd w:id="171"/>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2021年度年初预算收入为119.09万元，财政应返还额度108.99万元，年初预算总收入228.08万元。调整预算收入158.99万元，2021年财政拨款为107.83万元；财政应返还额度为57.84万元，决算总收入为165.67万元。其中：2060701款为本级财政预算的基本支出 59.03万元；2060702款为本级财政预算的科普活动经费40.19万元和校园科技馆运行经费15万元；2070799为本级预算的志愿者工作经费3.6万元和2020年省级科普经费32万元；2080501为本级财政预算的退休人员生活补贴3.6万元；2080505为本级财政预算的机关事业单位养老保险缴费5.24万元；2089999为本级财政预算工伤生育保险0.05万元； 2101101为机关事业单位医疗保险缴费2.45万元；2101103为公务员医疗补助0.58万元；2210201为住房公积金3.93万元。当年新增结转资金51.16万元（260702科普活动经费26.16万元，2060799其他科学技术普及支出省级科普经费25万元，均在雁江区财政国库股）。财政应返还额度拨款44万元，财政应返还额度结转13.84万元。</w:t>
      </w:r>
    </w:p>
    <w:p>
      <w:pPr>
        <w:spacing w:line="590" w:lineRule="exact"/>
        <w:ind w:firstLine="643" w:firstLineChars="200"/>
        <w:outlineLvl w:val="2"/>
        <w:rPr>
          <w:rFonts w:hint="eastAsia" w:ascii="方正仿宋简体" w:hAnsi="仿宋" w:eastAsia="方正仿宋简体"/>
          <w:b/>
          <w:bCs/>
          <w:color w:val="000000"/>
          <w:sz w:val="32"/>
          <w:szCs w:val="32"/>
        </w:rPr>
      </w:pPr>
      <w:bookmarkStart w:id="172" w:name="_Toc2380"/>
      <w:r>
        <w:rPr>
          <w:rFonts w:hint="eastAsia" w:ascii="方正仿宋简体" w:hAnsi="仿宋" w:eastAsia="方正仿宋简体"/>
          <w:b/>
          <w:bCs/>
          <w:color w:val="000000"/>
          <w:sz w:val="32"/>
          <w:szCs w:val="32"/>
        </w:rPr>
        <w:t>（二）部门财政资金支出情况</w:t>
      </w:r>
      <w:bookmarkEnd w:id="172"/>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2021年度年初预算支出为119.09万元，财政应返还额度108.99万元，年初预算总支出228.08万元。调整预算支出数为216.83万元。其中：当年财政预算资金支出158.99万元，2020年财政应返还额度57.84万元。2021年财政拨款到位支出107.83万元，财政应返还额度支出44万元，2021年决算支出数为151.83万元。基本支出74.89万元，项目支出76.94万元。</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具体收入支出情况如下：</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1、基本支出74.89万元。2060701机构运行经费支出59.03万元。其中人员经费49.02万元：基本工资19.65万元，津贴补贴11.92万元，奖金17.45万元；日常公用经费商品和服务支出10.01万元：办公费0.18万元，水费0.17万元，差旅费0.04万元，维修（护）费0.04万元，委托业务费0.04万元，工会经费0.85万元，福利费1.36万元，其他交通费3.59万元，其他商品和服务支出3.74万元。</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208社会保障和就业支出8.89万元，其中2080501退休人员生活补贴3.6万元，2080505机关事业单位基本养老保险缴费5.24万元，其他社会保障和就业支出0.05万元。</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 xml:space="preserve">210卫生健康支出3.04万元，其中2101101行政单位医疗缴费2.45万元， 2101103公务员医疗补助0.59万元。 </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221住房保障支出3.93万元，主要是2210201住房公积金支出3.93万元。</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2、项目支出76.94万元。其中：20160702科普活动经费支出41.34万元， 其中：2018-2019年科普活动经费支出12万元，2021年科普活动经费14.34万元。</w:t>
      </w:r>
      <w:r>
        <w:rPr>
          <w:rFonts w:hint="eastAsia" w:ascii="方正仿宋简体" w:hAnsi="仿宋" w:eastAsia="方正仿宋简体"/>
          <w:sz w:val="32"/>
          <w:szCs w:val="32"/>
          <w:lang w:eastAsia="zh-CN"/>
        </w:rPr>
        <w:t>主要用于</w:t>
      </w:r>
      <w:r>
        <w:rPr>
          <w:rFonts w:hint="eastAsia" w:ascii="方正仿宋简体" w:hAnsi="仿宋" w:eastAsia="方正仿宋简体"/>
          <w:sz w:val="32"/>
          <w:szCs w:val="32"/>
        </w:rPr>
        <w:t>开展科普宣传活动、科学技术普及和青少年科技创新大赛、天府科技云推广应用等工作。其中：办公费8.02万元，印刷费1.68万元，电费0.21万元，邮电费0.41万元，差旅费4.68万元，维修（护）费0.09万元，租赁费0.33万元，会议费0.05万元，培训费0.16万元，接待费0.28万元，劳务费5.65万元，其他商品和服务支出4.79万元。2060702校园科技馆支出15万元，为三贤九义校校园科技馆临聘人员工资、五险、补助等。2060702科普活动经费中商品和服务支出中“其他”为：补发借调人员2018年绩效目标考核奖金、三贤九义校校园科技馆临聘人员工资、五险、创文创卫支出等19.79万元。</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2060799其他科学技术普及支出35.6万元。其中2020年省级科普经费32万元，主要用于拨付社区科普5万元、学校科普经费4万元、农技协、科普示范基地、村科普宣传经费等16万元、雁江区科协购买电脑2台1.2万元，拨付小荷尖尖培训学校科创进校园经费0.9万元，拨付九品广告公司、美灵广告公司更换橱窗展板、标语等经费1.9万元 ，拨付天府科技云服务临聘人员工资3万元，小计32万元。2060799临聘人员工作经费3.6万元主要用于区科协临聘人员工资、五险、补助。</w:t>
      </w:r>
    </w:p>
    <w:p>
      <w:pPr>
        <w:spacing w:line="590" w:lineRule="exact"/>
        <w:ind w:firstLine="640" w:firstLineChars="200"/>
        <w:outlineLvl w:val="1"/>
        <w:rPr>
          <w:rFonts w:hint="eastAsia" w:ascii="方正黑体简体" w:hAnsi="方正小标宋简体" w:eastAsia="方正黑体简体" w:cs="方正小标宋简体"/>
          <w:sz w:val="32"/>
          <w:szCs w:val="32"/>
        </w:rPr>
      </w:pPr>
      <w:bookmarkStart w:id="173" w:name="_Toc7762"/>
      <w:r>
        <w:rPr>
          <w:rFonts w:hint="eastAsia" w:ascii="方正黑体简体" w:hAnsi="方正小标宋简体" w:eastAsia="方正黑体简体" w:cs="方正小标宋简体"/>
          <w:sz w:val="32"/>
          <w:szCs w:val="32"/>
        </w:rPr>
        <w:t>三、部门整体预算绩效管理情况（根据适用指标体系进行调整）</w:t>
      </w:r>
      <w:bookmarkEnd w:id="173"/>
    </w:p>
    <w:p>
      <w:pPr>
        <w:snapToGrid w:val="0"/>
        <w:spacing w:line="560" w:lineRule="exact"/>
        <w:ind w:firstLine="643" w:firstLineChars="200"/>
        <w:outlineLvl w:val="2"/>
        <w:rPr>
          <w:rFonts w:hint="eastAsia" w:ascii="方正仿宋简体" w:hAnsi="仿宋" w:eastAsia="方正仿宋简体"/>
          <w:b/>
          <w:bCs/>
          <w:sz w:val="32"/>
          <w:szCs w:val="32"/>
        </w:rPr>
      </w:pPr>
      <w:bookmarkStart w:id="174" w:name="_Toc22573"/>
      <w:r>
        <w:rPr>
          <w:rFonts w:hint="eastAsia" w:ascii="方正仿宋简体" w:hAnsi="仿宋" w:eastAsia="方正仿宋简体"/>
          <w:b/>
          <w:bCs/>
          <w:sz w:val="32"/>
          <w:szCs w:val="32"/>
        </w:rPr>
        <w:t>（一）部门预算项目绩效管理</w:t>
      </w:r>
      <w:bookmarkEnd w:id="174"/>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按照资阳市雁江区财政局《关于开展 2021年度支出绩效自评工作的通知》文件精神，为进一步搞好我会2021年部门整体支出绩效自评工作，区科协成立了2021 年度部门整体支出绩效自评</w:t>
      </w:r>
      <w:r>
        <w:rPr>
          <w:rFonts w:hint="eastAsia" w:ascii="方正仿宋简体" w:hAnsi="仿宋" w:eastAsia="方正仿宋简体"/>
          <w:sz w:val="32"/>
          <w:szCs w:val="32"/>
          <w:lang w:eastAsia="zh-CN"/>
        </w:rPr>
        <w:t>工作领导小组</w:t>
      </w:r>
      <w:r>
        <w:rPr>
          <w:rFonts w:hint="eastAsia" w:ascii="方正仿宋简体" w:hAnsi="仿宋" w:eastAsia="方正仿宋简体"/>
          <w:sz w:val="32"/>
          <w:szCs w:val="32"/>
        </w:rPr>
        <w:t>，组长由区科协党组书记曾晓斌担任，副组长由副主席刘君担任，成员由邓素辉担任。具体工作由邓素辉同志负责。</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为切实做好2021年度部门整体支出绩效自评工作，提高财政资金使用效益，根据资阳市雁江区财政局《关于开展2021年度区级部门支出绩效自评工作的通知》（资雁财发</w:t>
      </w:r>
      <w:r>
        <w:rPr>
          <w:rFonts w:hint="eastAsia" w:ascii="方正仿宋简体" w:hAnsi="仿宋" w:eastAsia="方正仿宋简体"/>
          <w:sz w:val="32"/>
          <w:szCs w:val="32"/>
          <w:lang w:eastAsia="zh-CN"/>
        </w:rPr>
        <w:t>〔</w:t>
      </w:r>
      <w:r>
        <w:rPr>
          <w:rFonts w:hint="eastAsia" w:ascii="方正仿宋简体" w:hAnsi="仿宋" w:eastAsia="方正仿宋简体"/>
          <w:sz w:val="32"/>
          <w:szCs w:val="32"/>
        </w:rPr>
        <w:t>2022</w:t>
      </w:r>
      <w:r>
        <w:rPr>
          <w:rFonts w:hint="eastAsia" w:ascii="方正仿宋简体" w:hAnsi="仿宋" w:eastAsia="方正仿宋简体"/>
          <w:sz w:val="32"/>
          <w:szCs w:val="32"/>
          <w:lang w:eastAsia="zh-CN"/>
        </w:rPr>
        <w:t>〕</w:t>
      </w:r>
      <w:r>
        <w:rPr>
          <w:rFonts w:hint="eastAsia" w:ascii="方正仿宋简体" w:hAnsi="仿宋" w:eastAsia="方正仿宋简体"/>
          <w:sz w:val="32"/>
          <w:szCs w:val="32"/>
        </w:rPr>
        <w:t>86号）文件精神，结合单位实际，区科协组织成立了2021 年度部门整体支出绩效自评</w:t>
      </w:r>
      <w:r>
        <w:rPr>
          <w:rFonts w:hint="eastAsia" w:ascii="方正仿宋简体" w:hAnsi="仿宋" w:eastAsia="方正仿宋简体"/>
          <w:sz w:val="32"/>
          <w:szCs w:val="32"/>
          <w:lang w:eastAsia="zh-CN"/>
        </w:rPr>
        <w:t>工作领导小组</w:t>
      </w:r>
      <w:r>
        <w:rPr>
          <w:rFonts w:hint="eastAsia" w:ascii="方正仿宋简体" w:hAnsi="仿宋" w:eastAsia="方正仿宋简体"/>
          <w:sz w:val="32"/>
          <w:szCs w:val="32"/>
        </w:rPr>
        <w:t>。评价小组采取召开科技工作者、协会、乡土人才、科技辅导员座谈会，走访社区群众，发放问卷调查表等方式，收集整理对区科协工作的意见和建议。检查单位的基本支出、项目支出有关账目等方式进行自查。重点从单位的综合管理、预算执行进度、预算调整、专项资金分配使用、资金支付的进度、“三公”经费、公用经费的控制、单位资产管理、部门履职成效、服务对象满意度等方面开展了自评。</w:t>
      </w:r>
    </w:p>
    <w:p>
      <w:pPr>
        <w:snapToGrid w:val="0"/>
        <w:spacing w:line="560" w:lineRule="exact"/>
        <w:ind w:firstLine="643" w:firstLineChars="200"/>
        <w:outlineLvl w:val="2"/>
        <w:rPr>
          <w:rFonts w:hint="eastAsia" w:ascii="方正仿宋简体" w:hAnsi="仿宋" w:eastAsia="方正仿宋简体"/>
          <w:b/>
          <w:bCs/>
          <w:sz w:val="32"/>
          <w:szCs w:val="32"/>
        </w:rPr>
      </w:pPr>
      <w:bookmarkStart w:id="175" w:name="_Toc7939"/>
      <w:r>
        <w:rPr>
          <w:rFonts w:hint="eastAsia" w:ascii="方正仿宋简体" w:hAnsi="仿宋" w:eastAsia="方正仿宋简体"/>
          <w:b/>
          <w:bCs/>
          <w:sz w:val="32"/>
          <w:szCs w:val="32"/>
        </w:rPr>
        <w:t>（二）结果应用情况</w:t>
      </w:r>
      <w:bookmarkEnd w:id="175"/>
    </w:p>
    <w:p>
      <w:pPr>
        <w:pStyle w:val="44"/>
        <w:spacing w:line="590" w:lineRule="exact"/>
        <w:ind w:firstLine="640" w:firstLineChars="200"/>
        <w:rPr>
          <w:rFonts w:hint="eastAsia" w:ascii="方正仿宋简体" w:hAnsi="宋体" w:eastAsia="方正仿宋简体" w:cs="方正仿宋简体"/>
          <w:sz w:val="32"/>
          <w:szCs w:val="32"/>
        </w:rPr>
      </w:pPr>
      <w:r>
        <w:rPr>
          <w:rFonts w:hint="eastAsia" w:ascii="方正仿宋简体" w:hAnsi="宋体" w:eastAsia="方正仿宋简体" w:cs="方正仿宋简体"/>
          <w:sz w:val="32"/>
          <w:szCs w:val="32"/>
        </w:rPr>
        <w:t>1.及时反馈评价结果。及时将预算绩效管理结果反馈项目负责人，要求其针对绩效评价结果提出的问题，制定整改方案，按时进行整改，并及时反馈整改完成情况。</w:t>
      </w:r>
    </w:p>
    <w:p>
      <w:pPr>
        <w:pStyle w:val="44"/>
        <w:spacing w:line="590" w:lineRule="exact"/>
        <w:ind w:firstLine="640" w:firstLineChars="200"/>
        <w:rPr>
          <w:rFonts w:hint="eastAsia" w:ascii="方正仿宋简体" w:hAnsi="宋体" w:eastAsia="方正仿宋简体" w:cs="方正仿宋简体"/>
          <w:sz w:val="32"/>
          <w:szCs w:val="32"/>
        </w:rPr>
      </w:pPr>
      <w:r>
        <w:rPr>
          <w:rFonts w:hint="eastAsia" w:ascii="方正仿宋简体" w:hAnsi="宋体" w:eastAsia="方正仿宋简体" w:cs="方正仿宋简体"/>
          <w:sz w:val="32"/>
          <w:szCs w:val="32"/>
        </w:rPr>
        <w:t>2.建立绩效公开制度。按照政府信息公开的有关规定，将绩效评价结果尤其是社会关注度高、影响力大的民生项目和重点项目支出绩效情况在一定范围内公开，接受社会监督。</w:t>
      </w:r>
    </w:p>
    <w:p>
      <w:pPr>
        <w:pStyle w:val="44"/>
        <w:spacing w:line="590" w:lineRule="exact"/>
        <w:ind w:firstLine="640" w:firstLineChars="200"/>
        <w:rPr>
          <w:rFonts w:hint="eastAsia" w:ascii="方正仿宋简体" w:hAnsi="宋体" w:eastAsia="方正仿宋简体" w:cs="方正仿宋简体"/>
          <w:sz w:val="32"/>
          <w:szCs w:val="32"/>
        </w:rPr>
      </w:pPr>
      <w:r>
        <w:rPr>
          <w:rFonts w:hint="eastAsia" w:ascii="方正仿宋简体" w:hAnsi="宋体" w:eastAsia="方正仿宋简体" w:cs="方正仿宋简体"/>
          <w:sz w:val="32"/>
          <w:szCs w:val="32"/>
        </w:rPr>
        <w:t>3. 对自评工作中发现的问题进行整改，建立和完善了绩效管理和预算编制、执行结合制度，将绩效评价结果作为调整支出结构、完善单位财务管理、科学安排预算资金的重要依据。</w:t>
      </w:r>
    </w:p>
    <w:p>
      <w:pPr>
        <w:snapToGrid w:val="0"/>
        <w:spacing w:line="560" w:lineRule="exact"/>
        <w:ind w:firstLine="643" w:firstLineChars="200"/>
        <w:outlineLvl w:val="2"/>
        <w:rPr>
          <w:rFonts w:hint="eastAsia" w:ascii="方正仿宋简体" w:hAnsi="仿宋" w:eastAsia="方正仿宋简体"/>
          <w:b/>
          <w:bCs/>
          <w:sz w:val="32"/>
          <w:szCs w:val="32"/>
        </w:rPr>
      </w:pPr>
      <w:bookmarkStart w:id="176" w:name="_Toc4033"/>
      <w:r>
        <w:rPr>
          <w:rFonts w:hint="eastAsia" w:ascii="方正仿宋简体" w:hAnsi="仿宋" w:eastAsia="方正仿宋简体"/>
          <w:b/>
          <w:bCs/>
          <w:sz w:val="32"/>
          <w:szCs w:val="32"/>
        </w:rPr>
        <w:t>（三）自评质量</w:t>
      </w:r>
      <w:bookmarkEnd w:id="176"/>
    </w:p>
    <w:p>
      <w:pPr>
        <w:snapToGrid w:val="0"/>
        <w:spacing w:line="560" w:lineRule="exact"/>
        <w:ind w:firstLine="640" w:firstLineChars="200"/>
        <w:rPr>
          <w:rFonts w:hint="eastAsia" w:ascii="方正仿宋简体" w:eastAsia="方正仿宋简体"/>
          <w:sz w:val="32"/>
          <w:szCs w:val="32"/>
        </w:rPr>
      </w:pPr>
      <w:r>
        <w:rPr>
          <w:rFonts w:hint="eastAsia" w:ascii="方正仿宋简体" w:hAnsi="仿宋" w:eastAsia="方正仿宋简体"/>
          <w:sz w:val="32"/>
          <w:szCs w:val="32"/>
        </w:rPr>
        <w:t>部门整体绩效目标自评依据充分、合理、明确、细化，符合国家法律法规，符合雁江区科协三定方案和区科协中长期发展实施规划，与本单位2021年度工作任务、本年度部门资金预算安排相符</w:t>
      </w:r>
    </w:p>
    <w:p>
      <w:pPr>
        <w:spacing w:line="590" w:lineRule="exact"/>
        <w:ind w:firstLine="640" w:firstLineChars="200"/>
        <w:outlineLvl w:val="1"/>
        <w:rPr>
          <w:rFonts w:hint="eastAsia" w:ascii="方正黑体简体" w:hAnsi="方正小标宋简体" w:eastAsia="方正黑体简体" w:cs="方正小标宋简体"/>
          <w:sz w:val="32"/>
          <w:szCs w:val="32"/>
        </w:rPr>
      </w:pPr>
      <w:bookmarkStart w:id="177" w:name="_Toc18044"/>
      <w:r>
        <w:rPr>
          <w:rFonts w:hint="eastAsia" w:ascii="方正黑体简体" w:hAnsi="方正小标宋简体" w:eastAsia="方正黑体简体" w:cs="方正小标宋简体"/>
          <w:sz w:val="32"/>
          <w:szCs w:val="32"/>
        </w:rPr>
        <w:t>四、评价结论及建议</w:t>
      </w:r>
      <w:bookmarkEnd w:id="177"/>
    </w:p>
    <w:p>
      <w:pPr>
        <w:snapToGrid w:val="0"/>
        <w:spacing w:line="560" w:lineRule="exact"/>
        <w:ind w:firstLine="643" w:firstLineChars="200"/>
        <w:outlineLvl w:val="2"/>
        <w:rPr>
          <w:rFonts w:hint="eastAsia" w:ascii="方正仿宋简体" w:hAnsi="仿宋" w:eastAsia="方正仿宋简体"/>
          <w:b/>
          <w:bCs/>
          <w:sz w:val="32"/>
          <w:szCs w:val="32"/>
        </w:rPr>
      </w:pPr>
      <w:bookmarkStart w:id="178" w:name="_Toc15708"/>
      <w:r>
        <w:rPr>
          <w:rFonts w:hint="eastAsia" w:ascii="方正仿宋简体" w:hAnsi="仿宋" w:eastAsia="方正仿宋简体"/>
          <w:b/>
          <w:bCs/>
          <w:sz w:val="32"/>
          <w:szCs w:val="32"/>
        </w:rPr>
        <w:t>（一）评价结论</w:t>
      </w:r>
      <w:bookmarkEnd w:id="178"/>
    </w:p>
    <w:p>
      <w:pPr>
        <w:snapToGrid w:val="0"/>
        <w:spacing w:line="560" w:lineRule="exact"/>
        <w:ind w:firstLine="640" w:firstLineChars="200"/>
        <w:rPr>
          <w:rFonts w:hint="eastAsia" w:ascii="方正仿宋简体" w:eastAsia="方正仿宋简体"/>
          <w:sz w:val="32"/>
          <w:szCs w:val="32"/>
        </w:rPr>
      </w:pPr>
      <w:r>
        <w:rPr>
          <w:rFonts w:hint="eastAsia" w:ascii="方正仿宋简体" w:hAnsi="仿宋" w:eastAsia="方正仿宋简体"/>
          <w:sz w:val="32"/>
          <w:szCs w:val="32"/>
        </w:rPr>
        <w:t>2021年，我会积极履职，强化管理，较好地完成了年度工作目标，推动了科协工作迈上了一个新的台阶。根据资雁财发〔2022〕86号规定确</w:t>
      </w:r>
      <w:r>
        <w:rPr>
          <w:rFonts w:hint="eastAsia" w:ascii="方正仿宋简体" w:hAnsi="仿宋" w:eastAsia="方正仿宋简体"/>
          <w:sz w:val="32"/>
          <w:szCs w:val="32"/>
          <w:lang w:eastAsia="zh-CN"/>
        </w:rPr>
        <w:t>定</w:t>
      </w:r>
      <w:r>
        <w:rPr>
          <w:rFonts w:hint="eastAsia" w:ascii="方正仿宋简体" w:hAnsi="仿宋" w:eastAsia="方正仿宋简体"/>
          <w:sz w:val="32"/>
          <w:szCs w:val="32"/>
        </w:rPr>
        <w:t>部门整体支出绩效评价指标体系，我会2021年度评价结果为优。</w:t>
      </w:r>
    </w:p>
    <w:p>
      <w:pPr>
        <w:snapToGrid w:val="0"/>
        <w:spacing w:line="560" w:lineRule="exact"/>
        <w:ind w:firstLine="643" w:firstLineChars="200"/>
        <w:outlineLvl w:val="2"/>
        <w:rPr>
          <w:rFonts w:hint="eastAsia" w:ascii="方正仿宋简体" w:hAnsi="仿宋" w:eastAsia="方正仿宋简体"/>
          <w:b/>
          <w:bCs/>
          <w:sz w:val="32"/>
          <w:szCs w:val="32"/>
        </w:rPr>
      </w:pPr>
      <w:bookmarkStart w:id="179" w:name="_Toc9654"/>
      <w:r>
        <w:rPr>
          <w:rFonts w:hint="eastAsia" w:ascii="方正仿宋简体" w:hAnsi="仿宋" w:eastAsia="方正仿宋简体"/>
          <w:b/>
          <w:bCs/>
          <w:sz w:val="32"/>
          <w:szCs w:val="32"/>
        </w:rPr>
        <w:t>（二）存在问题</w:t>
      </w:r>
      <w:bookmarkEnd w:id="179"/>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1、预算编制工作有待加强。预算编制的科学性、合理性需要提高。</w:t>
      </w:r>
    </w:p>
    <w:p>
      <w:pPr>
        <w:snapToGrid w:val="0"/>
        <w:spacing w:line="560" w:lineRule="exact"/>
        <w:ind w:firstLine="640" w:firstLineChars="200"/>
        <w:rPr>
          <w:rFonts w:hint="eastAsia" w:ascii="方正仿宋简体" w:eastAsia="方正仿宋简体"/>
          <w:sz w:val="32"/>
          <w:szCs w:val="32"/>
        </w:rPr>
      </w:pPr>
      <w:r>
        <w:rPr>
          <w:rFonts w:hint="eastAsia" w:ascii="方正仿宋简体" w:hAnsi="仿宋" w:eastAsia="方正仿宋简体"/>
          <w:sz w:val="32"/>
          <w:szCs w:val="32"/>
        </w:rPr>
        <w:t>2、因单位人员少，经费不足，财政经费拨款不到位，预算执行工作力度有待加强。</w:t>
      </w:r>
    </w:p>
    <w:p>
      <w:pPr>
        <w:snapToGrid w:val="0"/>
        <w:spacing w:line="560" w:lineRule="exact"/>
        <w:ind w:firstLine="643" w:firstLineChars="200"/>
        <w:outlineLvl w:val="2"/>
        <w:rPr>
          <w:rFonts w:hint="eastAsia" w:ascii="方正仿宋简体" w:hAnsi="仿宋" w:eastAsia="方正仿宋简体"/>
          <w:b/>
          <w:bCs/>
          <w:sz w:val="32"/>
          <w:szCs w:val="32"/>
        </w:rPr>
      </w:pPr>
      <w:bookmarkStart w:id="180" w:name="_Toc27433"/>
      <w:r>
        <w:rPr>
          <w:rFonts w:hint="eastAsia" w:ascii="方正仿宋简体" w:hAnsi="仿宋" w:eastAsia="方正仿宋简体"/>
          <w:b/>
          <w:bCs/>
          <w:sz w:val="32"/>
          <w:szCs w:val="32"/>
        </w:rPr>
        <w:t>（三）改进建议</w:t>
      </w:r>
      <w:bookmarkEnd w:id="180"/>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1、细化预算编制工作，认真做好预算的编制。进一步提高预算编制的科学性、严谨性和可控性。加强内部预算编制的审核和预算控制指标的下达。</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2、加强财务管理，严格财务审核。健全单位财务管理制度体系，规范单位财务行为。</w:t>
      </w:r>
    </w:p>
    <w:p>
      <w:pPr>
        <w:snapToGrid w:val="0"/>
        <w:spacing w:line="56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3、加强与财政部门的沟通与协调，强化预算执行工作力度，规范部门预算收支核算工作，提高部门预算收支管理水平。</w:t>
      </w:r>
    </w:p>
    <w:p>
      <w:pPr>
        <w:widowControl/>
        <w:jc w:val="left"/>
        <w:rPr>
          <w:rStyle w:val="29"/>
          <w:rFonts w:ascii="仿宋" w:hAnsi="仿宋" w:eastAsia="仿宋"/>
          <w:b w:val="0"/>
          <w:sz w:val="32"/>
          <w:szCs w:val="32"/>
        </w:rPr>
      </w:pPr>
      <w:bookmarkStart w:id="181" w:name="_Toc113285274"/>
      <w:r>
        <w:rPr>
          <w:rStyle w:val="29"/>
          <w:rFonts w:ascii="仿宋" w:hAnsi="仿宋" w:eastAsia="仿宋"/>
          <w:b w:val="0"/>
          <w:sz w:val="32"/>
          <w:szCs w:val="32"/>
        </w:rPr>
        <w:br w:type="page"/>
      </w:r>
    </w:p>
    <w:bookmarkEnd w:id="164"/>
    <w:bookmarkEnd w:id="181"/>
    <w:p>
      <w:pPr>
        <w:spacing w:line="600" w:lineRule="exact"/>
        <w:jc w:val="center"/>
        <w:outlineLvl w:val="0"/>
        <w:rPr>
          <w:rFonts w:hint="eastAsia" w:ascii="方正黑体简体" w:hAnsi="黑体" w:eastAsia="方正黑体简体"/>
          <w:color w:val="000000"/>
          <w:sz w:val="44"/>
          <w:szCs w:val="44"/>
        </w:rPr>
      </w:pPr>
      <w:bookmarkStart w:id="182" w:name="_Toc113285275"/>
      <w:bookmarkStart w:id="183" w:name="_Toc113351097"/>
      <w:bookmarkStart w:id="184" w:name="_Toc113351515"/>
      <w:bookmarkStart w:id="185" w:name="_Toc948"/>
      <w:bookmarkStart w:id="186" w:name="_Toc12029"/>
      <w:r>
        <w:rPr>
          <w:rFonts w:hint="eastAsia" w:ascii="方正黑体简体" w:hAnsi="黑体" w:eastAsia="方正黑体简体"/>
          <w:color w:val="000000"/>
          <w:sz w:val="44"/>
          <w:szCs w:val="44"/>
        </w:rPr>
        <w:t>第五部分  附表</w:t>
      </w:r>
      <w:bookmarkEnd w:id="182"/>
      <w:bookmarkEnd w:id="183"/>
      <w:bookmarkEnd w:id="184"/>
      <w:bookmarkEnd w:id="185"/>
      <w:bookmarkEnd w:id="186"/>
    </w:p>
    <w:p>
      <w:pPr>
        <w:pStyle w:val="2"/>
        <w:spacing w:before="93"/>
      </w:pPr>
    </w:p>
    <w:p>
      <w:pPr>
        <w:widowControl/>
        <w:spacing w:line="600" w:lineRule="exact"/>
        <w:rPr>
          <w:rFonts w:hint="eastAsia" w:ascii="方正仿宋简体" w:hAnsi="宋体" w:eastAsia="方正仿宋简体" w:cs="Calibri"/>
          <w:color w:val="000000"/>
          <w:kern w:val="0"/>
          <w:sz w:val="32"/>
          <w:szCs w:val="32"/>
        </w:rPr>
      </w:pPr>
      <w:r>
        <w:rPr>
          <w:rFonts w:hint="eastAsia" w:ascii="方正仿宋简体" w:hAnsi="宋体" w:eastAsia="方正仿宋简体" w:cs="Calibri"/>
          <w:color w:val="000000"/>
          <w:kern w:val="0"/>
          <w:sz w:val="32"/>
          <w:szCs w:val="32"/>
        </w:rPr>
        <w:t>一、收入支出决算总表</w:t>
      </w:r>
    </w:p>
    <w:p>
      <w:pPr>
        <w:widowControl/>
        <w:spacing w:line="600" w:lineRule="exact"/>
        <w:rPr>
          <w:rFonts w:hint="eastAsia" w:ascii="方正仿宋简体" w:hAnsi="宋体" w:eastAsia="方正仿宋简体" w:cs="Calibri"/>
          <w:color w:val="000000"/>
          <w:kern w:val="0"/>
          <w:sz w:val="32"/>
          <w:szCs w:val="32"/>
        </w:rPr>
      </w:pPr>
      <w:r>
        <w:rPr>
          <w:rFonts w:hint="eastAsia" w:ascii="方正仿宋简体" w:hAnsi="宋体" w:eastAsia="方正仿宋简体" w:cs="Calibri"/>
          <w:color w:val="000000"/>
          <w:kern w:val="0"/>
          <w:sz w:val="32"/>
          <w:szCs w:val="32"/>
        </w:rPr>
        <w:t>二、收入决算表</w:t>
      </w:r>
    </w:p>
    <w:p>
      <w:pPr>
        <w:widowControl/>
        <w:spacing w:line="600" w:lineRule="exact"/>
        <w:rPr>
          <w:rFonts w:hint="eastAsia" w:ascii="方正仿宋简体" w:hAnsi="宋体" w:eastAsia="方正仿宋简体" w:cs="Calibri"/>
          <w:color w:val="000000"/>
          <w:kern w:val="0"/>
          <w:sz w:val="32"/>
          <w:szCs w:val="32"/>
        </w:rPr>
      </w:pPr>
      <w:r>
        <w:rPr>
          <w:rFonts w:hint="eastAsia" w:ascii="方正仿宋简体" w:hAnsi="宋体" w:eastAsia="方正仿宋简体" w:cs="Calibri"/>
          <w:color w:val="000000"/>
          <w:kern w:val="0"/>
          <w:sz w:val="32"/>
          <w:szCs w:val="32"/>
        </w:rPr>
        <w:t>三、支出决算表</w:t>
      </w:r>
    </w:p>
    <w:p>
      <w:pPr>
        <w:widowControl/>
        <w:spacing w:line="600" w:lineRule="exact"/>
        <w:rPr>
          <w:rFonts w:hint="eastAsia" w:ascii="方正仿宋简体" w:hAnsi="宋体" w:eastAsia="方正仿宋简体" w:cs="Calibri"/>
          <w:color w:val="000000"/>
          <w:kern w:val="0"/>
          <w:sz w:val="32"/>
          <w:szCs w:val="32"/>
        </w:rPr>
      </w:pPr>
      <w:r>
        <w:rPr>
          <w:rFonts w:hint="eastAsia" w:ascii="方正仿宋简体" w:hAnsi="宋体" w:eastAsia="方正仿宋简体" w:cs="Calibri"/>
          <w:color w:val="000000"/>
          <w:kern w:val="0"/>
          <w:sz w:val="32"/>
          <w:szCs w:val="32"/>
        </w:rPr>
        <w:t>四、财政拨款收入支出决算总表</w:t>
      </w:r>
    </w:p>
    <w:p>
      <w:pPr>
        <w:widowControl/>
        <w:spacing w:line="600" w:lineRule="exact"/>
        <w:rPr>
          <w:rFonts w:hint="eastAsia" w:ascii="方正仿宋简体" w:hAnsi="宋体" w:eastAsia="方正仿宋简体" w:cs="Calibri"/>
          <w:color w:val="000000"/>
          <w:kern w:val="0"/>
          <w:sz w:val="32"/>
          <w:szCs w:val="32"/>
        </w:rPr>
      </w:pPr>
      <w:r>
        <w:rPr>
          <w:rFonts w:hint="eastAsia" w:ascii="方正仿宋简体" w:hAnsi="宋体" w:eastAsia="方正仿宋简体" w:cs="Calibri"/>
          <w:color w:val="000000"/>
          <w:kern w:val="0"/>
          <w:sz w:val="32"/>
          <w:szCs w:val="32"/>
        </w:rPr>
        <w:t>五、财政拨款支出决算明细表</w:t>
      </w:r>
    </w:p>
    <w:p>
      <w:pPr>
        <w:widowControl/>
        <w:spacing w:line="600" w:lineRule="exact"/>
        <w:rPr>
          <w:rFonts w:hint="eastAsia" w:ascii="方正仿宋简体" w:hAnsi="宋体" w:eastAsia="方正仿宋简体" w:cs="Calibri"/>
          <w:color w:val="000000"/>
          <w:kern w:val="0"/>
          <w:sz w:val="32"/>
          <w:szCs w:val="32"/>
        </w:rPr>
      </w:pPr>
      <w:r>
        <w:rPr>
          <w:rFonts w:hint="eastAsia" w:ascii="方正仿宋简体" w:hAnsi="宋体" w:eastAsia="方正仿宋简体" w:cs="Calibri"/>
          <w:color w:val="000000"/>
          <w:kern w:val="0"/>
          <w:sz w:val="32"/>
          <w:szCs w:val="32"/>
        </w:rPr>
        <w:t>六、一般公共预算财政拨款支出决算表</w:t>
      </w:r>
    </w:p>
    <w:p>
      <w:pPr>
        <w:widowControl/>
        <w:spacing w:line="600" w:lineRule="exact"/>
        <w:rPr>
          <w:rFonts w:hint="eastAsia" w:ascii="方正仿宋简体" w:hAnsi="宋体" w:eastAsia="方正仿宋简体" w:cs="Calibri"/>
          <w:color w:val="000000"/>
          <w:kern w:val="0"/>
          <w:sz w:val="32"/>
          <w:szCs w:val="32"/>
        </w:rPr>
      </w:pPr>
      <w:r>
        <w:rPr>
          <w:rFonts w:hint="eastAsia" w:ascii="方正仿宋简体" w:hAnsi="宋体" w:eastAsia="方正仿宋简体" w:cs="Calibri"/>
          <w:color w:val="000000"/>
          <w:kern w:val="0"/>
          <w:sz w:val="32"/>
          <w:szCs w:val="32"/>
        </w:rPr>
        <w:t>七、一般公共预算财政拨款支出决算明细表</w:t>
      </w:r>
    </w:p>
    <w:p>
      <w:pPr>
        <w:widowControl/>
        <w:spacing w:line="600" w:lineRule="exact"/>
        <w:rPr>
          <w:rFonts w:hint="eastAsia" w:ascii="方正仿宋简体" w:hAnsi="宋体" w:eastAsia="方正仿宋简体" w:cs="Calibri"/>
          <w:color w:val="000000"/>
          <w:kern w:val="0"/>
          <w:sz w:val="32"/>
          <w:szCs w:val="32"/>
        </w:rPr>
      </w:pPr>
      <w:r>
        <w:rPr>
          <w:rFonts w:hint="eastAsia" w:ascii="方正仿宋简体" w:hAnsi="宋体" w:eastAsia="方正仿宋简体" w:cs="Calibri"/>
          <w:color w:val="000000"/>
          <w:kern w:val="0"/>
          <w:sz w:val="32"/>
          <w:szCs w:val="32"/>
        </w:rPr>
        <w:t>八、一般公共预算财政拨款基本支出决算表</w:t>
      </w:r>
    </w:p>
    <w:p>
      <w:pPr>
        <w:widowControl/>
        <w:spacing w:line="600" w:lineRule="exact"/>
        <w:rPr>
          <w:rFonts w:hint="eastAsia" w:ascii="方正仿宋简体" w:hAnsi="宋体" w:eastAsia="方正仿宋简体" w:cs="Calibri"/>
          <w:color w:val="000000"/>
          <w:kern w:val="0"/>
          <w:sz w:val="32"/>
          <w:szCs w:val="32"/>
        </w:rPr>
      </w:pPr>
      <w:r>
        <w:rPr>
          <w:rFonts w:hint="eastAsia" w:ascii="方正仿宋简体" w:hAnsi="宋体" w:eastAsia="方正仿宋简体" w:cs="Calibri"/>
          <w:color w:val="000000"/>
          <w:kern w:val="0"/>
          <w:sz w:val="32"/>
          <w:szCs w:val="32"/>
        </w:rPr>
        <w:t>九、一般公共预算财政拨款项目支出决算表</w:t>
      </w:r>
    </w:p>
    <w:p>
      <w:pPr>
        <w:widowControl/>
        <w:spacing w:line="600" w:lineRule="exact"/>
        <w:rPr>
          <w:rFonts w:hint="eastAsia" w:ascii="方正仿宋简体" w:hAnsi="宋体" w:eastAsia="方正仿宋简体" w:cs="Calibri"/>
          <w:color w:val="000000"/>
          <w:kern w:val="0"/>
          <w:sz w:val="32"/>
          <w:szCs w:val="32"/>
        </w:rPr>
      </w:pPr>
      <w:r>
        <w:rPr>
          <w:rFonts w:hint="eastAsia" w:ascii="方正仿宋简体" w:hAnsi="宋体" w:eastAsia="方正仿宋简体" w:cs="Calibri"/>
          <w:color w:val="000000"/>
          <w:kern w:val="0"/>
          <w:sz w:val="32"/>
          <w:szCs w:val="32"/>
        </w:rPr>
        <w:t>十、一般公共预算财政拨款“三公”经费支出决算表</w:t>
      </w:r>
    </w:p>
    <w:p>
      <w:pPr>
        <w:widowControl/>
        <w:spacing w:line="600" w:lineRule="exact"/>
        <w:rPr>
          <w:rFonts w:hint="eastAsia" w:ascii="方正仿宋简体" w:hAnsi="宋体" w:eastAsia="方正仿宋简体" w:cs="Calibri"/>
          <w:color w:val="000000"/>
          <w:kern w:val="0"/>
          <w:sz w:val="32"/>
          <w:szCs w:val="32"/>
        </w:rPr>
      </w:pPr>
      <w:r>
        <w:rPr>
          <w:rFonts w:hint="eastAsia" w:ascii="方正仿宋简体" w:hAnsi="宋体" w:eastAsia="方正仿宋简体" w:cs="Calibri"/>
          <w:color w:val="000000"/>
          <w:kern w:val="0"/>
          <w:sz w:val="32"/>
          <w:szCs w:val="32"/>
        </w:rPr>
        <w:t>十一、政府性基金预算财政拨款收入支出决算表</w:t>
      </w:r>
    </w:p>
    <w:p>
      <w:pPr>
        <w:widowControl/>
        <w:spacing w:line="600" w:lineRule="exact"/>
        <w:rPr>
          <w:rFonts w:hint="eastAsia" w:ascii="方正仿宋简体" w:hAnsi="宋体" w:eastAsia="方正仿宋简体" w:cs="Calibri"/>
          <w:color w:val="000000"/>
          <w:kern w:val="0"/>
          <w:sz w:val="32"/>
          <w:szCs w:val="32"/>
        </w:rPr>
      </w:pPr>
      <w:r>
        <w:rPr>
          <w:rFonts w:hint="eastAsia" w:ascii="方正仿宋简体" w:hAnsi="宋体" w:eastAsia="方正仿宋简体" w:cs="Calibri"/>
          <w:color w:val="000000"/>
          <w:kern w:val="0"/>
          <w:sz w:val="32"/>
          <w:szCs w:val="32"/>
        </w:rPr>
        <w:t>十二、政府性基金预算财政拨款“三公”经费支出决算表</w:t>
      </w:r>
    </w:p>
    <w:p>
      <w:pPr>
        <w:widowControl/>
        <w:spacing w:line="600" w:lineRule="exact"/>
        <w:rPr>
          <w:rFonts w:hint="eastAsia" w:ascii="方正仿宋简体" w:hAnsi="宋体" w:eastAsia="方正仿宋简体" w:cs="Calibri"/>
          <w:color w:val="000000"/>
          <w:kern w:val="0"/>
          <w:sz w:val="32"/>
          <w:szCs w:val="32"/>
        </w:rPr>
      </w:pPr>
      <w:r>
        <w:rPr>
          <w:rFonts w:hint="eastAsia" w:ascii="方正仿宋简体" w:hAnsi="宋体" w:eastAsia="方正仿宋简体" w:cs="Calibri"/>
          <w:color w:val="000000"/>
          <w:kern w:val="0"/>
          <w:sz w:val="32"/>
          <w:szCs w:val="32"/>
        </w:rPr>
        <w:t>十三、国有资本经营预算财政拨款收入支出决算表</w:t>
      </w:r>
    </w:p>
    <w:p>
      <w:pPr>
        <w:widowControl/>
        <w:spacing w:line="600" w:lineRule="exact"/>
        <w:rPr>
          <w:rFonts w:hint="eastAsia" w:ascii="方正仿宋简体" w:hAnsi="宋体" w:eastAsia="方正仿宋简体" w:cs="Calibri"/>
          <w:color w:val="000000"/>
          <w:kern w:val="0"/>
          <w:sz w:val="32"/>
          <w:szCs w:val="32"/>
        </w:rPr>
      </w:pPr>
      <w:r>
        <w:rPr>
          <w:rFonts w:hint="eastAsia" w:ascii="方正仿宋简体" w:hAnsi="宋体" w:eastAsia="方正仿宋简体" w:cs="Calibri"/>
          <w:color w:val="000000"/>
          <w:kern w:val="0"/>
          <w:sz w:val="32"/>
          <w:szCs w:val="32"/>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kM2E1ZGVlNzgyNzY2MGQyMTI0MGQ0ZjhiZDgwZTUifQ=="/>
  </w:docVars>
  <w:rsids>
    <w:rsidRoot w:val="00F1361C"/>
    <w:rsid w:val="00002DBD"/>
    <w:rsid w:val="000036C1"/>
    <w:rsid w:val="00004583"/>
    <w:rsid w:val="000047EC"/>
    <w:rsid w:val="000109D1"/>
    <w:rsid w:val="00010A7B"/>
    <w:rsid w:val="00020365"/>
    <w:rsid w:val="00020699"/>
    <w:rsid w:val="000222C6"/>
    <w:rsid w:val="0002549F"/>
    <w:rsid w:val="00026737"/>
    <w:rsid w:val="00027875"/>
    <w:rsid w:val="000311DB"/>
    <w:rsid w:val="000318C4"/>
    <w:rsid w:val="000333BA"/>
    <w:rsid w:val="0003385C"/>
    <w:rsid w:val="00035F60"/>
    <w:rsid w:val="0003676E"/>
    <w:rsid w:val="00046DB1"/>
    <w:rsid w:val="00051A98"/>
    <w:rsid w:val="00051B00"/>
    <w:rsid w:val="00052D63"/>
    <w:rsid w:val="00053F50"/>
    <w:rsid w:val="00055657"/>
    <w:rsid w:val="0006487A"/>
    <w:rsid w:val="000658C0"/>
    <w:rsid w:val="00065F8F"/>
    <w:rsid w:val="00067EF7"/>
    <w:rsid w:val="00072B8F"/>
    <w:rsid w:val="000768F2"/>
    <w:rsid w:val="00076977"/>
    <w:rsid w:val="00081AB4"/>
    <w:rsid w:val="0008238F"/>
    <w:rsid w:val="0008518B"/>
    <w:rsid w:val="00085ACD"/>
    <w:rsid w:val="00087084"/>
    <w:rsid w:val="0009184B"/>
    <w:rsid w:val="0009593C"/>
    <w:rsid w:val="00095CF8"/>
    <w:rsid w:val="000A2460"/>
    <w:rsid w:val="000A24A5"/>
    <w:rsid w:val="000B047F"/>
    <w:rsid w:val="000B5923"/>
    <w:rsid w:val="000B5A48"/>
    <w:rsid w:val="000B6FF3"/>
    <w:rsid w:val="000B78E9"/>
    <w:rsid w:val="000C1418"/>
    <w:rsid w:val="000C3467"/>
    <w:rsid w:val="000C3CA6"/>
    <w:rsid w:val="000D1267"/>
    <w:rsid w:val="000D1510"/>
    <w:rsid w:val="000D1D50"/>
    <w:rsid w:val="000D5782"/>
    <w:rsid w:val="000E03AC"/>
    <w:rsid w:val="000E3937"/>
    <w:rsid w:val="000E6613"/>
    <w:rsid w:val="000E7119"/>
    <w:rsid w:val="000F192B"/>
    <w:rsid w:val="001015EF"/>
    <w:rsid w:val="00101758"/>
    <w:rsid w:val="001042FB"/>
    <w:rsid w:val="001063EA"/>
    <w:rsid w:val="00107C1C"/>
    <w:rsid w:val="00110268"/>
    <w:rsid w:val="00111FD3"/>
    <w:rsid w:val="00114E9B"/>
    <w:rsid w:val="00115917"/>
    <w:rsid w:val="001171D6"/>
    <w:rsid w:val="0012289F"/>
    <w:rsid w:val="001311CC"/>
    <w:rsid w:val="001338D6"/>
    <w:rsid w:val="00133A20"/>
    <w:rsid w:val="00140ECA"/>
    <w:rsid w:val="00142B88"/>
    <w:rsid w:val="00145A44"/>
    <w:rsid w:val="00146431"/>
    <w:rsid w:val="0014729F"/>
    <w:rsid w:val="00154093"/>
    <w:rsid w:val="00156878"/>
    <w:rsid w:val="00157BAB"/>
    <w:rsid w:val="00157FE8"/>
    <w:rsid w:val="001647BE"/>
    <w:rsid w:val="00164DEC"/>
    <w:rsid w:val="001654D1"/>
    <w:rsid w:val="00173DB9"/>
    <w:rsid w:val="00173DD7"/>
    <w:rsid w:val="00174C57"/>
    <w:rsid w:val="0018106D"/>
    <w:rsid w:val="00181D85"/>
    <w:rsid w:val="001852FB"/>
    <w:rsid w:val="001855CA"/>
    <w:rsid w:val="00186825"/>
    <w:rsid w:val="001877A7"/>
    <w:rsid w:val="00191536"/>
    <w:rsid w:val="00196687"/>
    <w:rsid w:val="001A23E2"/>
    <w:rsid w:val="001A5632"/>
    <w:rsid w:val="001A694D"/>
    <w:rsid w:val="001A7127"/>
    <w:rsid w:val="001A77A0"/>
    <w:rsid w:val="001B1DA4"/>
    <w:rsid w:val="001B435C"/>
    <w:rsid w:val="001B7373"/>
    <w:rsid w:val="001C0962"/>
    <w:rsid w:val="001C2AB7"/>
    <w:rsid w:val="001C2B80"/>
    <w:rsid w:val="001C7106"/>
    <w:rsid w:val="001D3388"/>
    <w:rsid w:val="001D6209"/>
    <w:rsid w:val="001D7531"/>
    <w:rsid w:val="001E66C4"/>
    <w:rsid w:val="001E673F"/>
    <w:rsid w:val="001E737D"/>
    <w:rsid w:val="001F0336"/>
    <w:rsid w:val="001F0592"/>
    <w:rsid w:val="001F4879"/>
    <w:rsid w:val="001F7506"/>
    <w:rsid w:val="002006CD"/>
    <w:rsid w:val="00202B36"/>
    <w:rsid w:val="00204B7A"/>
    <w:rsid w:val="0020694A"/>
    <w:rsid w:val="0021101A"/>
    <w:rsid w:val="0021489A"/>
    <w:rsid w:val="00220536"/>
    <w:rsid w:val="00221568"/>
    <w:rsid w:val="00224148"/>
    <w:rsid w:val="002279E1"/>
    <w:rsid w:val="00235629"/>
    <w:rsid w:val="00245785"/>
    <w:rsid w:val="00251414"/>
    <w:rsid w:val="0025474D"/>
    <w:rsid w:val="002565C2"/>
    <w:rsid w:val="00256D91"/>
    <w:rsid w:val="00260C38"/>
    <w:rsid w:val="002616C0"/>
    <w:rsid w:val="002662AA"/>
    <w:rsid w:val="00274E89"/>
    <w:rsid w:val="002750F9"/>
    <w:rsid w:val="002762A0"/>
    <w:rsid w:val="00280496"/>
    <w:rsid w:val="00282B39"/>
    <w:rsid w:val="00282F75"/>
    <w:rsid w:val="00283279"/>
    <w:rsid w:val="00284987"/>
    <w:rsid w:val="00286BF3"/>
    <w:rsid w:val="00295495"/>
    <w:rsid w:val="002A242D"/>
    <w:rsid w:val="002A6654"/>
    <w:rsid w:val="002B2613"/>
    <w:rsid w:val="002B43B3"/>
    <w:rsid w:val="002C0FA9"/>
    <w:rsid w:val="002C3EBF"/>
    <w:rsid w:val="002C4E4C"/>
    <w:rsid w:val="002D4C0B"/>
    <w:rsid w:val="002D66EB"/>
    <w:rsid w:val="002D7E70"/>
    <w:rsid w:val="002E18CD"/>
    <w:rsid w:val="002E24B0"/>
    <w:rsid w:val="002F1818"/>
    <w:rsid w:val="002F567B"/>
    <w:rsid w:val="002F73DB"/>
    <w:rsid w:val="00316CFB"/>
    <w:rsid w:val="00317640"/>
    <w:rsid w:val="00320207"/>
    <w:rsid w:val="00320600"/>
    <w:rsid w:val="003216A9"/>
    <w:rsid w:val="00323621"/>
    <w:rsid w:val="00323886"/>
    <w:rsid w:val="003259EB"/>
    <w:rsid w:val="00341FA5"/>
    <w:rsid w:val="003426CA"/>
    <w:rsid w:val="003439DB"/>
    <w:rsid w:val="00346842"/>
    <w:rsid w:val="00347C04"/>
    <w:rsid w:val="003524A4"/>
    <w:rsid w:val="0035292A"/>
    <w:rsid w:val="00356436"/>
    <w:rsid w:val="00356A6F"/>
    <w:rsid w:val="003630A2"/>
    <w:rsid w:val="00364B92"/>
    <w:rsid w:val="00366F38"/>
    <w:rsid w:val="0037013F"/>
    <w:rsid w:val="00380C92"/>
    <w:rsid w:val="0039298B"/>
    <w:rsid w:val="00396FBF"/>
    <w:rsid w:val="003A3F3E"/>
    <w:rsid w:val="003A484F"/>
    <w:rsid w:val="003A4DB9"/>
    <w:rsid w:val="003A6358"/>
    <w:rsid w:val="003B0BE0"/>
    <w:rsid w:val="003B0C1B"/>
    <w:rsid w:val="003B688C"/>
    <w:rsid w:val="003C0291"/>
    <w:rsid w:val="003C0317"/>
    <w:rsid w:val="003C2716"/>
    <w:rsid w:val="003C2770"/>
    <w:rsid w:val="003C39AE"/>
    <w:rsid w:val="003C7B60"/>
    <w:rsid w:val="003C7D6E"/>
    <w:rsid w:val="003C7E98"/>
    <w:rsid w:val="003D1FB2"/>
    <w:rsid w:val="003D66DA"/>
    <w:rsid w:val="003D6AFF"/>
    <w:rsid w:val="003E1310"/>
    <w:rsid w:val="003E1807"/>
    <w:rsid w:val="003E344B"/>
    <w:rsid w:val="003E6F55"/>
    <w:rsid w:val="003E7C1F"/>
    <w:rsid w:val="003F4AAF"/>
    <w:rsid w:val="003F6C90"/>
    <w:rsid w:val="00400A9C"/>
    <w:rsid w:val="00401F90"/>
    <w:rsid w:val="00405368"/>
    <w:rsid w:val="00405721"/>
    <w:rsid w:val="00405951"/>
    <w:rsid w:val="00406254"/>
    <w:rsid w:val="00411125"/>
    <w:rsid w:val="0041324C"/>
    <w:rsid w:val="004201BE"/>
    <w:rsid w:val="004219B5"/>
    <w:rsid w:val="004223DE"/>
    <w:rsid w:val="00425840"/>
    <w:rsid w:val="00426306"/>
    <w:rsid w:val="00430039"/>
    <w:rsid w:val="00432BEE"/>
    <w:rsid w:val="00433E35"/>
    <w:rsid w:val="00434489"/>
    <w:rsid w:val="00435A96"/>
    <w:rsid w:val="00436A89"/>
    <w:rsid w:val="00437085"/>
    <w:rsid w:val="00443880"/>
    <w:rsid w:val="004441B4"/>
    <w:rsid w:val="004460FF"/>
    <w:rsid w:val="004464F4"/>
    <w:rsid w:val="00446511"/>
    <w:rsid w:val="00447FC3"/>
    <w:rsid w:val="00453A66"/>
    <w:rsid w:val="00462BBE"/>
    <w:rsid w:val="00462D70"/>
    <w:rsid w:val="00463FB8"/>
    <w:rsid w:val="00467E6E"/>
    <w:rsid w:val="00471401"/>
    <w:rsid w:val="0047347D"/>
    <w:rsid w:val="00473BE4"/>
    <w:rsid w:val="00473F31"/>
    <w:rsid w:val="004761CC"/>
    <w:rsid w:val="0048263A"/>
    <w:rsid w:val="0048274E"/>
    <w:rsid w:val="0048278F"/>
    <w:rsid w:val="00482B39"/>
    <w:rsid w:val="00487E5D"/>
    <w:rsid w:val="0049030C"/>
    <w:rsid w:val="004A1EFA"/>
    <w:rsid w:val="004A4AC4"/>
    <w:rsid w:val="004A711F"/>
    <w:rsid w:val="004B06D8"/>
    <w:rsid w:val="004B1713"/>
    <w:rsid w:val="004B199D"/>
    <w:rsid w:val="004B4690"/>
    <w:rsid w:val="004B510B"/>
    <w:rsid w:val="004B6127"/>
    <w:rsid w:val="004B6823"/>
    <w:rsid w:val="004D08C1"/>
    <w:rsid w:val="004D12CC"/>
    <w:rsid w:val="004E0A2D"/>
    <w:rsid w:val="004E206B"/>
    <w:rsid w:val="004E6DF7"/>
    <w:rsid w:val="004F0FBD"/>
    <w:rsid w:val="004F17E3"/>
    <w:rsid w:val="004F2953"/>
    <w:rsid w:val="004F6B16"/>
    <w:rsid w:val="00504334"/>
    <w:rsid w:val="00505A47"/>
    <w:rsid w:val="005074E5"/>
    <w:rsid w:val="00512FDA"/>
    <w:rsid w:val="0051377D"/>
    <w:rsid w:val="00513999"/>
    <w:rsid w:val="0051497B"/>
    <w:rsid w:val="005177E1"/>
    <w:rsid w:val="00517E2B"/>
    <w:rsid w:val="00520DA0"/>
    <w:rsid w:val="0052109A"/>
    <w:rsid w:val="0052329F"/>
    <w:rsid w:val="00523F21"/>
    <w:rsid w:val="005317D1"/>
    <w:rsid w:val="005337D2"/>
    <w:rsid w:val="005377E5"/>
    <w:rsid w:val="00537A9B"/>
    <w:rsid w:val="00546907"/>
    <w:rsid w:val="00554906"/>
    <w:rsid w:val="00563197"/>
    <w:rsid w:val="005664BB"/>
    <w:rsid w:val="0057084C"/>
    <w:rsid w:val="0057481D"/>
    <w:rsid w:val="00577DF9"/>
    <w:rsid w:val="0058069D"/>
    <w:rsid w:val="00580769"/>
    <w:rsid w:val="00582CC9"/>
    <w:rsid w:val="0058486E"/>
    <w:rsid w:val="00586446"/>
    <w:rsid w:val="005A55A1"/>
    <w:rsid w:val="005A6DA2"/>
    <w:rsid w:val="005B3B37"/>
    <w:rsid w:val="005B4C8C"/>
    <w:rsid w:val="005C371B"/>
    <w:rsid w:val="005C3F03"/>
    <w:rsid w:val="005C5888"/>
    <w:rsid w:val="005D065C"/>
    <w:rsid w:val="005D1C8B"/>
    <w:rsid w:val="005D4584"/>
    <w:rsid w:val="005D5CED"/>
    <w:rsid w:val="005D774A"/>
    <w:rsid w:val="005E01D4"/>
    <w:rsid w:val="005F1A4C"/>
    <w:rsid w:val="005F4EE4"/>
    <w:rsid w:val="006050D9"/>
    <w:rsid w:val="00605688"/>
    <w:rsid w:val="006070AF"/>
    <w:rsid w:val="0060749E"/>
    <w:rsid w:val="0060770C"/>
    <w:rsid w:val="00607E6C"/>
    <w:rsid w:val="006101B1"/>
    <w:rsid w:val="006124B2"/>
    <w:rsid w:val="00614018"/>
    <w:rsid w:val="00614E44"/>
    <w:rsid w:val="00615BEF"/>
    <w:rsid w:val="0061610D"/>
    <w:rsid w:val="00616509"/>
    <w:rsid w:val="00620C9A"/>
    <w:rsid w:val="00622830"/>
    <w:rsid w:val="00624118"/>
    <w:rsid w:val="0062700C"/>
    <w:rsid w:val="00630AEF"/>
    <w:rsid w:val="00631081"/>
    <w:rsid w:val="006325F8"/>
    <w:rsid w:val="00633358"/>
    <w:rsid w:val="00634C9A"/>
    <w:rsid w:val="00637319"/>
    <w:rsid w:val="006400A5"/>
    <w:rsid w:val="00642199"/>
    <w:rsid w:val="0064259D"/>
    <w:rsid w:val="006440E4"/>
    <w:rsid w:val="00644504"/>
    <w:rsid w:val="00644F45"/>
    <w:rsid w:val="0064798F"/>
    <w:rsid w:val="00650B72"/>
    <w:rsid w:val="00652F66"/>
    <w:rsid w:val="00662FA7"/>
    <w:rsid w:val="0066343B"/>
    <w:rsid w:val="00664777"/>
    <w:rsid w:val="00670103"/>
    <w:rsid w:val="00672DDE"/>
    <w:rsid w:val="006748A4"/>
    <w:rsid w:val="0068244C"/>
    <w:rsid w:val="00683E73"/>
    <w:rsid w:val="00684932"/>
    <w:rsid w:val="00687CEE"/>
    <w:rsid w:val="006902FE"/>
    <w:rsid w:val="006970E7"/>
    <w:rsid w:val="006A3141"/>
    <w:rsid w:val="006A5E34"/>
    <w:rsid w:val="006B1664"/>
    <w:rsid w:val="006B2422"/>
    <w:rsid w:val="006B2B9A"/>
    <w:rsid w:val="006B3792"/>
    <w:rsid w:val="006C0B7F"/>
    <w:rsid w:val="006C1937"/>
    <w:rsid w:val="006C2A1C"/>
    <w:rsid w:val="006E2B7C"/>
    <w:rsid w:val="006E4641"/>
    <w:rsid w:val="006E71BB"/>
    <w:rsid w:val="006F0101"/>
    <w:rsid w:val="006F020C"/>
    <w:rsid w:val="006F2C8E"/>
    <w:rsid w:val="006F655B"/>
    <w:rsid w:val="006F69D3"/>
    <w:rsid w:val="00700E6C"/>
    <w:rsid w:val="007074A7"/>
    <w:rsid w:val="007127B7"/>
    <w:rsid w:val="00714775"/>
    <w:rsid w:val="007172BD"/>
    <w:rsid w:val="00724A94"/>
    <w:rsid w:val="00734D61"/>
    <w:rsid w:val="007416B6"/>
    <w:rsid w:val="00742685"/>
    <w:rsid w:val="0074339A"/>
    <w:rsid w:val="00743D09"/>
    <w:rsid w:val="007458AB"/>
    <w:rsid w:val="00746F48"/>
    <w:rsid w:val="00751EAF"/>
    <w:rsid w:val="007534D0"/>
    <w:rsid w:val="00753CC4"/>
    <w:rsid w:val="0075404D"/>
    <w:rsid w:val="0076182A"/>
    <w:rsid w:val="007669BF"/>
    <w:rsid w:val="00767B7E"/>
    <w:rsid w:val="0077067E"/>
    <w:rsid w:val="00776D3E"/>
    <w:rsid w:val="007770C3"/>
    <w:rsid w:val="00783698"/>
    <w:rsid w:val="00784D24"/>
    <w:rsid w:val="00785FBA"/>
    <w:rsid w:val="00786E4A"/>
    <w:rsid w:val="007875EB"/>
    <w:rsid w:val="00791982"/>
    <w:rsid w:val="0079426B"/>
    <w:rsid w:val="00794528"/>
    <w:rsid w:val="00794769"/>
    <w:rsid w:val="007956D9"/>
    <w:rsid w:val="007A6658"/>
    <w:rsid w:val="007A7AD1"/>
    <w:rsid w:val="007B13E9"/>
    <w:rsid w:val="007B292C"/>
    <w:rsid w:val="007B5190"/>
    <w:rsid w:val="007B72C3"/>
    <w:rsid w:val="007C0C7B"/>
    <w:rsid w:val="007C10AF"/>
    <w:rsid w:val="007C41F8"/>
    <w:rsid w:val="007C55D7"/>
    <w:rsid w:val="007D2AE9"/>
    <w:rsid w:val="007D312A"/>
    <w:rsid w:val="007D3F19"/>
    <w:rsid w:val="007D5909"/>
    <w:rsid w:val="007D6D52"/>
    <w:rsid w:val="007E1BA3"/>
    <w:rsid w:val="007E23B0"/>
    <w:rsid w:val="007E2840"/>
    <w:rsid w:val="007E2D6F"/>
    <w:rsid w:val="007E36CD"/>
    <w:rsid w:val="007E6A10"/>
    <w:rsid w:val="007E73E9"/>
    <w:rsid w:val="007F1991"/>
    <w:rsid w:val="007F2C2F"/>
    <w:rsid w:val="007F2D28"/>
    <w:rsid w:val="007F37F4"/>
    <w:rsid w:val="007F55FC"/>
    <w:rsid w:val="007F5665"/>
    <w:rsid w:val="00800112"/>
    <w:rsid w:val="00800E45"/>
    <w:rsid w:val="008076A0"/>
    <w:rsid w:val="00807CDD"/>
    <w:rsid w:val="008123D6"/>
    <w:rsid w:val="0081738E"/>
    <w:rsid w:val="0081769D"/>
    <w:rsid w:val="008253BB"/>
    <w:rsid w:val="0082676A"/>
    <w:rsid w:val="0082751D"/>
    <w:rsid w:val="00833AD9"/>
    <w:rsid w:val="008343E5"/>
    <w:rsid w:val="00836E2F"/>
    <w:rsid w:val="0083706E"/>
    <w:rsid w:val="00841BDA"/>
    <w:rsid w:val="008423A5"/>
    <w:rsid w:val="0084405E"/>
    <w:rsid w:val="008453BC"/>
    <w:rsid w:val="00850625"/>
    <w:rsid w:val="00853443"/>
    <w:rsid w:val="00853718"/>
    <w:rsid w:val="00855221"/>
    <w:rsid w:val="008565F9"/>
    <w:rsid w:val="00860645"/>
    <w:rsid w:val="008628EF"/>
    <w:rsid w:val="008661E8"/>
    <w:rsid w:val="0087120E"/>
    <w:rsid w:val="00871F71"/>
    <w:rsid w:val="008774C0"/>
    <w:rsid w:val="008809C1"/>
    <w:rsid w:val="00885AF4"/>
    <w:rsid w:val="008939CD"/>
    <w:rsid w:val="00896F97"/>
    <w:rsid w:val="008A44E2"/>
    <w:rsid w:val="008A5721"/>
    <w:rsid w:val="008B6C98"/>
    <w:rsid w:val="008B768C"/>
    <w:rsid w:val="008C1030"/>
    <w:rsid w:val="008C2DD9"/>
    <w:rsid w:val="008C4DB1"/>
    <w:rsid w:val="008C4EAF"/>
    <w:rsid w:val="008C5176"/>
    <w:rsid w:val="008C7FD0"/>
    <w:rsid w:val="008D2AE0"/>
    <w:rsid w:val="008D3660"/>
    <w:rsid w:val="008D5239"/>
    <w:rsid w:val="008E1DE7"/>
    <w:rsid w:val="008E259C"/>
    <w:rsid w:val="008E490A"/>
    <w:rsid w:val="008E6061"/>
    <w:rsid w:val="008E707C"/>
    <w:rsid w:val="008F08DD"/>
    <w:rsid w:val="00900B08"/>
    <w:rsid w:val="00902155"/>
    <w:rsid w:val="00902FA3"/>
    <w:rsid w:val="0090468D"/>
    <w:rsid w:val="00904B55"/>
    <w:rsid w:val="00904C9F"/>
    <w:rsid w:val="00907636"/>
    <w:rsid w:val="00913435"/>
    <w:rsid w:val="009143C0"/>
    <w:rsid w:val="00923564"/>
    <w:rsid w:val="0092392E"/>
    <w:rsid w:val="00924012"/>
    <w:rsid w:val="009315F9"/>
    <w:rsid w:val="00933CA2"/>
    <w:rsid w:val="00942382"/>
    <w:rsid w:val="0094583C"/>
    <w:rsid w:val="00946945"/>
    <w:rsid w:val="009469F2"/>
    <w:rsid w:val="00951248"/>
    <w:rsid w:val="0095152F"/>
    <w:rsid w:val="00954C49"/>
    <w:rsid w:val="00960EAE"/>
    <w:rsid w:val="00967EF7"/>
    <w:rsid w:val="0097099F"/>
    <w:rsid w:val="00970C21"/>
    <w:rsid w:val="00971997"/>
    <w:rsid w:val="00971FFC"/>
    <w:rsid w:val="00973C4C"/>
    <w:rsid w:val="00977CBC"/>
    <w:rsid w:val="0098660A"/>
    <w:rsid w:val="009923C7"/>
    <w:rsid w:val="009931C3"/>
    <w:rsid w:val="009A5128"/>
    <w:rsid w:val="009B2507"/>
    <w:rsid w:val="009B2C43"/>
    <w:rsid w:val="009B4EAE"/>
    <w:rsid w:val="009B7573"/>
    <w:rsid w:val="009C1E36"/>
    <w:rsid w:val="009C22F4"/>
    <w:rsid w:val="009C2E98"/>
    <w:rsid w:val="009C5D64"/>
    <w:rsid w:val="009C646B"/>
    <w:rsid w:val="009C7C91"/>
    <w:rsid w:val="009C7E4C"/>
    <w:rsid w:val="009D008C"/>
    <w:rsid w:val="009D01D9"/>
    <w:rsid w:val="009D32C8"/>
    <w:rsid w:val="009D3447"/>
    <w:rsid w:val="009D36AF"/>
    <w:rsid w:val="009D4711"/>
    <w:rsid w:val="009E180B"/>
    <w:rsid w:val="009E1D3E"/>
    <w:rsid w:val="009E5338"/>
    <w:rsid w:val="009E7A52"/>
    <w:rsid w:val="009F0C28"/>
    <w:rsid w:val="009F1185"/>
    <w:rsid w:val="009F18CD"/>
    <w:rsid w:val="009F2A13"/>
    <w:rsid w:val="009F78ED"/>
    <w:rsid w:val="00A009FF"/>
    <w:rsid w:val="00A0328E"/>
    <w:rsid w:val="00A04EB0"/>
    <w:rsid w:val="00A05676"/>
    <w:rsid w:val="00A13CC1"/>
    <w:rsid w:val="00A1419D"/>
    <w:rsid w:val="00A162C2"/>
    <w:rsid w:val="00A16847"/>
    <w:rsid w:val="00A2170D"/>
    <w:rsid w:val="00A234EE"/>
    <w:rsid w:val="00A2365D"/>
    <w:rsid w:val="00A237D8"/>
    <w:rsid w:val="00A2427B"/>
    <w:rsid w:val="00A268C4"/>
    <w:rsid w:val="00A30739"/>
    <w:rsid w:val="00A307CD"/>
    <w:rsid w:val="00A32818"/>
    <w:rsid w:val="00A40A00"/>
    <w:rsid w:val="00A4142F"/>
    <w:rsid w:val="00A42A58"/>
    <w:rsid w:val="00A441E5"/>
    <w:rsid w:val="00A52FF1"/>
    <w:rsid w:val="00A5482C"/>
    <w:rsid w:val="00A56DF2"/>
    <w:rsid w:val="00A67AB5"/>
    <w:rsid w:val="00A72A32"/>
    <w:rsid w:val="00A74480"/>
    <w:rsid w:val="00A777E9"/>
    <w:rsid w:val="00A84024"/>
    <w:rsid w:val="00A91760"/>
    <w:rsid w:val="00A9365A"/>
    <w:rsid w:val="00A93B00"/>
    <w:rsid w:val="00A93C21"/>
    <w:rsid w:val="00AB549B"/>
    <w:rsid w:val="00AB6703"/>
    <w:rsid w:val="00AC3C6A"/>
    <w:rsid w:val="00AC5172"/>
    <w:rsid w:val="00AC647E"/>
    <w:rsid w:val="00AD2A6C"/>
    <w:rsid w:val="00AD32D6"/>
    <w:rsid w:val="00AD353D"/>
    <w:rsid w:val="00AD4539"/>
    <w:rsid w:val="00AD520E"/>
    <w:rsid w:val="00AD5620"/>
    <w:rsid w:val="00AD7C1B"/>
    <w:rsid w:val="00AE16BA"/>
    <w:rsid w:val="00AE1EBE"/>
    <w:rsid w:val="00AE4883"/>
    <w:rsid w:val="00AF68AA"/>
    <w:rsid w:val="00B03C9D"/>
    <w:rsid w:val="00B060AE"/>
    <w:rsid w:val="00B06546"/>
    <w:rsid w:val="00B06EFA"/>
    <w:rsid w:val="00B10517"/>
    <w:rsid w:val="00B11218"/>
    <w:rsid w:val="00B13052"/>
    <w:rsid w:val="00B14AA4"/>
    <w:rsid w:val="00B14E76"/>
    <w:rsid w:val="00B161B8"/>
    <w:rsid w:val="00B2048C"/>
    <w:rsid w:val="00B207C7"/>
    <w:rsid w:val="00B24033"/>
    <w:rsid w:val="00B26FDA"/>
    <w:rsid w:val="00B30DCC"/>
    <w:rsid w:val="00B310B9"/>
    <w:rsid w:val="00B3146C"/>
    <w:rsid w:val="00B33DC9"/>
    <w:rsid w:val="00B349C5"/>
    <w:rsid w:val="00B34CB5"/>
    <w:rsid w:val="00B354E1"/>
    <w:rsid w:val="00B35F3F"/>
    <w:rsid w:val="00B363DC"/>
    <w:rsid w:val="00B36CBB"/>
    <w:rsid w:val="00B425E0"/>
    <w:rsid w:val="00B440AA"/>
    <w:rsid w:val="00B44B70"/>
    <w:rsid w:val="00B47216"/>
    <w:rsid w:val="00B53B46"/>
    <w:rsid w:val="00B53C56"/>
    <w:rsid w:val="00B548A5"/>
    <w:rsid w:val="00B61C23"/>
    <w:rsid w:val="00B67C8F"/>
    <w:rsid w:val="00B75A87"/>
    <w:rsid w:val="00B763ED"/>
    <w:rsid w:val="00B77EA6"/>
    <w:rsid w:val="00B809A6"/>
    <w:rsid w:val="00B80B42"/>
    <w:rsid w:val="00B81598"/>
    <w:rsid w:val="00B841F1"/>
    <w:rsid w:val="00B84FE5"/>
    <w:rsid w:val="00B944D6"/>
    <w:rsid w:val="00B967FD"/>
    <w:rsid w:val="00B9705D"/>
    <w:rsid w:val="00BB04A2"/>
    <w:rsid w:val="00BB4DF0"/>
    <w:rsid w:val="00BB7D3C"/>
    <w:rsid w:val="00BC289F"/>
    <w:rsid w:val="00BC5361"/>
    <w:rsid w:val="00BC5460"/>
    <w:rsid w:val="00BC6B50"/>
    <w:rsid w:val="00BD0E25"/>
    <w:rsid w:val="00BD12C2"/>
    <w:rsid w:val="00BD2248"/>
    <w:rsid w:val="00BD28F5"/>
    <w:rsid w:val="00BD4812"/>
    <w:rsid w:val="00BE1772"/>
    <w:rsid w:val="00BE2444"/>
    <w:rsid w:val="00BE6E72"/>
    <w:rsid w:val="00BF5BD6"/>
    <w:rsid w:val="00BF798D"/>
    <w:rsid w:val="00C03E31"/>
    <w:rsid w:val="00C0465C"/>
    <w:rsid w:val="00C178B3"/>
    <w:rsid w:val="00C27B5A"/>
    <w:rsid w:val="00C30A09"/>
    <w:rsid w:val="00C32AE5"/>
    <w:rsid w:val="00C33E72"/>
    <w:rsid w:val="00C34961"/>
    <w:rsid w:val="00C354B2"/>
    <w:rsid w:val="00C35554"/>
    <w:rsid w:val="00C3786D"/>
    <w:rsid w:val="00C42709"/>
    <w:rsid w:val="00C435FE"/>
    <w:rsid w:val="00C468E3"/>
    <w:rsid w:val="00C533CC"/>
    <w:rsid w:val="00C53431"/>
    <w:rsid w:val="00C551D6"/>
    <w:rsid w:val="00C5581D"/>
    <w:rsid w:val="00C5751C"/>
    <w:rsid w:val="00C61BFC"/>
    <w:rsid w:val="00C62B85"/>
    <w:rsid w:val="00C65438"/>
    <w:rsid w:val="00C66DA0"/>
    <w:rsid w:val="00C91CBB"/>
    <w:rsid w:val="00C94F6A"/>
    <w:rsid w:val="00C95EFF"/>
    <w:rsid w:val="00CA198A"/>
    <w:rsid w:val="00CA5B28"/>
    <w:rsid w:val="00CA5C82"/>
    <w:rsid w:val="00CC0119"/>
    <w:rsid w:val="00CC09B6"/>
    <w:rsid w:val="00CC3B69"/>
    <w:rsid w:val="00CC582A"/>
    <w:rsid w:val="00CC666F"/>
    <w:rsid w:val="00CC6E8C"/>
    <w:rsid w:val="00CC6F0A"/>
    <w:rsid w:val="00CD1E3F"/>
    <w:rsid w:val="00CD25D9"/>
    <w:rsid w:val="00CD443F"/>
    <w:rsid w:val="00CE44F6"/>
    <w:rsid w:val="00CE49DA"/>
    <w:rsid w:val="00CE7B61"/>
    <w:rsid w:val="00CF2C1C"/>
    <w:rsid w:val="00CF414D"/>
    <w:rsid w:val="00D00095"/>
    <w:rsid w:val="00D0557E"/>
    <w:rsid w:val="00D154D0"/>
    <w:rsid w:val="00D17263"/>
    <w:rsid w:val="00D20620"/>
    <w:rsid w:val="00D21970"/>
    <w:rsid w:val="00D240F9"/>
    <w:rsid w:val="00D26091"/>
    <w:rsid w:val="00D34E7C"/>
    <w:rsid w:val="00D35489"/>
    <w:rsid w:val="00D374AD"/>
    <w:rsid w:val="00D404A7"/>
    <w:rsid w:val="00D40BC2"/>
    <w:rsid w:val="00D461C1"/>
    <w:rsid w:val="00D51276"/>
    <w:rsid w:val="00D526B7"/>
    <w:rsid w:val="00D54873"/>
    <w:rsid w:val="00D55C92"/>
    <w:rsid w:val="00D61659"/>
    <w:rsid w:val="00D623B4"/>
    <w:rsid w:val="00D62FA5"/>
    <w:rsid w:val="00D65396"/>
    <w:rsid w:val="00D7035F"/>
    <w:rsid w:val="00D83D79"/>
    <w:rsid w:val="00D86B5D"/>
    <w:rsid w:val="00D93DA4"/>
    <w:rsid w:val="00D95397"/>
    <w:rsid w:val="00D9567F"/>
    <w:rsid w:val="00DA0688"/>
    <w:rsid w:val="00DA2F3C"/>
    <w:rsid w:val="00DA643B"/>
    <w:rsid w:val="00DA65AC"/>
    <w:rsid w:val="00DB1913"/>
    <w:rsid w:val="00DB283C"/>
    <w:rsid w:val="00DB3A08"/>
    <w:rsid w:val="00DB4568"/>
    <w:rsid w:val="00DB7FB9"/>
    <w:rsid w:val="00DC410D"/>
    <w:rsid w:val="00DC4290"/>
    <w:rsid w:val="00DC4300"/>
    <w:rsid w:val="00DC5DD5"/>
    <w:rsid w:val="00DC68CA"/>
    <w:rsid w:val="00DC7CBA"/>
    <w:rsid w:val="00DD0982"/>
    <w:rsid w:val="00DD2977"/>
    <w:rsid w:val="00DD4CDA"/>
    <w:rsid w:val="00DD73B7"/>
    <w:rsid w:val="00DD7BAF"/>
    <w:rsid w:val="00DE1E35"/>
    <w:rsid w:val="00DE4E94"/>
    <w:rsid w:val="00DE6109"/>
    <w:rsid w:val="00DE7657"/>
    <w:rsid w:val="00DF26AF"/>
    <w:rsid w:val="00DF28BC"/>
    <w:rsid w:val="00DF34B9"/>
    <w:rsid w:val="00DF65DF"/>
    <w:rsid w:val="00DF78CA"/>
    <w:rsid w:val="00E01053"/>
    <w:rsid w:val="00E07ACF"/>
    <w:rsid w:val="00E15D0E"/>
    <w:rsid w:val="00E22070"/>
    <w:rsid w:val="00E22876"/>
    <w:rsid w:val="00E2530E"/>
    <w:rsid w:val="00E331A1"/>
    <w:rsid w:val="00E33202"/>
    <w:rsid w:val="00E3334E"/>
    <w:rsid w:val="00E336A9"/>
    <w:rsid w:val="00E34771"/>
    <w:rsid w:val="00E36F8E"/>
    <w:rsid w:val="00E378EE"/>
    <w:rsid w:val="00E42C44"/>
    <w:rsid w:val="00E50258"/>
    <w:rsid w:val="00E50624"/>
    <w:rsid w:val="00E52D15"/>
    <w:rsid w:val="00E541B3"/>
    <w:rsid w:val="00E568DF"/>
    <w:rsid w:val="00E61769"/>
    <w:rsid w:val="00E62A62"/>
    <w:rsid w:val="00E64269"/>
    <w:rsid w:val="00E75E3B"/>
    <w:rsid w:val="00E769D0"/>
    <w:rsid w:val="00E77608"/>
    <w:rsid w:val="00E77EEA"/>
    <w:rsid w:val="00E81B64"/>
    <w:rsid w:val="00E82267"/>
    <w:rsid w:val="00E83A70"/>
    <w:rsid w:val="00E87103"/>
    <w:rsid w:val="00E971E5"/>
    <w:rsid w:val="00EA010F"/>
    <w:rsid w:val="00EA5BD8"/>
    <w:rsid w:val="00EB1BDB"/>
    <w:rsid w:val="00EB3262"/>
    <w:rsid w:val="00EB4EFD"/>
    <w:rsid w:val="00EB55B8"/>
    <w:rsid w:val="00EB6751"/>
    <w:rsid w:val="00EC0850"/>
    <w:rsid w:val="00EC4D96"/>
    <w:rsid w:val="00ED1B63"/>
    <w:rsid w:val="00ED3C1F"/>
    <w:rsid w:val="00ED4085"/>
    <w:rsid w:val="00ED420E"/>
    <w:rsid w:val="00ED571B"/>
    <w:rsid w:val="00EE2F57"/>
    <w:rsid w:val="00EE690B"/>
    <w:rsid w:val="00EE74A1"/>
    <w:rsid w:val="00EF180F"/>
    <w:rsid w:val="00EF4C34"/>
    <w:rsid w:val="00EF51AC"/>
    <w:rsid w:val="00EF77C6"/>
    <w:rsid w:val="00F05438"/>
    <w:rsid w:val="00F0669F"/>
    <w:rsid w:val="00F06C82"/>
    <w:rsid w:val="00F12C0B"/>
    <w:rsid w:val="00F1361C"/>
    <w:rsid w:val="00F15753"/>
    <w:rsid w:val="00F160C7"/>
    <w:rsid w:val="00F223EF"/>
    <w:rsid w:val="00F35C99"/>
    <w:rsid w:val="00F36D8F"/>
    <w:rsid w:val="00F417B1"/>
    <w:rsid w:val="00F41858"/>
    <w:rsid w:val="00F570B2"/>
    <w:rsid w:val="00F602DF"/>
    <w:rsid w:val="00F60E6E"/>
    <w:rsid w:val="00F6190E"/>
    <w:rsid w:val="00F656BE"/>
    <w:rsid w:val="00F67867"/>
    <w:rsid w:val="00F71F04"/>
    <w:rsid w:val="00F817A4"/>
    <w:rsid w:val="00F81FD9"/>
    <w:rsid w:val="00F841AA"/>
    <w:rsid w:val="00F87DDD"/>
    <w:rsid w:val="00F942A9"/>
    <w:rsid w:val="00FA23E8"/>
    <w:rsid w:val="00FA394D"/>
    <w:rsid w:val="00FA4EA6"/>
    <w:rsid w:val="00FB4A77"/>
    <w:rsid w:val="00FD0E0B"/>
    <w:rsid w:val="00FD3CC1"/>
    <w:rsid w:val="00FD75BA"/>
    <w:rsid w:val="00FE1D37"/>
    <w:rsid w:val="00FE1E78"/>
    <w:rsid w:val="00FE678C"/>
    <w:rsid w:val="00FF1E02"/>
    <w:rsid w:val="00FF30B4"/>
    <w:rsid w:val="023A67CE"/>
    <w:rsid w:val="05C55A49"/>
    <w:rsid w:val="066B5ABC"/>
    <w:rsid w:val="06E12649"/>
    <w:rsid w:val="0A460125"/>
    <w:rsid w:val="0AFE4B68"/>
    <w:rsid w:val="0E67448D"/>
    <w:rsid w:val="0E8F2B27"/>
    <w:rsid w:val="100B5979"/>
    <w:rsid w:val="10C055FF"/>
    <w:rsid w:val="13145C76"/>
    <w:rsid w:val="14522234"/>
    <w:rsid w:val="14653436"/>
    <w:rsid w:val="15180A2A"/>
    <w:rsid w:val="16BB723D"/>
    <w:rsid w:val="19D35002"/>
    <w:rsid w:val="19F23239"/>
    <w:rsid w:val="1B193F7D"/>
    <w:rsid w:val="1B2178C1"/>
    <w:rsid w:val="1C496D0F"/>
    <w:rsid w:val="1D355AF9"/>
    <w:rsid w:val="1E443A91"/>
    <w:rsid w:val="236A267C"/>
    <w:rsid w:val="240371BF"/>
    <w:rsid w:val="25AC4330"/>
    <w:rsid w:val="267F2DAD"/>
    <w:rsid w:val="28AF07F4"/>
    <w:rsid w:val="29666C5B"/>
    <w:rsid w:val="29FD04D3"/>
    <w:rsid w:val="2FC13CEC"/>
    <w:rsid w:val="319F7F4E"/>
    <w:rsid w:val="32A74E24"/>
    <w:rsid w:val="3AEC04E0"/>
    <w:rsid w:val="3F8E5283"/>
    <w:rsid w:val="410A74D6"/>
    <w:rsid w:val="43E71A37"/>
    <w:rsid w:val="48D65BD6"/>
    <w:rsid w:val="4A9A27DA"/>
    <w:rsid w:val="4B8D3C9B"/>
    <w:rsid w:val="4BE1417A"/>
    <w:rsid w:val="4D671004"/>
    <w:rsid w:val="4DA27445"/>
    <w:rsid w:val="4E2E0D71"/>
    <w:rsid w:val="52BF2806"/>
    <w:rsid w:val="54C2673F"/>
    <w:rsid w:val="55C36382"/>
    <w:rsid w:val="578E26DF"/>
    <w:rsid w:val="57987902"/>
    <w:rsid w:val="58EF4EE0"/>
    <w:rsid w:val="5EE35219"/>
    <w:rsid w:val="5FF645A1"/>
    <w:rsid w:val="60B46EEE"/>
    <w:rsid w:val="67E25D91"/>
    <w:rsid w:val="6B5E3BAD"/>
    <w:rsid w:val="753026B3"/>
    <w:rsid w:val="78832022"/>
    <w:rsid w:val="7E097B4C"/>
    <w:rsid w:val="7E267C92"/>
    <w:rsid w:val="7F8210C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iPriority="0" w:semiHidden="0"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6"/>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ody Text Indent 2"/>
    <w:basedOn w:val="1"/>
    <w:link w:val="34"/>
    <w:unhideWhenUsed/>
    <w:qFormat/>
    <w:uiPriority w:val="0"/>
    <w:pPr>
      <w:spacing w:after="120" w:line="480" w:lineRule="auto"/>
      <w:ind w:left="420" w:leftChars="200"/>
    </w:pPr>
  </w:style>
  <w:style w:type="paragraph" w:styleId="8">
    <w:name w:val="Balloon Text"/>
    <w:basedOn w:val="1"/>
    <w:link w:val="32"/>
    <w:semiHidden/>
    <w:unhideWhenUsed/>
    <w:qFormat/>
    <w:uiPriority w:val="99"/>
    <w:rPr>
      <w:sz w:val="18"/>
      <w:szCs w:val="18"/>
    </w:rPr>
  </w:style>
  <w:style w:type="paragraph" w:styleId="9">
    <w:name w:val="footer"/>
    <w:basedOn w:val="1"/>
    <w:link w:val="24"/>
    <w:qFormat/>
    <w:uiPriority w:val="0"/>
    <w:pPr>
      <w:tabs>
        <w:tab w:val="center" w:pos="4153"/>
        <w:tab w:val="right" w:pos="8306"/>
      </w:tabs>
      <w:snapToGrid w:val="0"/>
      <w:jc w:val="left"/>
    </w:pPr>
    <w:rPr>
      <w:rFonts w:ascii="Calibri" w:hAnsi="Calibri"/>
      <w:kern w:val="0"/>
      <w:sz w:val="18"/>
      <w:szCs w:val="18"/>
    </w:rPr>
  </w:style>
  <w:style w:type="paragraph" w:styleId="10">
    <w:name w:val="header"/>
    <w:basedOn w:val="1"/>
    <w:link w:val="22"/>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Body Text 2"/>
    <w:basedOn w:val="1"/>
    <w:link w:val="35"/>
    <w:qFormat/>
    <w:uiPriority w:val="0"/>
    <w:pPr>
      <w:spacing w:after="120" w:line="480" w:lineRule="auto"/>
    </w:pPr>
  </w:style>
  <w:style w:type="paragraph" w:styleId="14">
    <w:name w:val="Normal (Web)"/>
    <w:basedOn w:val="1"/>
    <w:unhideWhenUsed/>
    <w:qFormat/>
    <w:uiPriority w:val="0"/>
    <w:rPr>
      <w:sz w:val="24"/>
    </w:rPr>
  </w:style>
  <w:style w:type="character" w:styleId="17">
    <w:name w:val="Strong"/>
    <w:basedOn w:val="16"/>
    <w:qFormat/>
    <w:uiPriority w:val="99"/>
    <w:rPr>
      <w:b/>
    </w:rPr>
  </w:style>
  <w:style w:type="character" w:styleId="18">
    <w:name w:val="FollowedHyperlink"/>
    <w:basedOn w:val="16"/>
    <w:qFormat/>
    <w:uiPriority w:val="0"/>
    <w:rPr>
      <w:color w:val="333333"/>
      <w:u w:val="none"/>
    </w:rPr>
  </w:style>
  <w:style w:type="character" w:styleId="19">
    <w:name w:val="Emphasis"/>
    <w:basedOn w:val="16"/>
    <w:qFormat/>
    <w:uiPriority w:val="0"/>
    <w:rPr>
      <w:rFonts w:hint="eastAsia" w:ascii="微软雅黑" w:hAnsi="微软雅黑" w:eastAsia="微软雅黑" w:cs="微软雅黑"/>
    </w:rPr>
  </w:style>
  <w:style w:type="character" w:styleId="20">
    <w:name w:val="Hyperlink"/>
    <w:basedOn w:val="16"/>
    <w:unhideWhenUsed/>
    <w:qFormat/>
    <w:uiPriority w:val="99"/>
    <w:rPr>
      <w:color w:val="0000FF" w:themeColor="hyperlink"/>
      <w:u w:val="single"/>
      <w14:textFill>
        <w14:solidFill>
          <w14:schemeClr w14:val="hlink"/>
        </w14:solidFill>
      </w14:textFill>
    </w:rPr>
  </w:style>
  <w:style w:type="character" w:customStyle="1" w:styleId="21">
    <w:name w:val="Header Char"/>
    <w:basedOn w:val="16"/>
    <w:semiHidden/>
    <w:qFormat/>
    <w:uiPriority w:val="99"/>
    <w:rPr>
      <w:rFonts w:ascii="Times New Roman" w:hAnsi="Times New Roman"/>
      <w:sz w:val="18"/>
      <w:szCs w:val="18"/>
    </w:rPr>
  </w:style>
  <w:style w:type="character" w:customStyle="1" w:styleId="22">
    <w:name w:val="页眉 Char"/>
    <w:link w:val="10"/>
    <w:semiHidden/>
    <w:qFormat/>
    <w:locked/>
    <w:uiPriority w:val="99"/>
    <w:rPr>
      <w:sz w:val="18"/>
    </w:rPr>
  </w:style>
  <w:style w:type="character" w:customStyle="1" w:styleId="23">
    <w:name w:val="Footer Char"/>
    <w:basedOn w:val="16"/>
    <w:semiHidden/>
    <w:qFormat/>
    <w:uiPriority w:val="99"/>
    <w:rPr>
      <w:rFonts w:ascii="Times New Roman" w:hAnsi="Times New Roman"/>
      <w:sz w:val="18"/>
      <w:szCs w:val="18"/>
    </w:rPr>
  </w:style>
  <w:style w:type="character" w:customStyle="1" w:styleId="24">
    <w:name w:val="页脚 Char"/>
    <w:link w:val="9"/>
    <w:qFormat/>
    <w:locked/>
    <w:uiPriority w:val="99"/>
    <w:rPr>
      <w:sz w:val="18"/>
    </w:rPr>
  </w:style>
  <w:style w:type="character" w:customStyle="1" w:styleId="25">
    <w:name w:val="Body Text Char"/>
    <w:basedOn w:val="16"/>
    <w:semiHidden/>
    <w:qFormat/>
    <w:uiPriority w:val="99"/>
    <w:rPr>
      <w:rFonts w:ascii="Times New Roman" w:hAnsi="Times New Roman"/>
      <w:szCs w:val="24"/>
    </w:rPr>
  </w:style>
  <w:style w:type="character" w:customStyle="1" w:styleId="26">
    <w:name w:val="正文文本 Char"/>
    <w:link w:val="2"/>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16"/>
    <w:link w:val="3"/>
    <w:qFormat/>
    <w:uiPriority w:val="9"/>
    <w:rPr>
      <w:rFonts w:ascii="Times New Roman" w:hAnsi="Times New Roman"/>
      <w:b/>
      <w:bCs/>
      <w:kern w:val="44"/>
      <w:sz w:val="44"/>
      <w:szCs w:val="44"/>
    </w:rPr>
  </w:style>
  <w:style w:type="character" w:customStyle="1" w:styleId="30">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3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16"/>
    <w:link w:val="8"/>
    <w:semiHidden/>
    <w:qFormat/>
    <w:uiPriority w:val="99"/>
    <w:rPr>
      <w:rFonts w:ascii="Times New Roman" w:hAnsi="Times New Roman"/>
      <w:kern w:val="2"/>
      <w:sz w:val="18"/>
      <w:szCs w:val="18"/>
    </w:rPr>
  </w:style>
  <w:style w:type="character" w:customStyle="1" w:styleId="33">
    <w:name w:val="标题 3 Char"/>
    <w:basedOn w:val="16"/>
    <w:link w:val="5"/>
    <w:qFormat/>
    <w:uiPriority w:val="9"/>
    <w:rPr>
      <w:rFonts w:ascii="Times New Roman" w:hAnsi="Times New Roman"/>
      <w:b/>
      <w:bCs/>
      <w:kern w:val="2"/>
      <w:sz w:val="32"/>
      <w:szCs w:val="32"/>
    </w:rPr>
  </w:style>
  <w:style w:type="character" w:customStyle="1" w:styleId="34">
    <w:name w:val="正文文本缩进 2 Char"/>
    <w:basedOn w:val="16"/>
    <w:link w:val="7"/>
    <w:semiHidden/>
    <w:qFormat/>
    <w:uiPriority w:val="99"/>
    <w:rPr>
      <w:rFonts w:ascii="Times New Roman" w:hAnsi="Times New Roman"/>
      <w:kern w:val="2"/>
      <w:sz w:val="21"/>
      <w:szCs w:val="24"/>
    </w:rPr>
  </w:style>
  <w:style w:type="character" w:customStyle="1" w:styleId="35">
    <w:name w:val="正文文本 2 Char"/>
    <w:basedOn w:val="16"/>
    <w:link w:val="13"/>
    <w:qFormat/>
    <w:uiPriority w:val="0"/>
    <w:rPr>
      <w:rFonts w:ascii="Times New Roman" w:hAnsi="Times New Roman"/>
      <w:kern w:val="2"/>
      <w:sz w:val="21"/>
      <w:szCs w:val="24"/>
    </w:rPr>
  </w:style>
  <w:style w:type="character" w:customStyle="1" w:styleId="36">
    <w:name w:val="wx-space1"/>
    <w:basedOn w:val="16"/>
    <w:qFormat/>
    <w:uiPriority w:val="0"/>
  </w:style>
  <w:style w:type="character" w:customStyle="1" w:styleId="37">
    <w:name w:val="after"/>
    <w:basedOn w:val="16"/>
    <w:qFormat/>
    <w:uiPriority w:val="0"/>
    <w:rPr>
      <w:shd w:val="clear" w:color="auto" w:fill="FFFFFF"/>
    </w:rPr>
  </w:style>
  <w:style w:type="character" w:customStyle="1" w:styleId="38">
    <w:name w:val="hover20"/>
    <w:basedOn w:val="16"/>
    <w:qFormat/>
    <w:uiPriority w:val="0"/>
    <w:rPr>
      <w:color w:val="000000"/>
      <w:shd w:val="clear" w:color="auto" w:fill="FFFFFF"/>
    </w:rPr>
  </w:style>
  <w:style w:type="character" w:customStyle="1" w:styleId="39">
    <w:name w:val="last"/>
    <w:basedOn w:val="16"/>
    <w:qFormat/>
    <w:uiPriority w:val="0"/>
  </w:style>
  <w:style w:type="character" w:customStyle="1" w:styleId="40">
    <w:name w:val="text"/>
    <w:basedOn w:val="16"/>
    <w:qFormat/>
    <w:uiPriority w:val="0"/>
    <w:rPr>
      <w:color w:val="666666"/>
    </w:rPr>
  </w:style>
  <w:style w:type="character" w:customStyle="1" w:styleId="41">
    <w:name w:val="wx-space"/>
    <w:basedOn w:val="16"/>
    <w:qFormat/>
    <w:uiPriority w:val="0"/>
  </w:style>
  <w:style w:type="paragraph" w:customStyle="1" w:styleId="42">
    <w:name w:val="列出段落1"/>
    <w:basedOn w:val="1"/>
    <w:qFormat/>
    <w:uiPriority w:val="34"/>
    <w:pPr>
      <w:ind w:firstLine="420" w:firstLineChars="200"/>
    </w:pPr>
  </w:style>
  <w:style w:type="paragraph" w:customStyle="1" w:styleId="43">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44">
    <w:name w:val="正文1"/>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WPSOffice手动目录 1"/>
    <w:uiPriority w:val="0"/>
    <w:pPr>
      <w:ind w:leftChars="0"/>
    </w:pPr>
    <w:rPr>
      <w:rFonts w:ascii="Calibri" w:hAnsi="Calibri" w:eastAsia="宋体" w:cs="Times New Roman"/>
      <w:sz w:val="20"/>
      <w:szCs w:val="20"/>
    </w:rPr>
  </w:style>
  <w:style w:type="paragraph" w:customStyle="1" w:styleId="46">
    <w:name w:val="WPSOffice手动目录 2"/>
    <w:uiPriority w:val="0"/>
    <w:pPr>
      <w:ind w:leftChars="200"/>
    </w:pPr>
    <w:rPr>
      <w:rFonts w:ascii="Calibri" w:hAnsi="Calibri" w:eastAsia="宋体" w:cs="Times New Roman"/>
      <w:sz w:val="20"/>
      <w:szCs w:val="20"/>
    </w:rPr>
  </w:style>
  <w:style w:type="paragraph" w:customStyle="1" w:styleId="47">
    <w:name w:val="WPSOffice手动目录 3"/>
    <w:qFormat/>
    <w:uiPriority w:val="0"/>
    <w:pPr>
      <w:ind w:leftChars="4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en-US"/>
              <a:t>年收入</a:t>
            </a:r>
            <a:endParaRPr altLang="en-US"/>
          </a:p>
        </c:rich>
      </c:tx>
      <c:layout>
        <c:manualLayout>
          <c:xMode val="edge"/>
          <c:yMode val="edge"/>
          <c:x val="0.391445236552171"/>
          <c:y val="0.0637280934678704"/>
        </c:manualLayout>
      </c:layout>
      <c:overlay val="0"/>
      <c:spPr>
        <a:noFill/>
        <a:ln>
          <a:noFill/>
        </a:ln>
        <a:effectLst/>
      </c:spPr>
    </c:title>
    <c:autoTitleDeleted val="0"/>
    <c:plotArea>
      <c:layout>
        <c:manualLayout>
          <c:layoutTarget val="inner"/>
          <c:xMode val="edge"/>
          <c:yMode val="edge"/>
          <c:x val="0.204686118479222"/>
          <c:y val="0.154349859681946"/>
          <c:w val="0.502063071028588"/>
          <c:h val="0.796772684752105"/>
        </c:manualLayout>
      </c:layout>
      <c:pieChart>
        <c:varyColors val="1"/>
        <c:ser>
          <c:idx val="0"/>
          <c:order val="0"/>
          <c:tx>
            <c:strRef>
              <c:f>Sheet1!$B$1</c:f>
              <c:strCache>
                <c:ptCount val="1"/>
                <c:pt idx="0">
                  <c:v>销售额</c:v>
                </c:pt>
              </c:strCache>
            </c:strRef>
          </c:tx>
          <c:spPr>
            <a:ln w="19050">
              <a:noFill/>
            </a:ln>
          </c:spPr>
          <c:explosion val="0"/>
          <c:dPt>
            <c:idx val="0"/>
            <c:bubble3D val="0"/>
            <c:spPr>
              <a:solidFill>
                <a:schemeClr val="accent1"/>
              </a:solidFill>
              <a:ln w="19050">
                <a:noFill/>
              </a:ln>
              <a:effectLst/>
            </c:spPr>
          </c:dPt>
          <c:dPt>
            <c:idx val="1"/>
            <c:bubble3D val="0"/>
            <c:spPr>
              <a:solidFill>
                <a:schemeClr val="accent2"/>
              </a:solidFill>
              <a:ln w="19050">
                <a:noFill/>
              </a:ln>
              <a:effectLst/>
            </c:spPr>
          </c:dPt>
          <c:dPt>
            <c:idx val="2"/>
            <c:bubble3D val="0"/>
            <c:spPr>
              <a:solidFill>
                <a:schemeClr val="accent3"/>
              </a:solidFill>
              <a:ln w="19050">
                <a:noFill/>
              </a:ln>
              <a:effectLst/>
            </c:spPr>
          </c:dPt>
          <c:dPt>
            <c:idx val="3"/>
            <c:bubble3D val="0"/>
            <c:spPr>
              <a:solidFill>
                <a:schemeClr val="accent4"/>
              </a:solidFill>
              <a:ln w="19050">
                <a:noFill/>
              </a:ln>
              <a:effectLst/>
            </c:spPr>
          </c:dPt>
          <c:dLbls>
            <c:delete val="1"/>
          </c:dLbls>
          <c:cat>
            <c:strRef>
              <c:f>Sheet1!$A$2:$A$5</c:f>
              <c:strCache>
                <c:ptCount val="4"/>
                <c:pt idx="0">
                  <c:v>一般公共财政拨款收入</c:v>
                </c:pt>
              </c:strCache>
            </c:strRef>
          </c:cat>
          <c:val>
            <c:numRef>
              <c:f>Sheet1!$B$2:$B$5</c:f>
              <c:numCache>
                <c:formatCode>General</c:formatCode>
                <c:ptCount val="4"/>
                <c:pt idx="0">
                  <c:v>10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1"/>
        <c:delete val="1"/>
      </c:legendEntry>
      <c:legendEntry>
        <c:idx val="2"/>
        <c:delete val="1"/>
      </c:legendEntry>
      <c:legendEntry>
        <c:idx val="3"/>
        <c:delete val="1"/>
      </c:legendEntry>
      <c:layout>
        <c:manualLayout>
          <c:xMode val="edge"/>
          <c:yMode val="edge"/>
          <c:x val="0.789209332469216"/>
          <c:y val="0.531864046733935"/>
          <c:w val="0.199449125081011"/>
          <c:h val="0.099575146043547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15875" cap="flat" cmpd="sng" algn="ctr">
      <a:solidFill>
        <a:schemeClr val="tx1"/>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en-US"/>
              <a:t>年支出</a:t>
            </a:r>
            <a:endParaRPr altLang="en-US"/>
          </a:p>
        </c:rich>
      </c:tx>
      <c:layout/>
      <c:overlay val="0"/>
      <c:spPr>
        <a:noFill/>
        <a:ln>
          <a:noFill/>
        </a:ln>
        <a:effectLst/>
      </c:spPr>
    </c:title>
    <c:autoTitleDeleted val="0"/>
    <c:plotArea>
      <c:layout>
        <c:manualLayout>
          <c:layoutTarget val="inner"/>
          <c:xMode val="edge"/>
          <c:yMode val="edge"/>
          <c:x val="0.151375"/>
          <c:y val="0.1245"/>
          <c:w val="0.5915"/>
          <c:h val="0.788666666666667"/>
        </c:manualLayout>
      </c:layout>
      <c:pieChart>
        <c:varyColors val="1"/>
        <c:ser>
          <c:idx val="0"/>
          <c:order val="0"/>
          <c:tx>
            <c:strRef>
              <c:f>Sheet1!$B$1</c:f>
              <c:strCache>
                <c:ptCount val="1"/>
                <c:pt idx="0">
                  <c:v>销售额</c:v>
                </c:pt>
              </c:strCache>
            </c:strRef>
          </c:tx>
          <c:spPr>
            <a:ln w="19050">
              <a:noFill/>
            </a:ln>
          </c:spPr>
          <c:explosion val="0"/>
          <c:dPt>
            <c:idx val="0"/>
            <c:bubble3D val="0"/>
            <c:spPr>
              <a:solidFill>
                <a:schemeClr val="accent1"/>
              </a:solidFill>
              <a:ln w="19050">
                <a:noFill/>
              </a:ln>
              <a:effectLst/>
            </c:spPr>
          </c:dPt>
          <c:dPt>
            <c:idx val="1"/>
            <c:bubble3D val="0"/>
            <c:spPr>
              <a:solidFill>
                <a:schemeClr val="accent2"/>
              </a:solidFill>
              <a:ln w="19050">
                <a:noFill/>
              </a:ln>
              <a:effectLst/>
            </c:spPr>
          </c:dPt>
          <c:dPt>
            <c:idx val="2"/>
            <c:bubble3D val="0"/>
            <c:spPr>
              <a:solidFill>
                <a:schemeClr val="accent3"/>
              </a:solidFill>
              <a:ln w="19050">
                <a:noFill/>
              </a:ln>
              <a:effectLst/>
            </c:spPr>
          </c:dPt>
          <c:dPt>
            <c:idx val="3"/>
            <c:bubble3D val="0"/>
            <c:spPr>
              <a:solidFill>
                <a:schemeClr val="accent4"/>
              </a:solidFill>
              <a:ln w="19050">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基本支出49.32%</c:v>
                </c:pt>
                <c:pt idx="1">
                  <c:v>项目支出50.68%</c:v>
                </c:pt>
              </c:strCache>
            </c:strRef>
          </c:cat>
          <c:val>
            <c:numRef>
              <c:f>Sheet1!$B$2:$B$5</c:f>
              <c:numCache>
                <c:formatCode>General</c:formatCode>
                <c:ptCount val="4"/>
                <c:pt idx="0">
                  <c:v>49.32</c:v>
                </c:pt>
                <c:pt idx="1">
                  <c:v>50.68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一般公共预算财政拨款收入支出</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178.47</c:v>
                </c:pt>
                <c:pt idx="1">
                  <c:v>107.83</c:v>
                </c:pt>
              </c:numCache>
            </c:numRef>
          </c:val>
        </c:ser>
        <c:ser>
          <c:idx val="1"/>
          <c:order val="1"/>
          <c:tx>
            <c:strRef>
              <c:f>Sheet1!$C$1</c:f>
              <c:strCache>
                <c:ptCount val="1"/>
                <c:pt idx="0">
                  <c:v>支出</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Sheet1!$A$2:$A$3</c:f>
              <c:strCache>
                <c:ptCount val="2"/>
                <c:pt idx="0">
                  <c:v>2020年</c:v>
                </c:pt>
                <c:pt idx="1">
                  <c:v>2021年</c:v>
                </c:pt>
              </c:strCache>
            </c:strRef>
          </c:cat>
          <c:val>
            <c:numRef>
              <c:f>Sheet1!$C$2:$C$3</c:f>
              <c:numCache>
                <c:formatCode>General</c:formatCode>
                <c:ptCount val="2"/>
                <c:pt idx="0">
                  <c:v>160.29</c:v>
                </c:pt>
                <c:pt idx="1">
                  <c:v>151.83</c:v>
                </c:pt>
              </c:numCache>
            </c:numRef>
          </c:val>
        </c:ser>
        <c:ser>
          <c:idx val="2"/>
          <c:order val="2"/>
          <c:tx>
            <c:strRef>
              <c:f>Sheet1!$D$1</c:f>
              <c:strCache>
                <c:ptCount val="1"/>
                <c:pt idx="0">
                  <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Sheet1!$A$2:$A$3</c:f>
              <c:strCache>
                <c:ptCount val="2"/>
                <c:pt idx="0">
                  <c:v>2020年</c:v>
                </c:pt>
                <c:pt idx="1">
                  <c:v>2021年</c:v>
                </c:pt>
              </c:strCache>
            </c:strRef>
          </c:cat>
          <c:val>
            <c:numRef>
              <c:f>Sheet1!$D$2:$D$3</c:f>
              <c:numCache>
                <c:formatCode>General</c:formatCode>
                <c:ptCount val="2"/>
              </c:numCache>
            </c:numRef>
          </c:val>
        </c:ser>
        <c:dLbls>
          <c:showLegendKey val="0"/>
          <c:showVal val="1"/>
          <c:showCatName val="0"/>
          <c:showSerName val="0"/>
          <c:showPercent val="0"/>
          <c:showBubbleSize val="0"/>
        </c:dLbls>
        <c:gapWidth val="65"/>
        <c:axId val="123255040"/>
        <c:axId val="123269120"/>
      </c:barChart>
      <c:catAx>
        <c:axId val="123255040"/>
        <c:scaling>
          <c:orientation val="minMax"/>
        </c:scaling>
        <c:delete val="0"/>
        <c:axPos val="b"/>
        <c:majorTickMark val="out"/>
        <c:minorTickMark val="none"/>
        <c:tickLblPos val="nextTo"/>
        <c:spPr>
          <a:noFill/>
          <a:ln w="19050" cap="flat" cmpd="sng" algn="ctr">
            <a:solidFill>
              <a:schemeClr val="dk1">
                <a:lumMod val="75000"/>
                <a:lumOff val="25000"/>
              </a:schemeClr>
            </a:solidFill>
            <a:prstDash val="solid"/>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123269120"/>
        <c:crosses val="autoZero"/>
        <c:auto val="1"/>
        <c:lblAlgn val="ctr"/>
        <c:lblOffset val="100"/>
        <c:noMultiLvlLbl val="0"/>
      </c:catAx>
      <c:valAx>
        <c:axId val="123269120"/>
        <c:scaling>
          <c:orientation val="minMax"/>
        </c:scaling>
        <c:delete val="0"/>
        <c:axPos val="l"/>
        <c:numFmt formatCode="General" sourceLinked="1"/>
        <c:majorTickMark val="out"/>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123255040"/>
        <c:crosses val="autoZero"/>
        <c:crossBetween val="between"/>
      </c:valAx>
      <c:spPr>
        <a:noFill/>
        <a:ln>
          <a:noFill/>
        </a:ln>
        <a:effectLst/>
      </c:spPr>
    </c:plotArea>
    <c:legend>
      <c:legendPos val="b"/>
      <c:legendEntry>
        <c:idx val="2"/>
        <c:delete val="1"/>
      </c:legendEntry>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no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rgbClr val="FF0000"/>
                </a:solidFill>
                <a:latin typeface="+mn-lt"/>
                <a:ea typeface="+mn-ea"/>
                <a:cs typeface="+mn-cs"/>
              </a:defRPr>
            </a:pPr>
            <a:r>
              <a:rPr lang="zh-CN" altLang="en-US">
                <a:solidFill>
                  <a:sysClr val="windowText" lastClr="000000"/>
                </a:solidFill>
              </a:rPr>
              <a:t>一般公共预算财政拨款支出结构</a:t>
            </a:r>
            <a:endParaRPr lang="zh-CN" altLang="en-US">
              <a:solidFill>
                <a:sysClr val="windowText" lastClr="000000"/>
              </a:solidFill>
            </a:endParaRPr>
          </a:p>
        </c:rich>
      </c:tx>
      <c:layout>
        <c:manualLayout>
          <c:xMode val="edge"/>
          <c:yMode val="edge"/>
          <c:x val="0.117609710550887"/>
          <c:y val="0"/>
        </c:manualLayout>
      </c:layout>
      <c:overlay val="0"/>
    </c:title>
    <c:autoTitleDeleted val="0"/>
    <c:plotArea>
      <c:layout>
        <c:manualLayout>
          <c:layoutTarget val="inner"/>
          <c:xMode val="edge"/>
          <c:yMode val="edge"/>
          <c:x val="0.215902660054817"/>
          <c:y val="0.394202898550725"/>
          <c:w val="0.224279007377599"/>
          <c:h val="0.605797101449275"/>
        </c:manualLayout>
      </c:layout>
      <c:pieChart>
        <c:varyColors val="1"/>
        <c:ser>
          <c:idx val="0"/>
          <c:order val="0"/>
          <c:tx>
            <c:strRef>
              <c:f>Sheet1!$B$1</c:f>
              <c:strCache>
                <c:ptCount val="1"/>
                <c:pt idx="0">
                  <c:v>一般公共预算财政拨款支出结构</c:v>
                </c:pt>
              </c:strCache>
            </c:strRef>
          </c:tx>
          <c:explosion val="0"/>
          <c:dPt>
            <c:idx val="0"/>
            <c:bubble3D val="0"/>
          </c:dPt>
          <c:dPt>
            <c:idx val="1"/>
            <c:bubble3D val="0"/>
          </c:dPt>
          <c:dPt>
            <c:idx val="2"/>
            <c:bubble3D val="0"/>
          </c:dPt>
          <c:dPt>
            <c:idx val="3"/>
            <c:bubble3D val="0"/>
          </c:dPt>
          <c:dLbls>
            <c:delete val="1"/>
          </c:dLbls>
          <c:cat>
            <c:strRef>
              <c:f>Sheet1!$A$2:$A$5</c:f>
              <c:strCache>
                <c:ptCount val="4"/>
                <c:pt idx="0">
                  <c:v>206类科学技术支出</c:v>
                </c:pt>
                <c:pt idx="1">
                  <c:v>208类社会保障和就业支出</c:v>
                </c:pt>
                <c:pt idx="2">
                  <c:v>210类卫生健康支出</c:v>
                </c:pt>
                <c:pt idx="3">
                  <c:v>221类住房保障支出</c:v>
                </c:pt>
              </c:strCache>
            </c:strRef>
          </c:cat>
          <c:val>
            <c:numRef>
              <c:f>Sheet1!$B$2:$B$5</c:f>
              <c:numCache>
                <c:formatCode>General</c:formatCode>
                <c:ptCount val="4"/>
                <c:pt idx="0">
                  <c:v>135.98</c:v>
                </c:pt>
                <c:pt idx="1">
                  <c:v>8.89</c:v>
                </c:pt>
                <c:pt idx="2">
                  <c:v>3.03</c:v>
                </c:pt>
                <c:pt idx="3">
                  <c:v>3.93</c:v>
                </c:pt>
              </c:numCache>
            </c:numRef>
          </c:val>
        </c:ser>
        <c:dLbls>
          <c:showLegendKey val="0"/>
          <c:showVal val="1"/>
          <c:showCatName val="0"/>
          <c:showSerName val="0"/>
          <c:showPercent val="0"/>
          <c:showBubbleSize val="0"/>
          <c:showLeaderLines val="1"/>
        </c:dLbls>
        <c:firstSliceAng val="0"/>
      </c:pieChart>
    </c:plotArea>
    <c:legend>
      <c:legendPos val="r"/>
      <c:legendEntry>
        <c:idx val="0"/>
        <c:txPr>
          <a:bodyPr rot="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legendEntry>
      <c:legendEntry>
        <c:idx val="2"/>
        <c:txPr>
          <a:bodyPr rot="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legendEntry>
      <c:legendEntry>
        <c:idx val="3"/>
        <c:txPr>
          <a:bodyPr rot="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legendEntry>
      <c:layout>
        <c:manualLayout>
          <c:xMode val="edge"/>
          <c:yMode val="edge"/>
          <c:x val="0.657887517146777"/>
          <c:y val="0.418612521150592"/>
          <c:w val="0.337997256515775"/>
          <c:h val="0.446700507614213"/>
        </c:manualLayout>
      </c:layout>
      <c:overlay val="0"/>
      <c:txPr>
        <a:bodyPr rot="0" spcFirstLastPara="0" vertOverflow="ellipsis" vert="horz" wrap="square" anchor="ctr" anchorCtr="1"/>
        <a:lstStyle/>
        <a:p>
          <a:pPr>
            <a:defRPr lang="zh-CN" sz="1000" b="0" i="0" u="none" strike="noStrike" kern="1200" baseline="0">
              <a:solidFill>
                <a:srgbClr val="FF0000"/>
              </a:solidFill>
              <a:latin typeface="+mn-lt"/>
              <a:ea typeface="+mn-ea"/>
              <a:cs typeface="+mn-cs"/>
            </a:defRPr>
          </a:pPr>
        </a:p>
      </c:txPr>
    </c:legend>
    <c:plotVisOnly val="1"/>
    <c:dispBlanksAs val="zero"/>
    <c:showDLblsOverMax val="0"/>
  </c:chart>
  <c:txPr>
    <a:bodyPr/>
    <a:lstStyle/>
    <a:p>
      <a:pPr>
        <a:defRPr lang="zh-CN">
          <a:solidFill>
            <a:srgbClr val="FF0000"/>
          </a:solidFill>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24AE5-EF31-4652-B9CA-52A8140564F1}">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29</Pages>
  <Words>10964</Words>
  <Characters>12344</Characters>
  <Lines>13</Lines>
  <Paragraphs>24</Paragraphs>
  <TotalTime>3</TotalTime>
  <ScaleCrop>false</ScaleCrop>
  <LinksUpToDate>false</LinksUpToDate>
  <CharactersWithSpaces>12474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2022-09-06T02:12:00Z</dcterms:created>
  <dc:creator>张彬茜</dc:creator>
  <cp:lastModifiedBy>糖糖</cp:lastModifiedBy>
  <cp:lastPrinted>2022-09-06T02:30:00Z</cp:lastPrinted>
  <dcterms:modified xsi:type="dcterms:W3CDTF">2022-10-14T07:01:30Z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C39EA2FBE6C447129CF61DFEC91678ED</vt:lpwstr>
  </property>
</Properties>
</file>