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资阳市雁江区科学技术协会</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2020年公开部门预算编制的说明</w:t>
      </w:r>
    </w:p>
    <w:p>
      <w:pPr>
        <w:rPr>
          <w:rFonts w:ascii="方正仿宋简体" w:eastAsia="方正仿宋简体"/>
          <w:sz w:val="32"/>
          <w:szCs w:val="32"/>
        </w:rPr>
      </w:pPr>
    </w:p>
    <w:p>
      <w:pPr>
        <w:jc w:val="left"/>
        <w:rPr>
          <w:rFonts w:ascii="方正小标宋简体" w:eastAsia="方正小标宋简体"/>
          <w:sz w:val="32"/>
          <w:szCs w:val="32"/>
        </w:rPr>
      </w:pPr>
      <w:r>
        <w:rPr>
          <w:rFonts w:hint="eastAsia" w:ascii="方正仿宋简体" w:eastAsia="方正仿宋简体"/>
          <w:sz w:val="32"/>
          <w:szCs w:val="32"/>
        </w:rPr>
        <w:t xml:space="preserve">　  </w:t>
      </w:r>
      <w:r>
        <w:rPr>
          <w:rFonts w:hint="eastAsia" w:ascii="方正小标宋简体" w:eastAsia="方正小标宋简体"/>
          <w:sz w:val="32"/>
          <w:szCs w:val="32"/>
        </w:rPr>
        <w:t>一、基本职能及主要工作</w:t>
      </w:r>
    </w:p>
    <w:p>
      <w:pPr>
        <w:ind w:firstLine="420" w:firstLineChars="150"/>
        <w:jc w:val="left"/>
        <w:rPr>
          <w:rFonts w:ascii="方正小标宋简体" w:eastAsia="方正小标宋简体"/>
          <w:sz w:val="28"/>
          <w:szCs w:val="28"/>
        </w:rPr>
      </w:pPr>
      <w:r>
        <w:rPr>
          <w:rFonts w:hint="eastAsia" w:ascii="方正小标宋简体" w:eastAsia="方正小标宋简体"/>
          <w:sz w:val="28"/>
          <w:szCs w:val="28"/>
        </w:rPr>
        <w:t>（一）雁江区科协职能简介</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1、开展学术交流，活跃学术思想，推动学科发展促进决策的科学化、民主化。</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2、普及科学知识，推广先进技术，开展农村干部群众和青少年科技教育活动。</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3、维护科技工作者的合法权益，为科技团体和科技工作者服务，表彰奖励科技工作者，促进人才的成长和尊重知识、尊重人才社会风气的形成。</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4、开展继续教育和技术培训工作，进行技术咨询服务，推动科技成果向生产力转化。</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5、参与科技政策、法规以及科技计划、规划的制定。</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6、开展国际和港、澳、台地区民间科技交流与合作，促进对外开放，推进祖国和平统一。</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7、对所属区级学会、协会、研究会进行管理，对乡镇科协和区属厂矿科协进行业务指导。</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8、承担区委、区政府和市科协交办的其他任务。</w:t>
      </w:r>
    </w:p>
    <w:p>
      <w:pPr>
        <w:spacing w:line="660" w:lineRule="exact"/>
        <w:ind w:firstLine="700" w:firstLineChars="250"/>
        <w:rPr>
          <w:rFonts w:ascii="方正小标宋简体" w:eastAsia="方正小标宋简体"/>
          <w:sz w:val="28"/>
          <w:szCs w:val="28"/>
        </w:rPr>
      </w:pPr>
      <w:r>
        <w:rPr>
          <w:rFonts w:hint="eastAsia" w:ascii="方正小标宋简体" w:eastAsia="方正小标宋简体"/>
          <w:sz w:val="28"/>
          <w:szCs w:val="28"/>
        </w:rPr>
        <w:t>（二）雁江区科协2020年重点工作</w:t>
      </w:r>
    </w:p>
    <w:p>
      <w:pPr>
        <w:spacing w:line="560" w:lineRule="exact"/>
        <w:ind w:firstLine="640" w:firstLineChars="200"/>
        <w:rPr>
          <w:rFonts w:ascii="宋体" w:hAnsi="宋体" w:eastAsia="方正仿宋简体" w:cs="方正仿宋简体"/>
          <w:sz w:val="33"/>
          <w:szCs w:val="33"/>
        </w:rPr>
      </w:pPr>
      <w:r>
        <w:rPr>
          <w:rFonts w:hint="eastAsia" w:ascii="仿宋_GB2312" w:hAnsi="仿宋" w:eastAsia="仿宋_GB2312" w:cs="Times New Roman"/>
          <w:sz w:val="32"/>
          <w:szCs w:val="32"/>
        </w:rPr>
        <w:t>2020年，区科协将全面贯彻落实党的十九大精神，按照区委、区政府和上级科协的要求，以实施《科普法》和《全民科学素质行动计划纲要》为主线，结合单位实际，努力完成区委、区政府和上级科协交办的各项工作任务。</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一）突出重点，促进全民科学素质的整体提高。依托全民科学素质工作领导小组各成员单位，突出未成年人、农民、城镇劳动人口、领导干部和公务员，社区居民五类重点人群的科学素质建设、坚持以重点人群科学素质提升带动全民科学素质的整体提高。</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xml:space="preserve">    （二）精心策划科普主题活动。结合科普宣传周、全国科普日、科普活动月等大型活动契机、突出重点，彰显主题，提升活动策划和科普</w:t>
      </w:r>
      <w:r>
        <w:rPr>
          <w:rFonts w:hint="eastAsia" w:ascii="仿宋_GB2312" w:hAnsi="仿宋" w:eastAsia="仿宋_GB2312" w:cs="Times New Roman"/>
          <w:sz w:val="32"/>
          <w:szCs w:val="32"/>
          <w:lang w:eastAsia="zh-CN"/>
        </w:rPr>
        <w:t>氛围</w:t>
      </w:r>
      <w:r>
        <w:rPr>
          <w:rFonts w:hint="eastAsia" w:ascii="仿宋_GB2312" w:hAnsi="仿宋" w:eastAsia="仿宋_GB2312" w:cs="Times New Roman"/>
          <w:sz w:val="32"/>
          <w:szCs w:val="32"/>
        </w:rPr>
        <w:t>营造水平。根据城镇劳动人口的需求，深入开展“科教进社区”、群众性技术创新等活动和劳动技能培训，倡导科学、文明、健康和适度消费的生活方式。</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三）抓好青少年的科技教育工作。一是组织开展第35届青少年科技创新大赛，积极参加省市青少年科技创新大赛。二是抓好青少年科学调查体验、机器人大赛等科普活动。三是深入开展“科普进校园”活动，教育青少年学科学、爱科学，以增强学生的科技创新能力。</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（四）助推创新驱动发展。继续推进院士专家工作站提质增效建设。要积极搭建平台，推动区内外科技协作，推进科技成果转化应用，努力为科创园区和企业引进项目、技术和人才提供更多更高效的服务。</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五）实施“天府科技云服务”工程。借助传统媒体和新兴媒体覆盖面广、信息传导迅速的优势，广泛宣传“天府科技云服务”各项功能。通过三年时间，让全区科技工作者（团队）和企事业单位和广大群众开放共享“天府科技云服务”平台，实现科技服务市场化、精准化、便捷化，实现科普服务智能化，促进科技服务供给侧与需求侧精准对接、互利共赢。</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六）加强自身建设，努力提升科普服务能力。一是强化机关党的建设，严格落实中央、省、市、区委关于党风廉政建设和反腐败工作的文件精神，落实意识形态工作责任制，强化宣传工作和舆论引领，严格落实民主集中制，执行“三重一大”集中决策制度，认真落实“一岗双责”，打造清正廉洁、高效务实的科协干部队伍。二是强化网络建设，进一步加强科协基层组织建设，扩大科普工作覆盖面、提高影响力。三是加强队伍建设，不断提高科协干部队伍整体素质，提升服务能力。</w:t>
      </w:r>
    </w:p>
    <w:p>
      <w:pPr>
        <w:spacing w:line="56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(七)积极完成区委、区政府和上级科协交办的其它工作任务。 </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rPr>
        <w:t>二、部门预算单位构成</w:t>
      </w:r>
    </w:p>
    <w:p>
      <w:pPr>
        <w:ind w:firstLine="800" w:firstLineChars="250"/>
        <w:jc w:val="left"/>
        <w:rPr>
          <w:rFonts w:ascii="宋体" w:hAnsi="宋体" w:eastAsia="方正仿宋简体"/>
          <w:sz w:val="33"/>
          <w:szCs w:val="33"/>
        </w:rPr>
      </w:pPr>
      <w:r>
        <w:rPr>
          <w:rFonts w:hint="eastAsia" w:ascii="仿宋_GB2312" w:hAnsi="仿宋" w:eastAsia="仿宋_GB2312" w:cs="Times New Roman"/>
          <w:sz w:val="32"/>
          <w:szCs w:val="32"/>
        </w:rPr>
        <w:t>资阳市区科协无下属单位，预算包括参照公务员法管理的事业单位 1个。</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rPr>
        <w:t>　三、收支预算情况说明</w:t>
      </w:r>
    </w:p>
    <w:p>
      <w:pPr>
        <w:jc w:val="left"/>
        <w:rPr>
          <w:rFonts w:hint="eastAsia" w:ascii="仿宋_GB2312" w:hAnsi="仿宋" w:eastAsia="仿宋_GB2312" w:cs="Times New Roman"/>
          <w:sz w:val="32"/>
          <w:szCs w:val="32"/>
        </w:rPr>
      </w:pPr>
      <w:r>
        <w:rPr>
          <w:rFonts w:hint="eastAsia" w:ascii="方正仿宋简体" w:eastAsia="方正仿宋简体"/>
          <w:sz w:val="32"/>
          <w:szCs w:val="32"/>
        </w:rPr>
        <w:t>　　</w:t>
      </w:r>
      <w:r>
        <w:rPr>
          <w:rFonts w:hint="eastAsia" w:ascii="宋体" w:hAnsi="宋体" w:eastAsia="方正仿宋简体"/>
          <w:sz w:val="33"/>
          <w:szCs w:val="33"/>
        </w:rPr>
        <w:t>　</w:t>
      </w:r>
      <w:r>
        <w:rPr>
          <w:rFonts w:hint="eastAsia" w:ascii="仿宋_GB2312" w:hAnsi="仿宋" w:eastAsia="仿宋_GB2312" w:cs="Times New Roman"/>
          <w:sz w:val="32"/>
          <w:szCs w:val="32"/>
        </w:rPr>
        <w:t>按照综合预算的原则，雁江区科协所有收入和支出均纳入部门预算管理。收入包括：一般公共预算拨款收入、上年结转；支出包括：科学技术类支出、社会保障和就业支出、卫生健康支出、住房保障支出。雁江区科协2020年区科协收支预算总额为115.9999万元，其中：当年财政拨款收入115.9999万元，上年结转收入0万元，比2019年收支预算总数113.9734万元增加2.0265万元。主要原因是人员正常增资。</w:t>
      </w:r>
    </w:p>
    <w:p>
      <w:pPr>
        <w:ind w:firstLine="420" w:firstLineChars="150"/>
        <w:jc w:val="left"/>
        <w:rPr>
          <w:rFonts w:hint="eastAsia" w:ascii="方正小标宋简体" w:eastAsia="方正小标宋简体"/>
          <w:sz w:val="28"/>
          <w:szCs w:val="28"/>
        </w:rPr>
      </w:pPr>
      <w:r>
        <w:rPr>
          <w:rFonts w:hint="eastAsia" w:ascii="方正小标宋简体" w:eastAsia="方正小标宋简体"/>
          <w:sz w:val="28"/>
          <w:szCs w:val="28"/>
        </w:rPr>
        <w:t>（一）收入预算情况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xml:space="preserve">　  </w:t>
      </w:r>
      <w:r>
        <w:rPr>
          <w:rFonts w:hint="eastAsia" w:ascii="仿宋_GB2312" w:hAnsi="仿宋" w:eastAsia="仿宋_GB2312" w:cs="Times New Roman"/>
          <w:sz w:val="32"/>
          <w:szCs w:val="32"/>
        </w:rPr>
        <w:t>雁江区科协2020年收入预算115.9999万元，其中：上年结转0万元；一般公共预算拨款收入115.9999万元，占100%。</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28"/>
          <w:szCs w:val="28"/>
        </w:rPr>
        <w:t>（二）支出预算情况</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雁江区科协2020年支出预算115.9999万元，其中：基本支出53.1935万元，占45.86%；项目支出62.8064万元，占54.14%。</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rPr>
        <w:t>四、财政拨款收入支出预算情况说明</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雁江区科协2020年区科协收支预算总额为115.9999万元，比2019年收支预算总数113.97348万元，增加2.0265万元。主要原因是人员正常增资。            </w:t>
      </w:r>
    </w:p>
    <w:p>
      <w:pPr>
        <w:ind w:firstLine="480" w:firstLineChars="15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收入包括：本年一般公共预算拨款收入115.9999万元、上年结转一般公共预算拨款收入0万元；支出包括：科学技术支出类支出104.1562万元、社会保障和就业支出5.2643万元、卫生健康支出2.7508万元、住房保障支出3.8286万元。</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32"/>
          <w:szCs w:val="32"/>
        </w:rPr>
        <w:t>五、一般公共预算当年拨款情况说明</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eastAsia="方正小标宋简体"/>
          <w:sz w:val="28"/>
          <w:szCs w:val="28"/>
        </w:rPr>
        <w:t>　（一）一般公共预算当年拨款规模变化情况</w:t>
      </w:r>
      <w:r>
        <w:rPr>
          <w:rFonts w:hint="eastAsia" w:ascii="方正小标宋简体" w:hAnsi="Arial" w:eastAsia="方正小标宋简体" w:cs="Arial"/>
          <w:b/>
          <w:bCs/>
          <w:color w:val="666666"/>
          <w:kern w:val="0"/>
          <w:sz w:val="32"/>
          <w:szCs w:val="32"/>
        </w:rPr>
        <w:br w:type="textWrapping"/>
      </w:r>
      <w:r>
        <w:rPr>
          <w:rFonts w:hint="eastAsia" w:ascii="方正小标宋简体" w:hAnsi="Arial" w:eastAsia="方正小标宋简体" w:cs="Arial"/>
          <w:color w:val="666666"/>
          <w:kern w:val="0"/>
          <w:sz w:val="32"/>
          <w:szCs w:val="32"/>
        </w:rPr>
        <w:t>　　</w:t>
      </w:r>
      <w:r>
        <w:rPr>
          <w:rFonts w:hint="eastAsia" w:ascii="仿宋_GB2312" w:hAnsi="仿宋" w:eastAsia="仿宋_GB2312" w:cs="Times New Roman"/>
          <w:sz w:val="32"/>
          <w:szCs w:val="32"/>
        </w:rPr>
        <w:t>雁江区科协2020年一般公共预算当年拨款115.9999万元，比2019年收支预算总数113.9734万元</w:t>
      </w:r>
      <w:r>
        <w:rPr>
          <w:rFonts w:hint="eastAsia" w:ascii="仿宋_GB2312" w:hAnsi="仿宋" w:eastAsia="仿宋_GB2312" w:cs="Times New Roman"/>
          <w:sz w:val="32"/>
          <w:szCs w:val="32"/>
          <w:lang w:eastAsia="zh-CN"/>
        </w:rPr>
        <w:t>增加</w:t>
      </w:r>
      <w:r>
        <w:rPr>
          <w:rFonts w:hint="eastAsia" w:ascii="仿宋_GB2312" w:hAnsi="仿宋" w:eastAsia="仿宋_GB2312" w:cs="Times New Roman"/>
          <w:sz w:val="32"/>
          <w:szCs w:val="32"/>
        </w:rPr>
        <w:t>2.0265万元。主要原因是人员正常增资。</w:t>
      </w:r>
    </w:p>
    <w:p>
      <w:pPr>
        <w:ind w:firstLine="560" w:firstLineChars="200"/>
        <w:rPr>
          <w:rFonts w:hint="eastAsia" w:ascii="仿宋_GB2312" w:hAnsi="仿宋" w:eastAsia="仿宋_GB2312" w:cs="Times New Roman"/>
          <w:sz w:val="32"/>
          <w:szCs w:val="32"/>
        </w:rPr>
      </w:pPr>
      <w:r>
        <w:rPr>
          <w:rFonts w:hint="eastAsia" w:ascii="方正小标宋简体" w:eastAsia="方正小标宋简体"/>
          <w:sz w:val="28"/>
          <w:szCs w:val="28"/>
        </w:rPr>
        <w:t>（二）一般公共预算当年拨款结构情况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xml:space="preserve">　  </w:t>
      </w:r>
      <w:r>
        <w:rPr>
          <w:rFonts w:hint="eastAsia" w:ascii="仿宋_GB2312" w:hAnsi="仿宋" w:eastAsia="仿宋_GB2312" w:cs="Times New Roman"/>
          <w:sz w:val="32"/>
          <w:szCs w:val="32"/>
        </w:rPr>
        <w:t>科学技术支出类支出104.1562万元，占89.79%；社会保障和就业支出5.2643万元，占4.54%；卫生健康支出2.7508万元，占2.37%；住房保障支出3.8286万元，占3.3%。</w:t>
      </w:r>
    </w:p>
    <w:p>
      <w:pPr>
        <w:ind w:firstLine="560" w:firstLineChars="200"/>
        <w:rPr>
          <w:rFonts w:hint="eastAsia" w:ascii="仿宋_GB2312" w:hAnsi="仿宋" w:eastAsia="仿宋_GB2312" w:cs="Times New Roman"/>
          <w:sz w:val="32"/>
          <w:szCs w:val="32"/>
        </w:rPr>
      </w:pPr>
      <w:r>
        <w:rPr>
          <w:rFonts w:hint="eastAsia" w:ascii="方正小标宋简体" w:eastAsia="方正小标宋简体"/>
          <w:sz w:val="28"/>
          <w:szCs w:val="28"/>
        </w:rPr>
        <w:t>（三）一般公共预算当年拨款具体使用情况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w:t>
      </w:r>
      <w:r>
        <w:rPr>
          <w:rFonts w:hint="eastAsia" w:ascii="宋体" w:hAnsi="宋体" w:eastAsia="方正仿宋简体"/>
          <w:sz w:val="33"/>
          <w:szCs w:val="33"/>
        </w:rPr>
        <w:t>　</w:t>
      </w:r>
      <w:r>
        <w:rPr>
          <w:rFonts w:hint="eastAsia" w:ascii="仿宋_GB2312" w:hAnsi="仿宋" w:eastAsia="仿宋_GB2312" w:cs="Times New Roman"/>
          <w:sz w:val="32"/>
          <w:szCs w:val="32"/>
        </w:rPr>
        <w:t>1.科学技术支出（类）科学技术普及（款）机构运行（项）2020年预算数为41.3498万元，主要用于：雁江区科协机关正常运转的基本支出，包括基本工资、津贴补贴等人员经费以及办公费、印刷费、水电费等日常公用经费,保障部门正常运转。</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2. 科学技术支出（类）科学技术普及(款)科普活动(项)2020年科普活动经费项目支出45万元，主要用于机关开展学会、协会工作，实用技术培训，科技实验、科技示范，科普惠农兴村站、栏、员建设，社区益民计划、社区科普大学建设，“院士专家工作站”筹建、实施“天府科技云服务”工程、企业非公有制企业科协筹建、企业“讲、比”活动、科普宣传活动，科学技术普及，青少年科普工作，青少年科技创新大赛、机器人创新实践活动、市长奖申报评选、“科创进校园”科普活动、《全民科学素质纲要》宣传、科普示范学校、科普示范社区、科普示范基地、科普示范协会及科普示范单位、镇、村创建及印发科普宣传资料等专项业务工作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3、科学技术支出（类）科学技术普及(款)科普活动 (项)校园科技馆运行维护经费15万元，主要用于雁江区三贤九义校校园科技馆临聘人员工资、五险、水费、电费及设备维修、维护等经费支出。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4、科学技术支出（类）科学技术普及(款)其他科学技术普及（项）西部志愿者工作经费2.8064万元，主要用于单位西部志愿者补助、五险等经费支出。</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5、社会保障和就业（类）行政事业单位离退休（款）机关事业单位基本养老保险缴费支出（项）2020年预算数为5.1048万元，主要用于：实施养老保险制度后，部门按规定由单位缴纳的基本养老保险费支出。</w:t>
      </w:r>
    </w:p>
    <w:p>
      <w:pPr>
        <w:ind w:firstLine="640" w:firstLineChars="200"/>
        <w:rPr>
          <w:rFonts w:ascii="方正小标宋简体" w:eastAsia="方正小标宋简体"/>
          <w:sz w:val="32"/>
          <w:szCs w:val="32"/>
        </w:rPr>
      </w:pPr>
      <w:r>
        <w:rPr>
          <w:rFonts w:hint="eastAsia" w:ascii="仿宋_GB2312" w:hAnsi="仿宋" w:eastAsia="仿宋_GB2312" w:cs="Times New Roman"/>
          <w:sz w:val="32"/>
          <w:szCs w:val="32"/>
        </w:rPr>
        <w:t>6、社会保障和就业（类）其他社会保障和就业（款）其他社会保障和就业(项)支出预算数0.1595万元，主要用于按规定由单位缴纳的职工工伤、生育保险支出。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7. 卫生健康支出（类）行政事业单位医疗（款）行政单位医疗（项）2020年预算数为2.2334万元，主要用于：单位缴纳职工基本医疗保险缴费支出。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8. 卫生健康支出（类）行政事业单位医疗（款）公务员医疗补助（项）2020年预算数为0.5174</w:t>
      </w:r>
      <w:r>
        <w:rPr>
          <w:rFonts w:hint="eastAsia" w:ascii="仿宋_GB2312" w:hAnsi="仿宋" w:eastAsia="仿宋_GB2312" w:cs="Times New Roman"/>
          <w:sz w:val="32"/>
          <w:szCs w:val="32"/>
          <w:lang w:eastAsia="zh-CN"/>
        </w:rPr>
        <w:t>万元</w:t>
      </w:r>
      <w:r>
        <w:rPr>
          <w:rFonts w:hint="eastAsia" w:ascii="仿宋_GB2312" w:hAnsi="仿宋" w:eastAsia="仿宋_GB2312" w:cs="Times New Roman"/>
          <w:sz w:val="32"/>
          <w:szCs w:val="32"/>
        </w:rPr>
        <w:t>，主要用于：机关缴纳公务员医疗补助支出。</w:t>
      </w:r>
      <w:r>
        <w:rPr>
          <w:rFonts w:hint="eastAsia" w:ascii="仿宋_GB2312" w:hAnsi="仿宋" w:eastAsia="仿宋_GB2312" w:cs="Times New Roman"/>
          <w:sz w:val="32"/>
          <w:szCs w:val="32"/>
        </w:rPr>
        <w:br w:type="textWrapping"/>
      </w:r>
      <w:r>
        <w:rPr>
          <w:rFonts w:hint="eastAsia" w:ascii="方正小标宋简体" w:hAnsi="Arial" w:eastAsia="方正小标宋简体" w:cs="Arial"/>
          <w:color w:val="666666"/>
          <w:kern w:val="0"/>
          <w:sz w:val="32"/>
          <w:szCs w:val="32"/>
        </w:rPr>
        <w:t>　　</w:t>
      </w:r>
      <w:r>
        <w:rPr>
          <w:rFonts w:hint="eastAsia" w:ascii="仿宋_GB2312" w:hAnsi="仿宋" w:eastAsia="仿宋_GB2312" w:cs="Times New Roman"/>
          <w:sz w:val="32"/>
          <w:szCs w:val="32"/>
        </w:rPr>
        <w:t>9、住房保障（类）住房改革支出（款）住房公积金（项）2020年预算数为3.8286万元，主要用于：单位按规定比例为职工缴纳的住房公积金支出。</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宋体" w:hAnsi="宋体" w:eastAsia="方正仿宋简体"/>
          <w:sz w:val="33"/>
          <w:szCs w:val="33"/>
          <w:lang w:val="en-US" w:eastAsia="zh-CN"/>
        </w:rPr>
        <w:t xml:space="preserve"> </w:t>
      </w:r>
      <w:r>
        <w:rPr>
          <w:rFonts w:hint="eastAsia" w:ascii="方正小标宋简体" w:eastAsia="方正小标宋简体"/>
          <w:sz w:val="32"/>
          <w:szCs w:val="32"/>
        </w:rPr>
        <w:t>六、一般公共预算基本支出情况说明</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雁江区科协2020年一般公共预算基本支出 53.1935万元，其中：</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人员经费43.7489  万元，主要包括：基本工资、津贴补贴、奖金、社会保险缴费、基本医疗保险、住房公积金等支出。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公用经费 9.4446 万元，主要包括：办公费、水费、电费、邮电费、印刷费、差旅费、维修（护）费、物业管理费、劳务费等支出。</w:t>
      </w:r>
    </w:p>
    <w:p>
      <w:pPr>
        <w:jc w:val="left"/>
        <w:rPr>
          <w:rFonts w:ascii="方正小标宋简体" w:eastAsia="方正小标宋简体"/>
          <w:sz w:val="32"/>
          <w:szCs w:val="32"/>
        </w:rPr>
      </w:pPr>
      <w:r>
        <w:rPr>
          <w:rFonts w:hint="eastAsia" w:ascii="方正仿宋简体" w:eastAsia="方正仿宋简体"/>
          <w:sz w:val="32"/>
          <w:szCs w:val="32"/>
        </w:rPr>
        <w:t>　</w:t>
      </w:r>
      <w:r>
        <w:rPr>
          <w:rFonts w:hint="eastAsia" w:ascii="方正小标宋简体" w:eastAsia="方正小标宋简体"/>
          <w:sz w:val="32"/>
          <w:szCs w:val="32"/>
        </w:rPr>
        <w:t>　七、“三公”经费财政拨款预算安排情况</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雁江区科协2020年“三公”经费财政拨款预算数1.2万元，其中：公务接待费1.2万元，公务用车购置及运行维护费0万元。</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（一）因公出国（境）经费0万元。</w:t>
      </w:r>
    </w:p>
    <w:p>
      <w:pPr>
        <w:ind w:firstLine="480" w:firstLineChars="150"/>
        <w:rPr>
          <w:rFonts w:hint="eastAsia" w:ascii="仿宋_GB2312" w:hAnsi="仿宋" w:eastAsia="仿宋_GB2312" w:cs="Times New Roman"/>
          <w:sz w:val="32"/>
          <w:szCs w:val="32"/>
        </w:rPr>
      </w:pPr>
      <w:r>
        <w:rPr>
          <w:rFonts w:hint="eastAsia" w:ascii="仿宋_GB2312" w:hAnsi="仿宋" w:eastAsia="仿宋_GB2312" w:cs="Times New Roman"/>
          <w:sz w:val="32"/>
          <w:szCs w:val="32"/>
        </w:rPr>
        <w:t>（二）公务接待费较2019年预算减少0.6万元。主要原因是按照中央“八项”规定，倡导厉行节约。</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2020年公务接待费计划用于执行接待考察调研、检查指导等公务活动开支的交通费、住宿费、用餐费等。</w:t>
      </w:r>
      <w:r>
        <w:rPr>
          <w:rFonts w:hint="eastAsia" w:ascii="宋体" w:hAnsi="宋体" w:eastAsia="方正仿宋简体"/>
          <w:sz w:val="33"/>
          <w:szCs w:val="33"/>
        </w:rPr>
        <w:br w:type="textWrapping"/>
      </w:r>
      <w:r>
        <w:rPr>
          <w:rFonts w:hint="eastAsia" w:ascii="宋体" w:hAnsi="宋体" w:eastAsia="方正仿宋简体"/>
          <w:sz w:val="33"/>
          <w:szCs w:val="33"/>
        </w:rPr>
        <w:t>　　</w:t>
      </w:r>
      <w:r>
        <w:rPr>
          <w:rFonts w:hint="eastAsia" w:ascii="仿宋_GB2312" w:hAnsi="仿宋" w:eastAsia="仿宋_GB2312" w:cs="Times New Roman"/>
          <w:sz w:val="32"/>
          <w:szCs w:val="32"/>
        </w:rPr>
        <w:t>（三）单位现有公务用车0辆。</w:t>
      </w:r>
    </w:p>
    <w:p>
      <w:pPr>
        <w:ind w:firstLine="495" w:firstLineChars="150"/>
        <w:rPr>
          <w:rFonts w:hint="eastAsia" w:ascii="仿宋_GB2312" w:hAnsi="仿宋" w:eastAsia="仿宋_GB2312" w:cs="Times New Roman"/>
          <w:sz w:val="32"/>
          <w:szCs w:val="32"/>
        </w:rPr>
      </w:pPr>
      <w:r>
        <w:rPr>
          <w:rFonts w:hint="eastAsia" w:ascii="宋体" w:hAnsi="宋体" w:eastAsia="方正仿宋简体"/>
          <w:sz w:val="33"/>
          <w:szCs w:val="33"/>
        </w:rPr>
        <w:t>　</w:t>
      </w:r>
      <w:r>
        <w:rPr>
          <w:rFonts w:hint="eastAsia" w:ascii="仿宋_GB2312" w:hAnsi="仿宋" w:eastAsia="仿宋_GB2312" w:cs="Times New Roman"/>
          <w:sz w:val="32"/>
          <w:szCs w:val="32"/>
        </w:rPr>
        <w:t>2020年和2019年均未安排公务用车购置及运行维护费。</w:t>
      </w:r>
    </w:p>
    <w:p>
      <w:pPr>
        <w:ind w:firstLine="640" w:firstLineChars="200"/>
        <w:rPr>
          <w:rFonts w:hint="eastAsia" w:ascii="仿宋_GB2312" w:hAnsi="仿宋" w:eastAsia="仿宋_GB2312" w:cs="Times New Roman"/>
          <w:sz w:val="32"/>
          <w:szCs w:val="32"/>
        </w:rPr>
      </w:pPr>
      <w:r>
        <w:rPr>
          <w:rFonts w:hint="eastAsia" w:ascii="方正小标宋简体" w:eastAsia="方正小标宋简体"/>
          <w:sz w:val="32"/>
          <w:szCs w:val="32"/>
        </w:rPr>
        <w:t>八、政府性基金预算支出情况说明</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xml:space="preserve">　  </w:t>
      </w:r>
      <w:r>
        <w:rPr>
          <w:rFonts w:hint="eastAsia" w:ascii="仿宋_GB2312" w:hAnsi="仿宋" w:eastAsia="仿宋_GB2312" w:cs="Times New Roman"/>
          <w:sz w:val="32"/>
          <w:szCs w:val="32"/>
        </w:rPr>
        <w:t>雁江区科协2020年没有使用政府性基金预算拨款安排的支出。</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32"/>
          <w:szCs w:val="32"/>
        </w:rPr>
        <w:t>九、国有资本经营预算支出情况说明</w:t>
      </w:r>
      <w:r>
        <w:rPr>
          <w:rFonts w:hint="eastAsia" w:ascii="方正小标宋简体" w:eastAsia="方正小标宋简体"/>
          <w:sz w:val="32"/>
          <w:szCs w:val="32"/>
        </w:rPr>
        <w:br w:type="textWrapping"/>
      </w:r>
      <w:r>
        <w:rPr>
          <w:rFonts w:hint="eastAsia" w:ascii="宋体" w:hAnsi="宋体" w:eastAsia="方正仿宋简体"/>
          <w:sz w:val="33"/>
          <w:szCs w:val="33"/>
        </w:rPr>
        <w:t>　　</w:t>
      </w:r>
      <w:r>
        <w:rPr>
          <w:rFonts w:hint="eastAsia" w:ascii="仿宋_GB2312" w:hAnsi="仿宋" w:eastAsia="仿宋_GB2312" w:cs="Times New Roman"/>
          <w:sz w:val="32"/>
          <w:szCs w:val="32"/>
        </w:rPr>
        <w:t>雁江区科协2020年没有使用国有资本经营预算拨款安排的支出。</w:t>
      </w:r>
      <w:r>
        <w:rPr>
          <w:rFonts w:hint="eastAsia" w:ascii="仿宋_GB2312" w:hAnsi="仿宋" w:eastAsia="仿宋_GB2312" w:cs="Times New Roman"/>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eastAsia="方正小标宋简体"/>
          <w:sz w:val="32"/>
          <w:szCs w:val="32"/>
        </w:rPr>
        <w:t>十、其他重要事项的情况说明</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eastAsia="方正小标宋简体"/>
          <w:sz w:val="28"/>
          <w:szCs w:val="28"/>
        </w:rPr>
        <w:t>（一）机关运行经费预算情况</w:t>
      </w:r>
      <w:r>
        <w:rPr>
          <w:rFonts w:hint="eastAsia" w:ascii="方正小标宋简体" w:eastAsia="方正小标宋简体"/>
          <w:sz w:val="28"/>
          <w:szCs w:val="28"/>
        </w:rPr>
        <w:br w:type="textWrapping"/>
      </w:r>
      <w:r>
        <w:rPr>
          <w:rFonts w:hint="eastAsia" w:ascii="宋体" w:hAnsi="宋体" w:eastAsia="方正仿宋简体"/>
          <w:sz w:val="33"/>
          <w:szCs w:val="33"/>
        </w:rPr>
        <w:t>　　</w:t>
      </w:r>
      <w:r>
        <w:rPr>
          <w:rFonts w:hint="eastAsia" w:ascii="仿宋_GB2312" w:hAnsi="仿宋" w:eastAsia="仿宋_GB2312" w:cs="Times New Roman"/>
          <w:sz w:val="32"/>
          <w:szCs w:val="32"/>
        </w:rPr>
        <w:t>2020年，雁江区科协机关运行经费财政拨款预算为4.8万元，与2019年预算持平。主要原因是单位无人员变化。</w:t>
      </w:r>
      <w:r>
        <w:rPr>
          <w:rFonts w:hint="eastAsia" w:ascii="仿宋_GB2312" w:hAnsi="仿宋" w:eastAsia="仿宋_GB2312" w:cs="Times New Roman"/>
          <w:sz w:val="32"/>
          <w:szCs w:val="32"/>
        </w:rPr>
        <w:br w:type="textWrapping"/>
      </w:r>
      <w:r>
        <w:rPr>
          <w:rFonts w:hint="eastAsia" w:ascii="方正小标宋简体" w:hAnsi="Arial" w:eastAsia="方正小标宋简体" w:cs="Arial"/>
          <w:b/>
          <w:bCs/>
          <w:color w:val="666666"/>
          <w:kern w:val="0"/>
          <w:sz w:val="32"/>
          <w:szCs w:val="32"/>
        </w:rPr>
        <w:t>　　</w:t>
      </w:r>
      <w:r>
        <w:rPr>
          <w:rFonts w:hint="eastAsia" w:ascii="方正小标宋简体" w:eastAsia="方正小标宋简体"/>
          <w:sz w:val="28"/>
          <w:szCs w:val="28"/>
        </w:rPr>
        <w:t>（二）政府采购情况</w:t>
      </w:r>
      <w:r>
        <w:rPr>
          <w:rFonts w:hint="eastAsia" w:ascii="方正小标宋简体" w:eastAsia="方正小标宋简体"/>
          <w:sz w:val="28"/>
          <w:szCs w:val="28"/>
        </w:rPr>
        <w:br w:type="textWrapping"/>
      </w:r>
      <w:r>
        <w:rPr>
          <w:rFonts w:hint="eastAsia" w:ascii="宋体" w:hAnsi="宋体" w:eastAsia="方正仿宋简体"/>
          <w:sz w:val="33"/>
          <w:szCs w:val="33"/>
        </w:rPr>
        <w:t>　　</w:t>
      </w:r>
      <w:r>
        <w:rPr>
          <w:rFonts w:hint="eastAsia" w:ascii="仿宋_GB2312" w:hAnsi="仿宋" w:eastAsia="仿宋_GB2312" w:cs="Times New Roman"/>
          <w:sz w:val="32"/>
          <w:szCs w:val="32"/>
        </w:rPr>
        <w:t>2020年，雁江区科协安排政府采购预算2.2万元，其他资金安排1.2万元。计划政府采购1部摄像机，4台电脑。</w:t>
      </w:r>
      <w:r>
        <w:rPr>
          <w:rFonts w:hint="eastAsia" w:ascii="仿宋_GB2312" w:hAnsi="仿宋" w:eastAsia="仿宋_GB2312" w:cs="Times New Roman"/>
          <w:sz w:val="32"/>
          <w:szCs w:val="32"/>
        </w:rPr>
        <w:br w:type="textWrapping"/>
      </w:r>
      <w:r>
        <w:rPr>
          <w:rFonts w:hint="eastAsia" w:ascii="宋体" w:hAnsi="宋体" w:eastAsia="方正仿宋简体"/>
          <w:sz w:val="33"/>
          <w:szCs w:val="33"/>
        </w:rPr>
        <w:t>　　</w:t>
      </w:r>
      <w:r>
        <w:rPr>
          <w:rFonts w:hint="eastAsia" w:ascii="方正小标宋简体" w:eastAsia="方正小标宋简体"/>
          <w:sz w:val="28"/>
          <w:szCs w:val="28"/>
        </w:rPr>
        <w:t>（三）国有资产占有使用情况</w:t>
      </w:r>
      <w:r>
        <w:rPr>
          <w:rFonts w:hint="eastAsia" w:ascii="方正小标宋简体" w:eastAsia="方正小标宋简体"/>
          <w:sz w:val="28"/>
          <w:szCs w:val="28"/>
        </w:rPr>
        <w:br w:type="textWrapping"/>
      </w:r>
      <w:r>
        <w:rPr>
          <w:rFonts w:hint="eastAsia" w:ascii="宋体" w:hAnsi="宋体" w:eastAsia="方正仿宋简体"/>
          <w:sz w:val="33"/>
          <w:szCs w:val="33"/>
        </w:rPr>
        <w:t>　　</w:t>
      </w:r>
      <w:r>
        <w:rPr>
          <w:rFonts w:hint="eastAsia" w:ascii="仿宋_GB2312" w:hAnsi="仿宋" w:eastAsia="仿宋_GB2312" w:cs="Times New Roman"/>
          <w:sz w:val="32"/>
          <w:szCs w:val="32"/>
        </w:rPr>
        <w:t>截至2019年底，雁江区科协共有车辆0辆，单位价值100万元以上大型设备0台（套）。</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2020年部门预算未安排购置车辆及单位价值100万元以上大型设备。</w:t>
      </w:r>
      <w:r>
        <w:rPr>
          <w:rFonts w:hint="eastAsia" w:ascii="仿宋_GB2312" w:hAnsi="仿宋" w:eastAsia="仿宋_GB2312" w:cs="Times New Roman"/>
          <w:sz w:val="32"/>
          <w:szCs w:val="32"/>
        </w:rPr>
        <w:br w:type="textWrapping"/>
      </w:r>
      <w:r>
        <w:rPr>
          <w:rFonts w:hint="eastAsia" w:ascii="方正小标宋简体" w:hAnsi="Arial" w:eastAsia="方正小标宋简体" w:cs="Arial"/>
          <w:color w:val="666666"/>
          <w:kern w:val="0"/>
          <w:sz w:val="32"/>
          <w:szCs w:val="32"/>
        </w:rPr>
        <w:t>　　</w:t>
      </w:r>
      <w:r>
        <w:rPr>
          <w:rFonts w:hint="eastAsia" w:ascii="方正小标宋简体" w:eastAsia="方正小标宋简体"/>
          <w:sz w:val="28"/>
          <w:szCs w:val="28"/>
        </w:rPr>
        <w:t>（四）绩效目标设置情况</w:t>
      </w:r>
      <w:r>
        <w:rPr>
          <w:rFonts w:hint="eastAsia" w:ascii="方正小标宋简体" w:eastAsia="方正小标宋简体"/>
          <w:sz w:val="28"/>
          <w:szCs w:val="28"/>
        </w:rPr>
        <w:br w:type="textWrapping"/>
      </w:r>
      <w:r>
        <w:rPr>
          <w:rFonts w:hint="eastAsia" w:ascii="方正小标宋简体" w:hAnsi="Arial" w:eastAsia="方正小标宋简体" w:cs="Arial"/>
          <w:color w:val="666666"/>
          <w:kern w:val="0"/>
          <w:sz w:val="32"/>
          <w:szCs w:val="32"/>
        </w:rPr>
        <w:t>　</w:t>
      </w:r>
      <w:r>
        <w:rPr>
          <w:rFonts w:hint="eastAsia" w:ascii="仿宋_GB2312" w:hAnsi="仿宋" w:eastAsia="仿宋_GB2312" w:cs="Times New Roman"/>
          <w:sz w:val="32"/>
          <w:szCs w:val="32"/>
        </w:rPr>
        <w:t>　2020年雁江区科协就部门整体支出和</w:t>
      </w:r>
      <w:r>
        <w:rPr>
          <w:rFonts w:hint="eastAsia" w:ascii="仿宋_GB2312" w:hAnsi="仿宋" w:eastAsia="仿宋_GB2312" w:cs="Times New Roman"/>
          <w:sz w:val="32"/>
          <w:szCs w:val="32"/>
          <w:lang w:val="en-US" w:eastAsia="zh-CN"/>
        </w:rPr>
        <w:t>30</w:t>
      </w:r>
      <w:r>
        <w:rPr>
          <w:rFonts w:hint="eastAsia" w:ascii="仿宋_GB2312" w:hAnsi="仿宋" w:eastAsia="仿宋_GB2312" w:cs="Times New Roman"/>
          <w:sz w:val="32"/>
          <w:szCs w:val="32"/>
        </w:rPr>
        <w:t>万元以上（含</w:t>
      </w:r>
      <w:r>
        <w:rPr>
          <w:rFonts w:hint="eastAsia" w:ascii="仿宋_GB2312" w:hAnsi="仿宋" w:eastAsia="仿宋_GB2312" w:cs="Times New Roman"/>
          <w:sz w:val="32"/>
          <w:szCs w:val="32"/>
          <w:lang w:val="en-US" w:eastAsia="zh-CN"/>
        </w:rPr>
        <w:t>30</w:t>
      </w:r>
      <w:r>
        <w:rPr>
          <w:rFonts w:hint="eastAsia" w:ascii="仿宋_GB2312" w:hAnsi="仿宋" w:eastAsia="仿宋_GB2312" w:cs="Times New Roman"/>
          <w:sz w:val="32"/>
          <w:szCs w:val="32"/>
        </w:rPr>
        <w:t>万元）项目支出按要求编制了绩效目标，从预期完成的数量、成本、时效、质量，预期达到的社会效益、经济效益、可持续影响以及服务对象满意度等情况编制了绩效目标。编制</w:t>
      </w:r>
      <w:r>
        <w:rPr>
          <w:rFonts w:hint="eastAsia" w:ascii="仿宋_GB2312" w:hAnsi="仿宋" w:eastAsia="仿宋_GB2312" w:cs="Times New Roman"/>
          <w:sz w:val="32"/>
          <w:szCs w:val="32"/>
          <w:lang w:val="en-US" w:eastAsia="zh-CN"/>
        </w:rPr>
        <w:t>30</w:t>
      </w:r>
      <w:r>
        <w:rPr>
          <w:rFonts w:hint="eastAsia" w:ascii="仿宋_GB2312" w:hAnsi="仿宋" w:eastAsia="仿宋_GB2312" w:cs="Times New Roman"/>
          <w:sz w:val="32"/>
          <w:szCs w:val="32"/>
        </w:rPr>
        <w:t>万元以上（含</w:t>
      </w:r>
      <w:r>
        <w:rPr>
          <w:rFonts w:hint="eastAsia" w:ascii="仿宋_GB2312" w:hAnsi="仿宋" w:eastAsia="仿宋_GB2312" w:cs="Times New Roman"/>
          <w:sz w:val="32"/>
          <w:szCs w:val="32"/>
          <w:lang w:val="en-US" w:eastAsia="zh-CN"/>
        </w:rPr>
        <w:t>30</w:t>
      </w:r>
      <w:r>
        <w:rPr>
          <w:rFonts w:hint="eastAsia" w:ascii="仿宋_GB2312" w:hAnsi="仿宋" w:eastAsia="仿宋_GB2312" w:cs="Times New Roman"/>
          <w:sz w:val="32"/>
          <w:szCs w:val="32"/>
        </w:rPr>
        <w:t>万元）项目支出绩效目标</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个。(绩效目标具体情况详见公开表中的绩效目标表)</w:t>
      </w:r>
    </w:p>
    <w:p>
      <w:pPr>
        <w:ind w:firstLine="640" w:firstLineChars="200"/>
        <w:rPr>
          <w:rFonts w:hint="eastAsia" w:ascii="仿宋_GB2312" w:hAnsi="仿宋" w:eastAsia="仿宋_GB2312" w:cs="Times New Roman"/>
          <w:sz w:val="32"/>
          <w:szCs w:val="32"/>
        </w:rPr>
      </w:pPr>
      <w:r>
        <w:rPr>
          <w:rFonts w:hint="eastAsia" w:ascii="方正小标宋简体" w:hAnsi="Arial" w:eastAsia="方正小标宋简体" w:cs="Arial"/>
          <w:color w:val="666666"/>
          <w:kern w:val="0"/>
          <w:sz w:val="32"/>
          <w:szCs w:val="32"/>
        </w:rPr>
        <w:t>　</w:t>
      </w:r>
      <w:r>
        <w:rPr>
          <w:rFonts w:hint="eastAsia" w:ascii="方正小标宋简体" w:eastAsia="方正小标宋简体"/>
          <w:sz w:val="32"/>
          <w:szCs w:val="32"/>
        </w:rPr>
        <w:t>十一、名词解释</w:t>
      </w:r>
      <w:r>
        <w:rPr>
          <w:rFonts w:hint="eastAsia" w:ascii="方正小标宋简体" w:eastAsia="方正小标宋简体"/>
          <w:sz w:val="32"/>
          <w:szCs w:val="32"/>
        </w:rPr>
        <w:br w:type="textWrapping"/>
      </w:r>
      <w:r>
        <w:rPr>
          <w:rFonts w:hint="eastAsia" w:ascii="方正小标宋简体" w:hAnsi="Arial" w:eastAsia="方正小标宋简体" w:cs="Arial"/>
          <w:color w:val="666666"/>
          <w:kern w:val="0"/>
          <w:sz w:val="32"/>
          <w:szCs w:val="32"/>
        </w:rPr>
        <w:t>　</w:t>
      </w:r>
      <w:r>
        <w:rPr>
          <w:rFonts w:hint="eastAsia" w:ascii="宋体" w:hAnsi="宋体" w:eastAsia="方正仿宋简体"/>
          <w:sz w:val="33"/>
          <w:szCs w:val="33"/>
        </w:rPr>
        <w:t>　</w:t>
      </w:r>
      <w:r>
        <w:rPr>
          <w:rFonts w:hint="eastAsia" w:ascii="仿宋_GB2312" w:hAnsi="仿宋" w:eastAsia="仿宋_GB2312" w:cs="Times New Roman"/>
          <w:sz w:val="32"/>
          <w:szCs w:val="32"/>
        </w:rPr>
        <w:t>（一）一般公共预算拨款收入：指雁江区财政当年拨付的资金。</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（二）上年结转：指以前年度尚未完成，结转到本年仍按原规定用途继续使用的资金。</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（三）科学技术支出（类）科学技术普及（款）机构运行（项）：指机关用于保障机构正常运行、开展日常工作的基本支出。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四）科学技术支出（类）科学技术普及(款)科普活动（项）2020年科普活动经费：指机关用于开展学会、协会工作，实用技术培训，科技实验、科技示范，科普惠农兴村站、栏、员建设，实施“天府科技云服务”工程，开展科普宣传活动，科学技术普及，青少年科技创新大赛、科普示范学校、科普示范社区、科普示范基地创建等专项业务工作的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（五）科学技术支出（类）科学技术普及(款)科普活动 (项)校园科技馆运行维护经费，指用于雁江区三贤九义校校园科技馆临聘人员工资、五险、水费、电费及设备维修、维护的项目经费支出。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(六)科学技术支出（类）科学技术普及(款)其他科学技术普及（项）西部志愿者工作经费，指用于单位西部志愿者补助、五险等项目经费支出。</w:t>
      </w:r>
    </w:p>
    <w:p>
      <w:pPr>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（七）社会保障和就业（类）行政事业单位离退休（款）机关事业单位基本养老保险缴费支出（项）：指部门实施养老保险制度后，由单位缴纳的养老保险费的支出。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w:t>
      </w:r>
      <w:r>
        <w:rPr>
          <w:rFonts w:hint="eastAsia" w:ascii="仿宋_GB2312" w:hAnsi="仿宋" w:eastAsia="仿宋_GB2312" w:cs="Times New Roman"/>
          <w:sz w:val="32"/>
          <w:szCs w:val="32"/>
          <w:lang w:val="en-US" w:eastAsia="zh-CN"/>
        </w:rPr>
        <w:t xml:space="preserve"> </w:t>
      </w:r>
      <w:r>
        <w:rPr>
          <w:rFonts w:hint="eastAsia" w:ascii="仿宋_GB2312" w:hAnsi="仿宋" w:eastAsia="仿宋_GB2312" w:cs="Times New Roman"/>
          <w:sz w:val="32"/>
          <w:szCs w:val="32"/>
        </w:rPr>
        <w:t>（八）社会保障和就业（类）其他社会保障和就业（款）其他社会保障和就业支出（项）：指</w:t>
      </w:r>
      <w:r>
        <w:rPr>
          <w:rFonts w:hint="eastAsia" w:ascii="仿宋_GB2312" w:hAnsi="仿宋" w:eastAsia="仿宋_GB2312" w:cs="Times New Roman"/>
          <w:sz w:val="32"/>
          <w:szCs w:val="32"/>
          <w:lang w:eastAsia="zh-CN"/>
        </w:rPr>
        <w:t>用于</w:t>
      </w:r>
      <w:bookmarkStart w:id="0" w:name="_GoBack"/>
      <w:bookmarkEnd w:id="0"/>
      <w:r>
        <w:rPr>
          <w:rFonts w:hint="eastAsia" w:ascii="仿宋_GB2312" w:hAnsi="仿宋" w:eastAsia="仿宋_GB2312" w:cs="Times New Roman"/>
          <w:sz w:val="32"/>
          <w:szCs w:val="32"/>
        </w:rPr>
        <w:t>单位缴纳职工工伤、生育保险缴费方面的支出。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（九）卫生健康（类）行政事业单位医疗（款）行政单位医疗（项）：指用于缴纳单位职工基本医疗保险支出。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（十）卫生健康（类）行政事业单位医疗（款）公务员医疗补助（项）：指用于缴纳单位职工公务员医疗补助支出。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（十一）住房保障（类）住房改革支出（款）住房公积金（项）：指单位按规定比例为职工缴纳的住房公积金支出。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（十二）基本支出：指为保证机构正常运转，完成日常工作任务而发生的人员支出和公用支出。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（十三）项目支出：指在基本支出之外为完成特定行政任务和事业发展目标所发生的支出。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十四）“三公”经费：纳入雁江区科协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 w:eastAsia="仿宋_GB2312" w:cs="Times New Roman"/>
          <w:sz w:val="32"/>
          <w:szCs w:val="32"/>
        </w:rPr>
        <w:br w:type="textWrapping"/>
      </w:r>
      <w:r>
        <w:rPr>
          <w:rFonts w:hint="eastAsia" w:ascii="仿宋_GB2312" w:hAnsi="仿宋" w:eastAsia="仿宋_GB2312" w:cs="Times New Roman"/>
          <w:sz w:val="32"/>
          <w:szCs w:val="32"/>
        </w:rPr>
        <w:t>　　附件：表1.部门收支总表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表1-1.部门收入总表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表1-2.部门支出总表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表2.财政拨款收支预算总表</w:t>
      </w:r>
    </w:p>
    <w:p>
      <w:pPr>
        <w:ind w:firstLine="640" w:firstLineChars="2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表2-1.财政拨款支出预算表（政府经济分类科目）</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表3.一般公共预算支出预算表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表3-1.一般公共预算基本支出预算表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表3-2.一般公共预算项目支出预算表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表3-3.一般公共预算“三公”经费支出预算表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表4.政府性基金支出预算表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表4-1.政府性基金预算“三公”经费支出预算表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表5.国有资本经营预算支出预算表</w:t>
      </w:r>
    </w:p>
    <w:p>
      <w:pPr>
        <w:ind w:left="958" w:leftChars="304" w:hanging="320" w:hangingChars="100"/>
        <w:jc w:val="both"/>
        <w:rPr>
          <w:rFonts w:hint="eastAsia" w:ascii="仿宋_GB2312" w:hAnsi="仿宋" w:eastAsia="仿宋_GB2312" w:cs="Times New Roman"/>
          <w:sz w:val="32"/>
          <w:szCs w:val="32"/>
        </w:rPr>
      </w:pPr>
      <w:r>
        <w:rPr>
          <w:rFonts w:hint="eastAsia" w:ascii="仿宋_GB2312" w:hAnsi="仿宋" w:eastAsia="仿宋_GB2312" w:cs="Times New Roman"/>
          <w:sz w:val="32"/>
          <w:szCs w:val="32"/>
        </w:rPr>
        <w:t>表6.部门整体支出绩效目标申报表</w:t>
      </w:r>
    </w:p>
    <w:p>
      <w:pPr>
        <w:ind w:firstLine="640" w:firstLineChars="200"/>
        <w:jc w:val="both"/>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表</w:t>
      </w:r>
      <w:r>
        <w:rPr>
          <w:rFonts w:hint="eastAsia" w:ascii="仿宋_GB2312" w:hAnsi="仿宋" w:eastAsia="仿宋_GB2312" w:cs="Times New Roman"/>
          <w:sz w:val="32"/>
          <w:szCs w:val="32"/>
          <w:lang w:val="en-US" w:eastAsia="zh-CN"/>
        </w:rPr>
        <w:t>6-1部门整体支出绩效目标自评表</w:t>
      </w:r>
    </w:p>
    <w:p>
      <w:pPr>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资阳市雁江区科学技术协会</w:t>
      </w:r>
    </w:p>
    <w:p>
      <w:pPr>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2020年6月10日</w:t>
      </w:r>
    </w:p>
    <w:p>
      <w:pPr>
        <w:ind w:firstLine="640" w:firstLineChars="200"/>
        <w:rPr>
          <w:rFonts w:hint="eastAsia" w:ascii="仿宋_GB2312" w:hAnsi="仿宋" w:eastAsia="仿宋_GB2312" w:cs="Times New Roman"/>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kM2E1ZGVlNzgyNzY2MGQyMTI0MGQ0ZjhiZDgwZTUifQ=="/>
  </w:docVars>
  <w:rsids>
    <w:rsidRoot w:val="002409CA"/>
    <w:rsid w:val="00004422"/>
    <w:rsid w:val="00004FCA"/>
    <w:rsid w:val="000100E7"/>
    <w:rsid w:val="00010D1A"/>
    <w:rsid w:val="00012D32"/>
    <w:rsid w:val="000329CD"/>
    <w:rsid w:val="00056020"/>
    <w:rsid w:val="00057ABB"/>
    <w:rsid w:val="000718F3"/>
    <w:rsid w:val="0007357F"/>
    <w:rsid w:val="00073C6E"/>
    <w:rsid w:val="000950FD"/>
    <w:rsid w:val="000A38D5"/>
    <w:rsid w:val="000B7E8B"/>
    <w:rsid w:val="000C56D5"/>
    <w:rsid w:val="000C7B39"/>
    <w:rsid w:val="000E5837"/>
    <w:rsid w:val="00105B20"/>
    <w:rsid w:val="0011178F"/>
    <w:rsid w:val="00123009"/>
    <w:rsid w:val="00124D8D"/>
    <w:rsid w:val="001268FC"/>
    <w:rsid w:val="00131E29"/>
    <w:rsid w:val="001322B6"/>
    <w:rsid w:val="00147F75"/>
    <w:rsid w:val="0015132B"/>
    <w:rsid w:val="00152F2A"/>
    <w:rsid w:val="00166F0E"/>
    <w:rsid w:val="0017362E"/>
    <w:rsid w:val="001A35E0"/>
    <w:rsid w:val="001A573E"/>
    <w:rsid w:val="001B6E27"/>
    <w:rsid w:val="001C3F36"/>
    <w:rsid w:val="001C4BF2"/>
    <w:rsid w:val="001D0A93"/>
    <w:rsid w:val="001F355C"/>
    <w:rsid w:val="001F37DE"/>
    <w:rsid w:val="001F6E0F"/>
    <w:rsid w:val="002149B8"/>
    <w:rsid w:val="0022646D"/>
    <w:rsid w:val="002409CA"/>
    <w:rsid w:val="0025604A"/>
    <w:rsid w:val="00261389"/>
    <w:rsid w:val="00266ADD"/>
    <w:rsid w:val="00272AAB"/>
    <w:rsid w:val="00274B30"/>
    <w:rsid w:val="00296B5E"/>
    <w:rsid w:val="002A112E"/>
    <w:rsid w:val="002A31A4"/>
    <w:rsid w:val="002B2B2B"/>
    <w:rsid w:val="002F208A"/>
    <w:rsid w:val="002F3B6A"/>
    <w:rsid w:val="002F6A1F"/>
    <w:rsid w:val="002F7787"/>
    <w:rsid w:val="00302969"/>
    <w:rsid w:val="00304930"/>
    <w:rsid w:val="00333BAD"/>
    <w:rsid w:val="003452E0"/>
    <w:rsid w:val="003465F0"/>
    <w:rsid w:val="00361F2F"/>
    <w:rsid w:val="003647EC"/>
    <w:rsid w:val="00391183"/>
    <w:rsid w:val="003D10B3"/>
    <w:rsid w:val="003F7014"/>
    <w:rsid w:val="00416DDE"/>
    <w:rsid w:val="004228E9"/>
    <w:rsid w:val="0042650D"/>
    <w:rsid w:val="00431329"/>
    <w:rsid w:val="004417CC"/>
    <w:rsid w:val="004431B8"/>
    <w:rsid w:val="0045249E"/>
    <w:rsid w:val="00463CD9"/>
    <w:rsid w:val="00472FF2"/>
    <w:rsid w:val="00474342"/>
    <w:rsid w:val="004751FB"/>
    <w:rsid w:val="00481759"/>
    <w:rsid w:val="00487EAD"/>
    <w:rsid w:val="004A31DA"/>
    <w:rsid w:val="004B345D"/>
    <w:rsid w:val="004C139A"/>
    <w:rsid w:val="004D1F8A"/>
    <w:rsid w:val="004D71F6"/>
    <w:rsid w:val="004D7994"/>
    <w:rsid w:val="004D7D38"/>
    <w:rsid w:val="004E1637"/>
    <w:rsid w:val="004E1934"/>
    <w:rsid w:val="004F4DF6"/>
    <w:rsid w:val="00503BCD"/>
    <w:rsid w:val="005377B2"/>
    <w:rsid w:val="00537B76"/>
    <w:rsid w:val="0055102D"/>
    <w:rsid w:val="00551AB8"/>
    <w:rsid w:val="00556420"/>
    <w:rsid w:val="005612E5"/>
    <w:rsid w:val="00566E95"/>
    <w:rsid w:val="00572090"/>
    <w:rsid w:val="00572B8A"/>
    <w:rsid w:val="00583117"/>
    <w:rsid w:val="00593264"/>
    <w:rsid w:val="005A3971"/>
    <w:rsid w:val="005A7709"/>
    <w:rsid w:val="005B4173"/>
    <w:rsid w:val="005C0A55"/>
    <w:rsid w:val="005D4E3A"/>
    <w:rsid w:val="005E1DA1"/>
    <w:rsid w:val="005E3763"/>
    <w:rsid w:val="005E78F4"/>
    <w:rsid w:val="006051B1"/>
    <w:rsid w:val="00611139"/>
    <w:rsid w:val="00615E00"/>
    <w:rsid w:val="00625AFB"/>
    <w:rsid w:val="0063002F"/>
    <w:rsid w:val="00644006"/>
    <w:rsid w:val="00660B98"/>
    <w:rsid w:val="00660FD8"/>
    <w:rsid w:val="006676DB"/>
    <w:rsid w:val="0068770E"/>
    <w:rsid w:val="00693FA7"/>
    <w:rsid w:val="00694283"/>
    <w:rsid w:val="006A18D9"/>
    <w:rsid w:val="006B60ED"/>
    <w:rsid w:val="006C349C"/>
    <w:rsid w:val="006C35D0"/>
    <w:rsid w:val="006C6B97"/>
    <w:rsid w:val="006C6BF3"/>
    <w:rsid w:val="006D03B0"/>
    <w:rsid w:val="006E66C8"/>
    <w:rsid w:val="006F2C70"/>
    <w:rsid w:val="006F5E6F"/>
    <w:rsid w:val="0070105C"/>
    <w:rsid w:val="00706779"/>
    <w:rsid w:val="00711B59"/>
    <w:rsid w:val="007201C4"/>
    <w:rsid w:val="00725C30"/>
    <w:rsid w:val="007347EC"/>
    <w:rsid w:val="007447D3"/>
    <w:rsid w:val="00751B93"/>
    <w:rsid w:val="00755AE3"/>
    <w:rsid w:val="0075718C"/>
    <w:rsid w:val="00765B2F"/>
    <w:rsid w:val="00770DCF"/>
    <w:rsid w:val="007727CD"/>
    <w:rsid w:val="0078733B"/>
    <w:rsid w:val="00796239"/>
    <w:rsid w:val="007A308B"/>
    <w:rsid w:val="007A3BB4"/>
    <w:rsid w:val="007A44C3"/>
    <w:rsid w:val="007A6D10"/>
    <w:rsid w:val="007A74C0"/>
    <w:rsid w:val="007B286B"/>
    <w:rsid w:val="007D060F"/>
    <w:rsid w:val="007D311A"/>
    <w:rsid w:val="007F6861"/>
    <w:rsid w:val="007F7E5A"/>
    <w:rsid w:val="00810CD9"/>
    <w:rsid w:val="00812188"/>
    <w:rsid w:val="00832A35"/>
    <w:rsid w:val="008343F5"/>
    <w:rsid w:val="00841B51"/>
    <w:rsid w:val="00853407"/>
    <w:rsid w:val="00856A60"/>
    <w:rsid w:val="008605C8"/>
    <w:rsid w:val="00860E71"/>
    <w:rsid w:val="00876625"/>
    <w:rsid w:val="00897766"/>
    <w:rsid w:val="008B02DC"/>
    <w:rsid w:val="008B1F02"/>
    <w:rsid w:val="008B72A6"/>
    <w:rsid w:val="008B7D0A"/>
    <w:rsid w:val="008E70E9"/>
    <w:rsid w:val="008F0C66"/>
    <w:rsid w:val="00906923"/>
    <w:rsid w:val="00912AFC"/>
    <w:rsid w:val="009226BB"/>
    <w:rsid w:val="0094730D"/>
    <w:rsid w:val="00957A2F"/>
    <w:rsid w:val="009733A2"/>
    <w:rsid w:val="00977833"/>
    <w:rsid w:val="009B4D48"/>
    <w:rsid w:val="009B7DAF"/>
    <w:rsid w:val="009D1A89"/>
    <w:rsid w:val="009D2932"/>
    <w:rsid w:val="009F5F48"/>
    <w:rsid w:val="00A26B0D"/>
    <w:rsid w:val="00A61823"/>
    <w:rsid w:val="00A65E78"/>
    <w:rsid w:val="00A7322A"/>
    <w:rsid w:val="00AA3155"/>
    <w:rsid w:val="00AB7FA6"/>
    <w:rsid w:val="00AE6DD7"/>
    <w:rsid w:val="00AF1D81"/>
    <w:rsid w:val="00AF295E"/>
    <w:rsid w:val="00AF68F5"/>
    <w:rsid w:val="00B16941"/>
    <w:rsid w:val="00B35DC5"/>
    <w:rsid w:val="00B4079C"/>
    <w:rsid w:val="00B44041"/>
    <w:rsid w:val="00B54639"/>
    <w:rsid w:val="00B703B8"/>
    <w:rsid w:val="00B775AF"/>
    <w:rsid w:val="00B84A91"/>
    <w:rsid w:val="00B85054"/>
    <w:rsid w:val="00BD5B72"/>
    <w:rsid w:val="00BF1E8F"/>
    <w:rsid w:val="00BF4330"/>
    <w:rsid w:val="00C04174"/>
    <w:rsid w:val="00C3254E"/>
    <w:rsid w:val="00C50CAA"/>
    <w:rsid w:val="00C51365"/>
    <w:rsid w:val="00C80907"/>
    <w:rsid w:val="00C90193"/>
    <w:rsid w:val="00C97258"/>
    <w:rsid w:val="00CA49C9"/>
    <w:rsid w:val="00CA4D9E"/>
    <w:rsid w:val="00CB4CF3"/>
    <w:rsid w:val="00CC3C1C"/>
    <w:rsid w:val="00CC48FD"/>
    <w:rsid w:val="00CD7D17"/>
    <w:rsid w:val="00CE42CD"/>
    <w:rsid w:val="00CE752E"/>
    <w:rsid w:val="00CF01DD"/>
    <w:rsid w:val="00CF1B95"/>
    <w:rsid w:val="00CF5FAC"/>
    <w:rsid w:val="00D06E7D"/>
    <w:rsid w:val="00D112E0"/>
    <w:rsid w:val="00D150EA"/>
    <w:rsid w:val="00D2314A"/>
    <w:rsid w:val="00D25077"/>
    <w:rsid w:val="00D341F4"/>
    <w:rsid w:val="00D4515B"/>
    <w:rsid w:val="00D52F2C"/>
    <w:rsid w:val="00D64D41"/>
    <w:rsid w:val="00D65927"/>
    <w:rsid w:val="00D663F5"/>
    <w:rsid w:val="00D7230D"/>
    <w:rsid w:val="00D73002"/>
    <w:rsid w:val="00D760DD"/>
    <w:rsid w:val="00D82890"/>
    <w:rsid w:val="00D969D9"/>
    <w:rsid w:val="00DA6664"/>
    <w:rsid w:val="00DB23FF"/>
    <w:rsid w:val="00DB56F9"/>
    <w:rsid w:val="00DB720C"/>
    <w:rsid w:val="00DD1940"/>
    <w:rsid w:val="00DD3BA7"/>
    <w:rsid w:val="00DD7052"/>
    <w:rsid w:val="00DF3450"/>
    <w:rsid w:val="00E11969"/>
    <w:rsid w:val="00E145DB"/>
    <w:rsid w:val="00E2193E"/>
    <w:rsid w:val="00E23B72"/>
    <w:rsid w:val="00E31BE3"/>
    <w:rsid w:val="00E37682"/>
    <w:rsid w:val="00E410AA"/>
    <w:rsid w:val="00E44282"/>
    <w:rsid w:val="00E47B9A"/>
    <w:rsid w:val="00E613F3"/>
    <w:rsid w:val="00E6203B"/>
    <w:rsid w:val="00E6336C"/>
    <w:rsid w:val="00E754F7"/>
    <w:rsid w:val="00E76B4F"/>
    <w:rsid w:val="00E81E6B"/>
    <w:rsid w:val="00E86AD1"/>
    <w:rsid w:val="00E90DEF"/>
    <w:rsid w:val="00E95B88"/>
    <w:rsid w:val="00EA011F"/>
    <w:rsid w:val="00EA6968"/>
    <w:rsid w:val="00EB536A"/>
    <w:rsid w:val="00EB5703"/>
    <w:rsid w:val="00EC6CE4"/>
    <w:rsid w:val="00EC708C"/>
    <w:rsid w:val="00EE2D2F"/>
    <w:rsid w:val="00F02D31"/>
    <w:rsid w:val="00F05E8E"/>
    <w:rsid w:val="00F0661F"/>
    <w:rsid w:val="00F23CAE"/>
    <w:rsid w:val="00F326BF"/>
    <w:rsid w:val="00F36C0D"/>
    <w:rsid w:val="00F40EBB"/>
    <w:rsid w:val="00F538BA"/>
    <w:rsid w:val="00F865BD"/>
    <w:rsid w:val="00FD16C6"/>
    <w:rsid w:val="00FE46C6"/>
    <w:rsid w:val="00FE7F13"/>
    <w:rsid w:val="00FF235E"/>
    <w:rsid w:val="00FF7D0A"/>
    <w:rsid w:val="0C207779"/>
    <w:rsid w:val="16D25142"/>
    <w:rsid w:val="1CFC29C3"/>
    <w:rsid w:val="1E543B74"/>
    <w:rsid w:val="4E0752CC"/>
    <w:rsid w:val="525C0C28"/>
    <w:rsid w:val="5AC96236"/>
    <w:rsid w:val="6CE44C0E"/>
    <w:rsid w:val="7030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B385-B74C-4E38-B2A8-F9FB7B2E819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4898</Words>
  <Characters>5286</Characters>
  <Lines>38</Lines>
  <Paragraphs>10</Paragraphs>
  <TotalTime>16</TotalTime>
  <ScaleCrop>false</ScaleCrop>
  <LinksUpToDate>false</LinksUpToDate>
  <CharactersWithSpaces>5451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2020-06-03T03:22:00Z</dcterms:created>
  <dc:creator>微软用户</dc:creator>
  <cp:lastModifiedBy>糖糖</cp:lastModifiedBy>
  <dcterms:modified xsi:type="dcterms:W3CDTF">2022-10-14T06:57:45Z</dcterms:modified>
  <dc:title>资阳市雁江区****（单位）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BD1700D3B43E4C6CA8AEE45CFEF1AC95</vt:lpwstr>
  </property>
</Properties>
</file>