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auto"/>
          <w:sz w:val="72"/>
          <w:szCs w:val="72"/>
        </w:rPr>
      </w:pPr>
      <w:bookmarkStart w:id="0" w:name="_Toc15306267"/>
    </w:p>
    <w:p>
      <w:pPr>
        <w:spacing w:line="600" w:lineRule="exact"/>
        <w:jc w:val="center"/>
        <w:outlineLvl w:val="0"/>
        <w:rPr>
          <w:rFonts w:ascii="方正小标宋简体" w:hAnsi="宋体" w:eastAsia="方正小标宋简体"/>
          <w:color w:val="auto"/>
          <w:sz w:val="72"/>
          <w:szCs w:val="72"/>
        </w:rPr>
      </w:pPr>
    </w:p>
    <w:p>
      <w:pPr>
        <w:spacing w:line="600" w:lineRule="exact"/>
        <w:jc w:val="center"/>
        <w:outlineLvl w:val="0"/>
        <w:rPr>
          <w:rFonts w:ascii="方正小标宋简体" w:hAnsi="宋体" w:eastAsia="方正小标宋简体"/>
          <w:color w:val="auto"/>
          <w:sz w:val="72"/>
          <w:szCs w:val="72"/>
        </w:rPr>
      </w:pPr>
    </w:p>
    <w:p>
      <w:pPr>
        <w:spacing w:line="600" w:lineRule="exact"/>
        <w:jc w:val="center"/>
        <w:outlineLvl w:val="0"/>
        <w:rPr>
          <w:rFonts w:ascii="方正小标宋简体" w:hAnsi="宋体" w:eastAsia="方正小标宋简体"/>
          <w:color w:val="auto"/>
          <w:sz w:val="72"/>
          <w:szCs w:val="72"/>
        </w:rPr>
      </w:pPr>
    </w:p>
    <w:p>
      <w:pPr>
        <w:adjustRightInd w:val="0"/>
        <w:snapToGrid w:val="0"/>
        <w:spacing w:line="360" w:lineRule="auto"/>
        <w:jc w:val="center"/>
        <w:outlineLvl w:val="0"/>
        <w:rPr>
          <w:rFonts w:ascii="方正小标宋简体" w:hAnsi="宋体" w:eastAsia="方正小标宋简体"/>
          <w:color w:val="auto"/>
          <w:sz w:val="72"/>
          <w:szCs w:val="72"/>
        </w:rPr>
      </w:pPr>
      <w:bookmarkStart w:id="1" w:name="_Toc15377425"/>
      <w:bookmarkStart w:id="2" w:name="_Toc15378441"/>
      <w:bookmarkStart w:id="3" w:name="_Toc15455"/>
      <w:bookmarkStart w:id="4" w:name="_Toc17103546"/>
      <w:bookmarkStart w:id="5" w:name="_Toc15377193"/>
      <w:bookmarkStart w:id="6" w:name="_Toc15396475"/>
      <w:bookmarkStart w:id="7" w:name="_Toc15396597"/>
      <w:r>
        <w:rPr>
          <w:rFonts w:ascii="黑体" w:hAnsi="黑体" w:eastAsia="黑体"/>
          <w:color w:val="auto"/>
          <w:sz w:val="72"/>
          <w:szCs w:val="72"/>
        </w:rPr>
        <w:t>20</w:t>
      </w:r>
      <w:r>
        <w:rPr>
          <w:rFonts w:hint="eastAsia" w:ascii="黑体" w:hAnsi="黑体" w:eastAsia="黑体"/>
          <w:color w:val="auto"/>
          <w:sz w:val="72"/>
          <w:szCs w:val="72"/>
          <w:lang w:val="en-US" w:eastAsia="zh-CN"/>
        </w:rPr>
        <w:t>20</w:t>
      </w:r>
      <w:r>
        <w:rPr>
          <w:rFonts w:hint="eastAsia" w:ascii="方正小标宋简体" w:hAnsi="宋体" w:eastAsia="方正小标宋简体"/>
          <w:color w:val="auto"/>
          <w:sz w:val="72"/>
          <w:szCs w:val="72"/>
        </w:rPr>
        <w:t>年度</w:t>
      </w:r>
      <w:bookmarkEnd w:id="1"/>
      <w:bookmarkEnd w:id="2"/>
      <w:bookmarkEnd w:id="3"/>
      <w:bookmarkEnd w:id="4"/>
      <w:bookmarkEnd w:id="5"/>
      <w:bookmarkEnd w:id="6"/>
      <w:bookmarkEnd w:id="7"/>
    </w:p>
    <w:bookmarkEnd w:id="0"/>
    <w:p>
      <w:pPr>
        <w:adjustRightInd w:val="0"/>
        <w:snapToGrid w:val="0"/>
        <w:spacing w:line="360" w:lineRule="auto"/>
        <w:jc w:val="center"/>
        <w:outlineLvl w:val="0"/>
        <w:rPr>
          <w:rFonts w:hint="eastAsia" w:ascii="方正小标宋简体" w:hAnsi="宋体" w:eastAsia="方正小标宋简体"/>
          <w:color w:val="auto"/>
          <w:sz w:val="72"/>
          <w:szCs w:val="72"/>
        </w:rPr>
      </w:pPr>
      <w:bookmarkStart w:id="8" w:name="_Toc5083"/>
      <w:bookmarkStart w:id="9" w:name="_Toc15378442"/>
      <w:bookmarkStart w:id="10" w:name="_Toc15396476"/>
      <w:bookmarkStart w:id="11" w:name="_Toc15396598"/>
      <w:bookmarkStart w:id="12" w:name="_Toc15306268"/>
      <w:bookmarkStart w:id="13" w:name="_Toc15377426"/>
      <w:bookmarkStart w:id="14" w:name="_Toc15377194"/>
      <w:bookmarkStart w:id="15" w:name="_Toc17103547"/>
      <w:r>
        <w:rPr>
          <w:rFonts w:hint="eastAsia" w:ascii="方正小标宋简体" w:hAnsi="宋体" w:eastAsia="方正小标宋简体"/>
          <w:color w:val="auto"/>
          <w:sz w:val="72"/>
          <w:szCs w:val="72"/>
        </w:rPr>
        <w:t>四川省资阳市雁江区团委</w:t>
      </w:r>
      <w:bookmarkEnd w:id="8"/>
    </w:p>
    <w:p>
      <w:pPr>
        <w:adjustRightInd w:val="0"/>
        <w:snapToGrid w:val="0"/>
        <w:spacing w:line="360" w:lineRule="auto"/>
        <w:jc w:val="center"/>
        <w:outlineLvl w:val="0"/>
        <w:rPr>
          <w:rFonts w:ascii="方正小标宋简体" w:hAnsi="宋体" w:eastAsia="方正小标宋简体"/>
          <w:color w:val="auto"/>
          <w:sz w:val="72"/>
          <w:szCs w:val="72"/>
        </w:rPr>
      </w:pPr>
      <w:bookmarkStart w:id="16" w:name="_Toc18640"/>
      <w:r>
        <w:rPr>
          <w:rFonts w:hint="eastAsia" w:ascii="方正小标宋简体" w:hAnsi="宋体" w:eastAsia="方正小标宋简体"/>
          <w:color w:val="auto"/>
          <w:sz w:val="72"/>
          <w:szCs w:val="72"/>
        </w:rPr>
        <w:t>部门决算</w:t>
      </w:r>
      <w:bookmarkEnd w:id="9"/>
      <w:bookmarkEnd w:id="10"/>
      <w:bookmarkEnd w:id="11"/>
      <w:bookmarkEnd w:id="12"/>
      <w:bookmarkEnd w:id="13"/>
      <w:bookmarkEnd w:id="14"/>
      <w:bookmarkEnd w:id="15"/>
      <w:bookmarkEnd w:id="16"/>
    </w:p>
    <w:p>
      <w:pPr>
        <w:widowControl/>
        <w:ind w:firstLine="360" w:firstLineChars="100"/>
        <w:jc w:val="left"/>
        <w:rPr>
          <w:rFonts w:ascii="仿宋" w:hAnsi="仿宋" w:eastAsia="仿宋"/>
          <w:color w:val="auto"/>
          <w:sz w:val="24"/>
        </w:rPr>
      </w:pPr>
      <w:r>
        <w:rPr>
          <w:rFonts w:ascii="方正小标宋简体" w:hAnsi="宋体" w:eastAsia="方正小标宋简体"/>
          <w:color w:val="auto"/>
          <w:sz w:val="36"/>
          <w:szCs w:val="36"/>
        </w:rPr>
        <w:br w:type="page"/>
      </w:r>
      <w:bookmarkStart w:id="17" w:name="_Toc15377196"/>
    </w:p>
    <w:sdt>
      <w:sdtPr>
        <w:rPr>
          <w:rFonts w:ascii="宋体" w:hAnsi="宋体" w:eastAsia="宋体" w:cs="Times New Roman"/>
          <w:color w:val="auto"/>
          <w:kern w:val="2"/>
          <w:sz w:val="21"/>
          <w:szCs w:val="24"/>
          <w:lang w:val="en-US" w:eastAsia="zh-CN" w:bidi="ar-SA"/>
        </w:rPr>
        <w:id w:val="147478782"/>
        <w15:color w:val="DBDBDB"/>
        <w:docPartObj>
          <w:docPartGallery w:val="Table of Contents"/>
          <w:docPartUnique/>
        </w:docPartObj>
      </w:sdtPr>
      <w:sdtEndPr>
        <w:rPr>
          <w:rFonts w:ascii="宋体" w:hAnsi="宋体" w:eastAsia="宋体" w:cs="Times New Roman"/>
          <w:color w:val="auto"/>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8"/>
              <w:szCs w:val="48"/>
            </w:rPr>
            <w:t>目</w:t>
          </w:r>
          <w:r>
            <w:rPr>
              <w:rFonts w:hint="eastAsia" w:ascii="方正小标宋简体" w:hAnsi="方正小标宋简体" w:eastAsia="方正小标宋简体" w:cs="方正小标宋简体"/>
              <w:color w:val="auto"/>
              <w:sz w:val="48"/>
              <w:szCs w:val="48"/>
              <w:lang w:val="en-US" w:eastAsia="zh-CN"/>
            </w:rPr>
            <w:t xml:space="preserve">  </w:t>
          </w:r>
          <w:r>
            <w:rPr>
              <w:rFonts w:hint="eastAsia" w:ascii="方正小标宋简体" w:hAnsi="方正小标宋简体" w:eastAsia="方正小标宋简体" w:cs="方正小标宋简体"/>
              <w:color w:val="auto"/>
              <w:sz w:val="48"/>
              <w:szCs w:val="48"/>
            </w:rPr>
            <w:t>录</w:t>
          </w:r>
        </w:p>
        <w:p>
          <w:pPr>
            <w:pStyle w:val="11"/>
            <w:tabs>
              <w:tab w:val="right" w:leader="dot" w:pos="9746"/>
              <w:tab w:val="clear" w:pos="8296"/>
            </w:tabs>
            <w:rPr>
              <w:rFonts w:hint="default" w:eastAsia="仿宋"/>
              <w:color w:val="auto"/>
              <w:lang w:val="en-US" w:eastAsia="zh-CN"/>
            </w:rPr>
          </w:pPr>
          <w:r>
            <w:rPr>
              <w:color w:val="auto"/>
            </w:rPr>
            <w:fldChar w:fldCharType="begin"/>
          </w:r>
          <w:r>
            <w:rPr>
              <w:color w:val="auto"/>
            </w:rPr>
            <w:instrText xml:space="preserve">TOC \o "1-3" \h \u </w:instrText>
          </w:r>
          <w:r>
            <w:rPr>
              <w:color w:val="auto"/>
            </w:rPr>
            <w:fldChar w:fldCharType="separate"/>
          </w:r>
          <w:r>
            <w:rPr>
              <w:rFonts w:hint="eastAsia"/>
              <w:color w:val="auto"/>
              <w:lang w:eastAsia="zh-CN"/>
            </w:rPr>
            <w:t>公开时间：</w:t>
          </w:r>
          <w:r>
            <w:rPr>
              <w:rFonts w:hint="eastAsia"/>
              <w:color w:val="auto"/>
              <w:lang w:val="en-US" w:eastAsia="zh-CN"/>
            </w:rPr>
            <w:t>2021年9月4日</w:t>
          </w:r>
        </w:p>
        <w:p>
          <w:pPr>
            <w:pStyle w:val="11"/>
            <w:keepNext w:val="0"/>
            <w:keepLines w:val="0"/>
            <w:pageBreakBefore w:val="0"/>
            <w:widowControl w:val="0"/>
            <w:tabs>
              <w:tab w:val="right" w:leader="dot" w:pos="9746"/>
              <w:tab w:val="clear" w:pos="8296"/>
            </w:tabs>
            <w:kinsoku/>
            <w:wordWrap/>
            <w:overflowPunct/>
            <w:topLinePunct w:val="0"/>
            <w:autoSpaceDE/>
            <w:autoSpaceDN/>
            <w:bidi w:val="0"/>
            <w:adjustRightInd/>
            <w:snapToGrid/>
            <w:spacing w:before="0"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_Toc24807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第一部分 部门概况</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_Toc24807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5</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_Toc30767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 xml:space="preserve"> 一、基本职能及主要工作</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_Toc30767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5</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7"/>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_Toc18015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（一）主要职能</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_Toc18015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5</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7"/>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_Toc18341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color w:val="auto"/>
              <w:kern w:val="2"/>
              <w:sz w:val="28"/>
              <w:szCs w:val="28"/>
              <w:lang w:val="en-US" w:eastAsia="zh-CN" w:bidi="ar-SA"/>
            </w:rPr>
            <w:t>（二）2020年重点工作完成情况</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_Toc18341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5</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_Toc22016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二、机构设置</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_Toc22016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9</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1"/>
            <w:keepNext w:val="0"/>
            <w:keepLines w:val="0"/>
            <w:pageBreakBefore w:val="0"/>
            <w:widowControl w:val="0"/>
            <w:tabs>
              <w:tab w:val="right" w:leader="dot" w:pos="9746"/>
              <w:tab w:val="clear" w:pos="8296"/>
            </w:tabs>
            <w:kinsoku/>
            <w:wordWrap/>
            <w:overflowPunct/>
            <w:topLinePunct w:val="0"/>
            <w:autoSpaceDE/>
            <w:autoSpaceDN/>
            <w:bidi w:val="0"/>
            <w:adjustRightInd/>
            <w:snapToGrid/>
            <w:spacing w:before="0"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_Toc30671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第二部分 20</w:t>
          </w:r>
          <w:r>
            <w:rPr>
              <w:rFonts w:hint="eastAsia" w:ascii="方正仿宋简体" w:hAnsi="方正仿宋简体" w:eastAsia="方正仿宋简体" w:cs="方正仿宋简体"/>
              <w:color w:val="auto"/>
              <w:sz w:val="28"/>
              <w:szCs w:val="28"/>
              <w:lang w:val="en-US" w:eastAsia="zh-CN"/>
            </w:rPr>
            <w:t>20</w:t>
          </w:r>
          <w:r>
            <w:rPr>
              <w:rFonts w:hint="eastAsia" w:ascii="方正仿宋简体" w:hAnsi="方正仿宋简体" w:eastAsia="方正仿宋简体" w:cs="方正仿宋简体"/>
              <w:color w:val="auto"/>
              <w:sz w:val="28"/>
              <w:szCs w:val="28"/>
            </w:rPr>
            <w:t>年度部门决算情况说明</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_Toc30671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9</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_Toc16527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lang w:eastAsia="zh-CN"/>
            </w:rPr>
            <w:t>一、</w:t>
          </w:r>
          <w:r>
            <w:rPr>
              <w:rFonts w:hint="eastAsia" w:ascii="方正仿宋简体" w:hAnsi="方正仿宋简体" w:eastAsia="方正仿宋简体" w:cs="方正仿宋简体"/>
              <w:bCs w:val="0"/>
              <w:color w:val="auto"/>
              <w:sz w:val="28"/>
              <w:szCs w:val="28"/>
            </w:rPr>
            <w:t>收入支出决算总体情况说明</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_Toc16527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9</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_Toc27770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lang w:eastAsia="zh-CN"/>
            </w:rPr>
            <w:t>二、</w:t>
          </w:r>
          <w:r>
            <w:rPr>
              <w:rFonts w:hint="eastAsia" w:ascii="方正仿宋简体" w:hAnsi="方正仿宋简体" w:eastAsia="方正仿宋简体" w:cs="方正仿宋简体"/>
              <w:bCs w:val="0"/>
              <w:color w:val="auto"/>
              <w:sz w:val="28"/>
              <w:szCs w:val="28"/>
            </w:rPr>
            <w:t>收入决算情况说明</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_Toc27770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10</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_Toc8449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三、支出决算情况说明</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_Toc8449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10</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_Toc31809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四、财政拨款收入支出决算总体情况说明</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_Toc31809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11</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_Toc31942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五、一般公共预算财政拨款支出决算情况说明</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_Toc31942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11</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7"/>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_Toc11609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color w:val="auto"/>
              <w:kern w:val="2"/>
              <w:sz w:val="28"/>
              <w:szCs w:val="28"/>
              <w:lang w:val="en-US" w:eastAsia="zh-CN" w:bidi="ar-SA"/>
            </w:rPr>
            <w:t>（一）一般公共预算财政拨款支出决算总体情况</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_Toc11609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12</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7"/>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_Toc2672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（二）一般公共预算财政拨款支出决算结构情况</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_Toc2672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12</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7"/>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_Toc22311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（三）一般公共预算财政拨款支出决算具体情况</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_Toc22311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13</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_Toc18865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六、一般公共预算财政拨款基本支出决算情况说明</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_Toc18865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14</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_Toc26840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七、“三公”经费财政拨款支出决算情况说明</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_Toc26840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15</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7"/>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_Toc31706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（一）“三公”经费财政拨款支出决算总体情况说明</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_Toc31706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15</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7"/>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_Toc14114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w:t>
          </w:r>
          <w:r>
            <w:rPr>
              <w:rFonts w:hint="eastAsia" w:ascii="方正仿宋简体" w:hAnsi="方正仿宋简体" w:eastAsia="方正仿宋简体" w:cs="方正仿宋简体"/>
              <w:bCs/>
              <w:color w:val="auto"/>
              <w:kern w:val="2"/>
              <w:sz w:val="28"/>
              <w:szCs w:val="28"/>
              <w:lang w:val="en-US" w:eastAsia="zh-CN" w:bidi="ar-SA"/>
            </w:rPr>
            <w:t>二）“三公”经费财政拨款支出决算具体情况说明</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_Toc14114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15</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_Toc5966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八、政府性基金预算支出决算情况说明</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_Toc5966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16</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_Toc3332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九、国有资本经营预算支出决算情况说明</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_Toc3332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16</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_Toc16049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十、预算绩效情况说明</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_Toc16049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16</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7"/>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_Toc10563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（一）预算绩效管理工作开展情况。</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_Toc10563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16</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7"/>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_Toc22118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（二）项目绩效目标完成情况。</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_Toc22118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17</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7"/>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_Toc6784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lang w:eastAsia="zh-CN"/>
            </w:rPr>
            <w:t>（三）</w:t>
          </w:r>
          <w:r>
            <w:rPr>
              <w:rFonts w:hint="eastAsia" w:ascii="方正仿宋简体" w:hAnsi="方正仿宋简体" w:eastAsia="方正仿宋简体" w:cs="方正仿宋简体"/>
              <w:color w:val="auto"/>
              <w:sz w:val="28"/>
              <w:szCs w:val="28"/>
            </w:rPr>
            <w:t>部门开展绩效评价结果</w:t>
          </w:r>
          <w:r>
            <w:rPr>
              <w:rFonts w:hint="eastAsia" w:ascii="方正仿宋简体" w:hAnsi="方正仿宋简体" w:eastAsia="方正仿宋简体" w:cs="方正仿宋简体"/>
              <w:bCs/>
              <w:color w:val="auto"/>
              <w:sz w:val="28"/>
              <w:szCs w:val="28"/>
            </w:rPr>
            <w:t>。</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_Toc6784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19</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_Toc8458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十一、其他重要事项的情况说明</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_Toc8458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19</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7"/>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_Toc17949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（一）机关运行经费支出情况</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_Toc17949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19</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7"/>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_Toc26557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（二）政府采购支出情况</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_Toc26557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20</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7"/>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_Toc29890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（三）国有资产占有使用情况</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_Toc29890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20</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1"/>
            <w:keepNext w:val="0"/>
            <w:keepLines w:val="0"/>
            <w:pageBreakBefore w:val="0"/>
            <w:widowControl w:val="0"/>
            <w:tabs>
              <w:tab w:val="right" w:leader="dot" w:pos="9746"/>
              <w:tab w:val="clear" w:pos="8296"/>
            </w:tabs>
            <w:kinsoku/>
            <w:wordWrap/>
            <w:overflowPunct/>
            <w:topLinePunct w:val="0"/>
            <w:autoSpaceDE/>
            <w:autoSpaceDN/>
            <w:bidi w:val="0"/>
            <w:adjustRightInd/>
            <w:snapToGrid/>
            <w:spacing w:before="0"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_Toc15080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lang w:eastAsia="zh-CN"/>
            </w:rPr>
            <w:t>第三部分</w:t>
          </w:r>
          <w:r>
            <w:rPr>
              <w:rFonts w:hint="eastAsia" w:ascii="方正仿宋简体" w:hAnsi="方正仿宋简体" w:eastAsia="方正仿宋简体" w:cs="方正仿宋简体"/>
              <w:color w:val="auto"/>
              <w:sz w:val="28"/>
              <w:szCs w:val="28"/>
              <w:lang w:val="en-US" w:eastAsia="zh-CN"/>
            </w:rPr>
            <w:t xml:space="preserve">  </w:t>
          </w:r>
          <w:r>
            <w:rPr>
              <w:rFonts w:hint="eastAsia" w:ascii="方正仿宋简体" w:hAnsi="方正仿宋简体" w:eastAsia="方正仿宋简体" w:cs="方正仿宋简体"/>
              <w:color w:val="auto"/>
              <w:sz w:val="28"/>
              <w:szCs w:val="28"/>
            </w:rPr>
            <w:t>名词解释</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_Toc15080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21</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1"/>
            <w:keepNext w:val="0"/>
            <w:keepLines w:val="0"/>
            <w:pageBreakBefore w:val="0"/>
            <w:widowControl w:val="0"/>
            <w:tabs>
              <w:tab w:val="right" w:leader="dot" w:pos="9746"/>
              <w:tab w:val="clear" w:pos="8296"/>
            </w:tabs>
            <w:kinsoku/>
            <w:wordWrap/>
            <w:overflowPunct/>
            <w:topLinePunct w:val="0"/>
            <w:autoSpaceDE/>
            <w:autoSpaceDN/>
            <w:bidi w:val="0"/>
            <w:adjustRightInd/>
            <w:snapToGrid/>
            <w:spacing w:before="0"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_Toc27214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第四部分 附件</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_Toc27214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25</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_Toc6569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附件1</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_Toc6569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25</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_Toc4993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附件2</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_Toc4993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27</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1"/>
            <w:keepNext w:val="0"/>
            <w:keepLines w:val="0"/>
            <w:pageBreakBefore w:val="0"/>
            <w:widowControl w:val="0"/>
            <w:tabs>
              <w:tab w:val="right" w:leader="dot" w:pos="9746"/>
              <w:tab w:val="clear" w:pos="8296"/>
            </w:tabs>
            <w:kinsoku/>
            <w:wordWrap/>
            <w:overflowPunct/>
            <w:topLinePunct w:val="0"/>
            <w:autoSpaceDE/>
            <w:autoSpaceDN/>
            <w:bidi w:val="0"/>
            <w:adjustRightInd/>
            <w:snapToGrid/>
            <w:spacing w:before="0"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_Toc2736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第五部分 附表</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_Toc2736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28</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_Toc16447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一、收入支出决算总表</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_Toc16447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28</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_Toc29940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二、收入决算表</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_Toc29940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28</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_Toc8862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三、支出决算表</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_Toc8862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28</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_Toc4723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四、财政拨款收入支出决算总表</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_Toc4723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28</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_Toc1001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五、财政拨款支出决算明细表</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_Toc1001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28</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_Toc10843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六、一般公共预算财政拨款支出决算表</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_Toc10843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28</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_Toc19830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七、一般公共预算财政拨款支出决算明细表</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_Toc19830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28</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_Toc19457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八、一般公共预算财政拨款基本支出决算表</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_Toc19457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28</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_Toc22329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九、一般公共预算财政拨款项目支出决算表</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_Toc22329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28</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_Toc9653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十、一般公共预算财政拨款“三公”经费支出决算表</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_Toc9653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28</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_Toc7110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十一、政府性基金预算财政拨款收入支出决算表</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_Toc7110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28</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_Toc16182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十二、政府性基金预算财政拨款“三公”经费支出决算表</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_Toc16182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28</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_Toc1392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十三、国有资本经营预算财政拨款收入支出决算表</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_Toc1392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28</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40" w:lineRule="exact"/>
            <w:textAlignment w:val="auto"/>
            <w:rPr>
              <w:color w:val="auto"/>
            </w:rPr>
          </w:pP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\l _Toc7377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bCs w:val="0"/>
              <w:color w:val="auto"/>
              <w:sz w:val="28"/>
              <w:szCs w:val="28"/>
            </w:rPr>
            <w:t>十四、国有资本经营预算财政拨款支出决算表</w:t>
          </w:r>
          <w:r>
            <w:rPr>
              <w:rFonts w:hint="eastAsia" w:ascii="方正仿宋简体" w:hAnsi="方正仿宋简体" w:eastAsia="方正仿宋简体" w:cs="方正仿宋简体"/>
              <w:color w:val="auto"/>
              <w:sz w:val="28"/>
              <w:szCs w:val="28"/>
            </w:rPr>
            <w:tab/>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PAGEREF _Toc7377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rPr>
            <w:t>28</w:t>
          </w:r>
          <w:r>
            <w:rPr>
              <w:rFonts w:hint="eastAsia" w:ascii="方正仿宋简体" w:hAnsi="方正仿宋简体" w:eastAsia="方正仿宋简体" w:cs="方正仿宋简体"/>
              <w:color w:val="auto"/>
              <w:sz w:val="28"/>
              <w:szCs w:val="28"/>
            </w:rPr>
            <w:fldChar w:fldCharType="end"/>
          </w:r>
          <w:r>
            <w:rPr>
              <w:rFonts w:hint="eastAsia" w:ascii="方正仿宋简体" w:hAnsi="方正仿宋简体" w:eastAsia="方正仿宋简体" w:cs="方正仿宋简体"/>
              <w:color w:val="auto"/>
              <w:sz w:val="28"/>
              <w:szCs w:val="28"/>
            </w:rPr>
            <w:fldChar w:fldCharType="end"/>
          </w:r>
        </w:p>
        <w:p>
          <w:pPr>
            <w:rPr>
              <w:color w:val="auto"/>
            </w:rPr>
          </w:pPr>
          <w:r>
            <w:rPr>
              <w:color w:val="auto"/>
            </w:rPr>
            <w:fldChar w:fldCharType="end"/>
          </w:r>
        </w:p>
      </w:sdtContent>
    </w:sdt>
    <w:p>
      <w:pPr>
        <w:pageBreakBefore w:val="0"/>
        <w:widowControl/>
        <w:kinsoku/>
        <w:wordWrap/>
        <w:overflowPunct/>
        <w:topLinePunct w:val="0"/>
        <w:autoSpaceDE/>
        <w:autoSpaceDN/>
        <w:bidi w:val="0"/>
        <w:spacing w:line="600" w:lineRule="exact"/>
        <w:jc w:val="center"/>
        <w:textAlignment w:val="auto"/>
        <w:rPr>
          <w:rStyle w:val="27"/>
          <w:rFonts w:ascii="黑体" w:hAnsi="黑体" w:eastAsia="黑体"/>
          <w:color w:val="auto"/>
        </w:rPr>
      </w:pPr>
      <w:r>
        <w:rPr>
          <w:rFonts w:ascii="黑体" w:hAnsi="黑体" w:eastAsia="黑体"/>
          <w:b/>
          <w:color w:val="auto"/>
        </w:rPr>
        <w:br w:type="page"/>
      </w:r>
      <w:bookmarkStart w:id="18" w:name="_Toc17103549"/>
      <w:bookmarkStart w:id="19" w:name="_Toc24807"/>
      <w:r>
        <w:rPr>
          <w:rStyle w:val="27"/>
          <w:rFonts w:hint="eastAsia" w:ascii="黑体" w:hAnsi="黑体"/>
          <w:color w:val="auto"/>
        </w:rPr>
        <w:t xml:space="preserve">第一部分 </w:t>
      </w:r>
      <w:r>
        <w:rPr>
          <w:rStyle w:val="27"/>
          <w:rFonts w:hint="eastAsia" w:ascii="黑体" w:hAnsi="黑体" w:eastAsia="黑体"/>
          <w:color w:val="auto"/>
        </w:rPr>
        <w:t>部门概况</w:t>
      </w:r>
      <w:bookmarkEnd w:id="17"/>
      <w:bookmarkEnd w:id="18"/>
      <w:bookmarkStart w:id="20" w:name="_Toc15377197"/>
      <w:bookmarkStart w:id="21" w:name="_Toc17103550"/>
    </w:p>
    <w:bookmarkEnd w:id="19"/>
    <w:p>
      <w:pPr>
        <w:pageBreakBefore w:val="0"/>
        <w:widowControl/>
        <w:kinsoku/>
        <w:wordWrap/>
        <w:overflowPunct/>
        <w:topLinePunct w:val="0"/>
        <w:autoSpaceDE/>
        <w:autoSpaceDN/>
        <w:bidi w:val="0"/>
        <w:spacing w:line="600" w:lineRule="exact"/>
        <w:jc w:val="center"/>
        <w:textAlignment w:val="auto"/>
        <w:rPr>
          <w:rStyle w:val="27"/>
          <w:rFonts w:ascii="黑体" w:hAnsi="黑体" w:eastAsia="黑体"/>
          <w:color w:val="auto"/>
        </w:rPr>
      </w:pPr>
    </w:p>
    <w:p>
      <w:pPr>
        <w:pageBreakBefore w:val="0"/>
        <w:widowControl/>
        <w:kinsoku/>
        <w:wordWrap/>
        <w:overflowPunct/>
        <w:topLinePunct w:val="0"/>
        <w:autoSpaceDE/>
        <w:autoSpaceDN/>
        <w:bidi w:val="0"/>
        <w:spacing w:line="600" w:lineRule="exact"/>
        <w:jc w:val="left"/>
        <w:textAlignment w:val="auto"/>
        <w:rPr>
          <w:rStyle w:val="28"/>
          <w:rFonts w:hint="eastAsia" w:ascii="方正黑体简体" w:hAnsi="方正黑体简体" w:eastAsia="方正黑体简体" w:cs="方正黑体简体"/>
          <w:b w:val="0"/>
          <w:bCs w:val="0"/>
          <w:color w:val="auto"/>
        </w:rPr>
      </w:pPr>
      <w:r>
        <w:rPr>
          <w:rStyle w:val="27"/>
          <w:rFonts w:hint="eastAsia" w:ascii="黑体" w:hAnsi="黑体" w:eastAsia="黑体"/>
          <w:color w:val="auto"/>
        </w:rPr>
        <w:t xml:space="preserve">   </w:t>
      </w:r>
      <w:bookmarkStart w:id="22" w:name="_Toc30767"/>
      <w:r>
        <w:rPr>
          <w:rStyle w:val="28"/>
          <w:rFonts w:hint="eastAsia" w:ascii="方正黑体简体" w:hAnsi="方正黑体简体" w:eastAsia="方正黑体简体" w:cs="方正黑体简体"/>
          <w:b w:val="0"/>
          <w:bCs w:val="0"/>
          <w:color w:val="auto"/>
        </w:rPr>
        <w:t xml:space="preserve"> 一、基本职能及主要工作</w:t>
      </w:r>
      <w:bookmarkEnd w:id="20"/>
      <w:bookmarkEnd w:id="21"/>
    </w:p>
    <w:bookmarkEnd w:id="22"/>
    <w:p>
      <w:pPr>
        <w:pStyle w:val="4"/>
        <w:pageBreakBefore w:val="0"/>
        <w:kinsoku/>
        <w:wordWrap/>
        <w:overflowPunct/>
        <w:topLinePunct w:val="0"/>
        <w:autoSpaceDE/>
        <w:autoSpaceDN/>
        <w:bidi w:val="0"/>
        <w:spacing w:before="0" w:after="0" w:line="600" w:lineRule="exact"/>
        <w:ind w:firstLine="643" w:firstLineChars="200"/>
        <w:textAlignment w:val="auto"/>
        <w:rPr>
          <w:color w:val="auto"/>
        </w:rPr>
      </w:pPr>
      <w:bookmarkStart w:id="23" w:name="_Toc18015"/>
      <w:bookmarkStart w:id="24" w:name="_Toc15377198"/>
      <w:bookmarkStart w:id="25" w:name="_Toc15378445"/>
      <w:r>
        <w:rPr>
          <w:rFonts w:hint="eastAsia" w:ascii="方正仿宋简体" w:hAnsi="方正仿宋简体" w:eastAsia="方正仿宋简体" w:cs="方正仿宋简体"/>
          <w:color w:val="auto"/>
        </w:rPr>
        <w:t>（一）主要职能</w:t>
      </w:r>
      <w:bookmarkEnd w:id="23"/>
      <w:bookmarkEnd w:id="24"/>
      <w:bookmarkEnd w:id="25"/>
    </w:p>
    <w:p>
      <w:pPr>
        <w:pageBreakBefore w:val="0"/>
        <w:kinsoku/>
        <w:wordWrap/>
        <w:overflowPunct/>
        <w:topLinePunct w:val="0"/>
        <w:autoSpaceDE/>
        <w:autoSpaceDN/>
        <w:bidi w:val="0"/>
        <w:snapToGrid w:val="0"/>
        <w:spacing w:line="600" w:lineRule="exact"/>
        <w:ind w:firstLine="640" w:firstLineChars="200"/>
        <w:textAlignment w:val="auto"/>
        <w:rPr>
          <w:rFonts w:ascii="方正仿宋简体" w:hAnsi="仿宋" w:eastAsia="方正仿宋简体"/>
          <w:color w:val="auto"/>
          <w:sz w:val="32"/>
          <w:szCs w:val="32"/>
        </w:rPr>
      </w:pPr>
      <w:r>
        <w:rPr>
          <w:rFonts w:hint="eastAsia" w:ascii="方正仿宋简体" w:hAnsi="仿宋" w:eastAsia="方正仿宋简体"/>
          <w:color w:val="auto"/>
          <w:sz w:val="32"/>
          <w:szCs w:val="32"/>
        </w:rPr>
        <w:t>雁江区团委是中国共产党领导的</w:t>
      </w:r>
      <w:r>
        <w:rPr>
          <w:rFonts w:hint="eastAsia" w:ascii="方正仿宋简体" w:hAnsi="仿宋" w:eastAsia="方正仿宋简体"/>
          <w:color w:val="auto"/>
          <w:sz w:val="32"/>
          <w:szCs w:val="32"/>
          <w:lang w:eastAsia="zh-CN"/>
        </w:rPr>
        <w:t>先进青年的群团组织</w:t>
      </w:r>
      <w:r>
        <w:rPr>
          <w:rFonts w:hint="eastAsia" w:ascii="方正仿宋简体" w:hAnsi="仿宋" w:eastAsia="方正仿宋简体"/>
          <w:color w:val="auto"/>
          <w:sz w:val="32"/>
          <w:szCs w:val="32"/>
        </w:rPr>
        <w:t>，承担联系青年的桥梁和纽带，负责共青团、青少年事业发展组织和带领青年发挥生力军和突击队作用的群团部门。</w:t>
      </w:r>
    </w:p>
    <w:p>
      <w:pPr>
        <w:pStyle w:val="4"/>
        <w:pageBreakBefore w:val="0"/>
        <w:kinsoku/>
        <w:wordWrap/>
        <w:overflowPunct/>
        <w:topLinePunct w:val="0"/>
        <w:autoSpaceDE/>
        <w:autoSpaceDN/>
        <w:bidi w:val="0"/>
        <w:spacing w:before="0" w:after="0" w:line="600" w:lineRule="exact"/>
        <w:ind w:firstLine="643" w:firstLineChars="200"/>
        <w:textAlignment w:val="auto"/>
        <w:rPr>
          <w:rFonts w:ascii="仿宋" w:hAnsi="仿宋" w:eastAsia="仿宋"/>
          <w:bCs/>
          <w:color w:val="auto"/>
          <w:sz w:val="32"/>
          <w:szCs w:val="32"/>
        </w:rPr>
      </w:pPr>
      <w:bookmarkStart w:id="26" w:name="_Toc15377199"/>
      <w:bookmarkStart w:id="27" w:name="_Toc18341"/>
      <w:bookmarkStart w:id="28" w:name="_Toc15378446"/>
      <w:r>
        <w:rPr>
          <w:rFonts w:hint="eastAsia" w:ascii="方正仿宋简体" w:hAnsi="方正仿宋简体" w:eastAsia="方正仿宋简体" w:cs="方正仿宋简体"/>
          <w:b/>
          <w:bCs/>
          <w:color w:val="auto"/>
          <w:kern w:val="2"/>
          <w:sz w:val="32"/>
          <w:szCs w:val="32"/>
          <w:lang w:val="en-US" w:eastAsia="zh-CN" w:bidi="ar-SA"/>
        </w:rPr>
        <w:t>（二）2020年重点工作完成情况</w:t>
      </w:r>
      <w:bookmarkEnd w:id="26"/>
      <w:bookmarkEnd w:id="27"/>
      <w:bookmarkEnd w:id="28"/>
    </w:p>
    <w:p>
      <w:pPr>
        <w:pStyle w:val="32"/>
        <w:spacing w:line="600" w:lineRule="exact"/>
        <w:ind w:right="-313" w:rightChars="-149" w:firstLine="663" w:firstLineChars="200"/>
        <w:rPr>
          <w:rFonts w:ascii="方正楷体简体" w:eastAsia="方正楷体简体"/>
          <w:b/>
          <w:color w:val="auto"/>
          <w:sz w:val="33"/>
          <w:szCs w:val="33"/>
        </w:rPr>
      </w:pPr>
      <w:bookmarkStart w:id="29" w:name="_Toc15377200"/>
      <w:bookmarkStart w:id="30" w:name="_Toc17103551"/>
      <w:bookmarkStart w:id="31" w:name="_Toc22016"/>
      <w:r>
        <w:rPr>
          <w:rFonts w:hint="eastAsia" w:ascii="方正楷体简体" w:eastAsia="方正楷体简体"/>
          <w:b/>
          <w:color w:val="auto"/>
          <w:sz w:val="33"/>
          <w:szCs w:val="33"/>
        </w:rPr>
        <w:t>1.把握政治方向，深化思想引领</w:t>
      </w:r>
    </w:p>
    <w:p>
      <w:pPr>
        <w:spacing w:line="600" w:lineRule="exact"/>
        <w:ind w:right="-13" w:rightChars="-6" w:firstLine="663" w:firstLineChars="200"/>
        <w:contextualSpacing/>
        <w:rPr>
          <w:rFonts w:ascii="宋体" w:hAnsi="宋体" w:eastAsia="方正仿宋简体"/>
          <w:color w:val="auto"/>
          <w:sz w:val="33"/>
          <w:szCs w:val="33"/>
        </w:rPr>
      </w:pPr>
      <w:r>
        <w:rPr>
          <w:rFonts w:hint="eastAsia" w:ascii="宋体" w:hAnsi="宋体" w:eastAsia="方正楷体简体"/>
          <w:b/>
          <w:color w:val="auto"/>
          <w:sz w:val="33"/>
          <w:szCs w:val="33"/>
        </w:rPr>
        <w:t>一是扎实推动青年思想武装。</w:t>
      </w:r>
      <w:r>
        <w:rPr>
          <w:rFonts w:eastAsia="方正仿宋简体"/>
          <w:color w:val="auto"/>
          <w:sz w:val="33"/>
        </w:rPr>
        <w:t>组建青年讲师团，以</w:t>
      </w:r>
      <w:r>
        <w:rPr>
          <w:rFonts w:hint="eastAsia" w:eastAsia="方正仿宋简体"/>
          <w:color w:val="auto"/>
          <w:sz w:val="33"/>
        </w:rPr>
        <w:t>“</w:t>
      </w:r>
      <w:r>
        <w:rPr>
          <w:rFonts w:eastAsia="方正仿宋简体"/>
          <w:color w:val="auto"/>
          <w:sz w:val="33"/>
        </w:rPr>
        <w:t>进中学</w:t>
      </w:r>
      <w:r>
        <w:rPr>
          <w:rFonts w:hint="eastAsia" w:eastAsia="方正仿宋简体"/>
          <w:color w:val="auto"/>
          <w:sz w:val="33"/>
        </w:rPr>
        <w:t>”</w:t>
      </w:r>
      <w:r>
        <w:rPr>
          <w:rFonts w:eastAsia="方正仿宋简体"/>
          <w:color w:val="auto"/>
          <w:sz w:val="33"/>
        </w:rPr>
        <w:t>为重点，</w:t>
      </w:r>
      <w:r>
        <w:rPr>
          <w:rFonts w:hint="eastAsia" w:ascii="宋体" w:hAnsi="宋体" w:eastAsia="方正仿宋简体" w:cs="方正仿宋简体"/>
          <w:color w:val="auto"/>
          <w:sz w:val="33"/>
          <w:szCs w:val="33"/>
        </w:rPr>
        <w:t>创新思维、拓展方向制作推广网络微团课、开学第一堂团课等产品，</w:t>
      </w:r>
      <w:r>
        <w:rPr>
          <w:rFonts w:hint="eastAsia" w:ascii="宋体" w:hAnsi="宋体" w:eastAsia="方正仿宋简体"/>
          <w:color w:val="auto"/>
          <w:sz w:val="33"/>
          <w:szCs w:val="33"/>
        </w:rPr>
        <w:t>组织全区各级共青团和少先队组织通过主题团队日活动、专题讲座、座谈会等形式听取优秀抗疫青年故事分享、学习习近平五四寄语精神等，通过</w:t>
      </w:r>
      <w:r>
        <w:rPr>
          <w:rFonts w:hint="eastAsia" w:ascii="宋体" w:hAnsi="宋体" w:eastAsia="方正仿宋简体" w:cs="方正仿宋简体"/>
          <w:color w:val="auto"/>
          <w:sz w:val="33"/>
          <w:szCs w:val="33"/>
        </w:rPr>
        <w:t>仪式教育、榜样引领，推动社会主义核心价值观在青少年中内化于心、外化于行</w:t>
      </w:r>
      <w:r>
        <w:rPr>
          <w:rFonts w:hint="eastAsia" w:ascii="宋体" w:hAnsi="宋体" w:eastAsia="方正仿宋简体" w:cs="方正仿宋简体"/>
          <w:bCs/>
          <w:color w:val="auto"/>
          <w:sz w:val="33"/>
          <w:szCs w:val="33"/>
        </w:rPr>
        <w:t>。</w:t>
      </w:r>
      <w:r>
        <w:rPr>
          <w:rFonts w:hint="eastAsia" w:eastAsia="方正仿宋简体"/>
          <w:color w:val="auto"/>
          <w:sz w:val="33"/>
        </w:rPr>
        <w:t>抓好青年思想引领，“</w:t>
      </w:r>
      <w:r>
        <w:rPr>
          <w:rFonts w:eastAsia="方正仿宋简体"/>
          <w:color w:val="auto"/>
          <w:sz w:val="33"/>
        </w:rPr>
        <w:t>青年大学习</w:t>
      </w:r>
      <w:r>
        <w:rPr>
          <w:rFonts w:hint="eastAsia" w:eastAsia="方正仿宋简体"/>
          <w:color w:val="auto"/>
          <w:sz w:val="33"/>
        </w:rPr>
        <w:t>”</w:t>
      </w:r>
      <w:r>
        <w:rPr>
          <w:rFonts w:eastAsia="方正仿宋简体"/>
          <w:color w:val="auto"/>
          <w:sz w:val="33"/>
        </w:rPr>
        <w:t>网上主题团课每周参学人数</w:t>
      </w:r>
      <w:r>
        <w:rPr>
          <w:rFonts w:hint="eastAsia" w:eastAsia="方正仿宋简体"/>
          <w:color w:val="auto"/>
          <w:sz w:val="33"/>
        </w:rPr>
        <w:t>2万人以上，</w:t>
      </w:r>
      <w:r>
        <w:rPr>
          <w:rFonts w:eastAsia="方正仿宋简体"/>
          <w:color w:val="auto"/>
          <w:sz w:val="33"/>
        </w:rPr>
        <w:t>深化</w:t>
      </w:r>
      <w:r>
        <w:rPr>
          <w:rFonts w:hint="eastAsia" w:eastAsia="方正仿宋简体"/>
          <w:color w:val="auto"/>
          <w:sz w:val="33"/>
        </w:rPr>
        <w:t>“</w:t>
      </w:r>
      <w:r>
        <w:rPr>
          <w:rFonts w:eastAsia="方正仿宋简体"/>
          <w:color w:val="auto"/>
          <w:sz w:val="33"/>
        </w:rPr>
        <w:t>不忘初心、牢记使命</w:t>
      </w:r>
      <w:r>
        <w:rPr>
          <w:rFonts w:hint="eastAsia" w:eastAsia="方正仿宋简体"/>
          <w:color w:val="auto"/>
          <w:sz w:val="33"/>
        </w:rPr>
        <w:t>”</w:t>
      </w:r>
      <w:r>
        <w:rPr>
          <w:rFonts w:eastAsia="方正仿宋简体"/>
          <w:color w:val="auto"/>
          <w:sz w:val="33"/>
        </w:rPr>
        <w:t>主题教育阶段性成果，引导团员青年深入学习领会习近平新时代中国特色社会主义思想的丰富内涵和精神实质，自觉用习近平新时代中国特色社会主义思想武装头脑。</w:t>
      </w:r>
    </w:p>
    <w:p>
      <w:pPr>
        <w:snapToGrid w:val="0"/>
        <w:spacing w:line="600" w:lineRule="exact"/>
        <w:ind w:right="-13" w:rightChars="-6" w:firstLine="663" w:firstLineChars="200"/>
        <w:rPr>
          <w:rFonts w:ascii="宋体" w:hAnsi="宋体" w:eastAsia="方正仿宋简体"/>
          <w:color w:val="auto"/>
          <w:sz w:val="33"/>
          <w:szCs w:val="33"/>
        </w:rPr>
      </w:pPr>
      <w:r>
        <w:rPr>
          <w:rFonts w:hint="eastAsia" w:ascii="宋体" w:hAnsi="宋体" w:eastAsia="方正楷体简体"/>
          <w:b/>
          <w:color w:val="auto"/>
          <w:sz w:val="33"/>
          <w:szCs w:val="33"/>
        </w:rPr>
        <w:t>二是大力宣传表彰先进青年典型。</w:t>
      </w:r>
      <w:r>
        <w:rPr>
          <w:rFonts w:hint="eastAsia" w:ascii="宋体" w:hAnsi="宋体" w:eastAsia="方正仿宋简体"/>
          <w:color w:val="auto"/>
          <w:sz w:val="33"/>
          <w:szCs w:val="33"/>
        </w:rPr>
        <w:t>五四期间挖掘、评选、表彰</w:t>
      </w:r>
      <w:r>
        <w:rPr>
          <w:rFonts w:hint="eastAsia" w:ascii="宋体" w:hAnsi="宋体" w:eastAsia="方正仿宋简体" w:cs="仿宋"/>
          <w:color w:val="auto"/>
          <w:sz w:val="33"/>
          <w:szCs w:val="33"/>
        </w:rPr>
        <w:t>“优秀抗疫青年突击队员”30名，</w:t>
      </w:r>
      <w:r>
        <w:rPr>
          <w:rFonts w:hint="eastAsia" w:ascii="宋体" w:hAnsi="宋体" w:eastAsia="方正仿宋简体"/>
          <w:color w:val="auto"/>
          <w:sz w:val="33"/>
          <w:szCs w:val="33"/>
        </w:rPr>
        <w:t>优秀共青团员、共青团干部70名，五四红旗团委、团支部30个；15人被评为资阳市优秀共青团员（团干部），14个基层团组织被评为资阳市五四红旗团委（团支部）；1人荣获全省优秀团员称号。4月24日，召开了全区“绽放战疫青春·坚定制度自信”主题教育活动——“青春在战疫中绽放”雁江区纪念五四运动101周年主题团日分享活动，大力宣传优秀青年先进事迹。9月24日，集中慰问了区疾控中心、区人民医院、区中医医院等21名援鄂医护人员，通过各种渠道向党政领导、社会各界推介典型，</w:t>
      </w:r>
      <w:r>
        <w:rPr>
          <w:rFonts w:hint="eastAsia" w:ascii="宋体" w:hAnsi="宋体" w:eastAsia="方正仿宋简体"/>
          <w:color w:val="auto"/>
          <w:sz w:val="33"/>
          <w:szCs w:val="33"/>
          <w:lang w:eastAsia="zh-CN"/>
        </w:rPr>
        <w:t>有力地倡导</w:t>
      </w:r>
      <w:r>
        <w:rPr>
          <w:rFonts w:hint="eastAsia" w:ascii="宋体" w:hAnsi="宋体" w:eastAsia="方正仿宋简体"/>
          <w:color w:val="auto"/>
          <w:sz w:val="33"/>
          <w:szCs w:val="33"/>
        </w:rPr>
        <w:t>了爱岗敬业、无私奉献的社会风尚，引导青少年</w:t>
      </w:r>
      <w:r>
        <w:rPr>
          <w:rFonts w:hint="eastAsia" w:ascii="宋体" w:hAnsi="宋体" w:eastAsia="方正仿宋简体"/>
          <w:color w:val="auto"/>
          <w:sz w:val="33"/>
          <w:szCs w:val="33"/>
          <w:lang w:eastAsia="zh-CN"/>
        </w:rPr>
        <w:t>更好地成长</w:t>
      </w:r>
      <w:r>
        <w:rPr>
          <w:rFonts w:hint="eastAsia" w:ascii="宋体" w:hAnsi="宋体" w:eastAsia="方正仿宋简体"/>
          <w:color w:val="auto"/>
          <w:sz w:val="33"/>
          <w:szCs w:val="33"/>
        </w:rPr>
        <w:t>成才。</w:t>
      </w:r>
    </w:p>
    <w:p>
      <w:pPr>
        <w:spacing w:line="600" w:lineRule="exact"/>
        <w:ind w:right="-313" w:rightChars="-149" w:firstLine="663" w:firstLineChars="200"/>
        <w:contextualSpacing/>
        <w:rPr>
          <w:rFonts w:ascii="宋体" w:hAnsi="宋体" w:eastAsia="方正仿宋简体"/>
          <w:color w:val="auto"/>
          <w:sz w:val="33"/>
          <w:szCs w:val="33"/>
        </w:rPr>
      </w:pPr>
      <w:r>
        <w:rPr>
          <w:rFonts w:hint="eastAsia" w:ascii="宋体" w:hAnsi="宋体" w:eastAsia="方正楷体简体" w:cs="方正楷体简体"/>
          <w:b/>
          <w:color w:val="auto"/>
          <w:sz w:val="33"/>
          <w:szCs w:val="33"/>
        </w:rPr>
        <w:t>三是深入开展主题教育活动。</w:t>
      </w:r>
      <w:r>
        <w:rPr>
          <w:rFonts w:hint="eastAsia" w:ascii="宋体" w:hAnsi="宋体" w:eastAsia="方正仿宋简体"/>
          <w:color w:val="auto"/>
          <w:sz w:val="33"/>
          <w:szCs w:val="33"/>
        </w:rPr>
        <w:t>全区各级团组织广泛开展以“绽放战疫青春·坚定制度自信”为</w:t>
      </w:r>
      <w:r>
        <w:rPr>
          <w:rFonts w:hint="eastAsia" w:ascii="宋体" w:hAnsi="宋体" w:eastAsia="方正仿宋简体"/>
          <w:color w:val="auto"/>
          <w:sz w:val="33"/>
          <w:szCs w:val="33"/>
          <w:lang w:eastAsia="zh-CN"/>
        </w:rPr>
        <w:t>主题</w:t>
      </w:r>
      <w:r>
        <w:rPr>
          <w:rFonts w:hint="eastAsia" w:ascii="宋体" w:hAnsi="宋体" w:eastAsia="方正仿宋简体"/>
          <w:color w:val="auto"/>
          <w:sz w:val="33"/>
          <w:szCs w:val="33"/>
        </w:rPr>
        <w:t>教育，认真</w:t>
      </w:r>
      <w:r>
        <w:rPr>
          <w:rFonts w:hint="eastAsia" w:ascii="宋体" w:hAnsi="宋体" w:eastAsia="方正仿宋简体" w:cs="方正仿宋简体"/>
          <w:bCs/>
          <w:color w:val="auto"/>
          <w:sz w:val="33"/>
          <w:szCs w:val="33"/>
        </w:rPr>
        <w:t>学习贯彻习近平总书记给北京大学援鄂医疗队全体“90后”党员的回信精神、习近平总书记五四寄语精神。</w:t>
      </w:r>
      <w:r>
        <w:rPr>
          <w:rFonts w:hint="eastAsia" w:ascii="宋体" w:hAnsi="宋体" w:eastAsia="方正仿宋简体"/>
          <w:color w:val="auto"/>
          <w:sz w:val="33"/>
          <w:szCs w:val="33"/>
        </w:rPr>
        <w:t>依托青年大学习、“三会两制一课”、主题团日等平台载体，通过宣讲报告、座谈交流、演讲征文、知识竞赛、社会实践、身边人讲身边事等多种形式开展学习。全区共青团系统开展“学习寄语精神，展现青春担当”分享交流活动20余场次，参与团员青年3000余名。</w:t>
      </w:r>
      <w:r>
        <w:rPr>
          <w:rFonts w:hint="eastAsia" w:ascii="宋体" w:hAnsi="宋体" w:eastAsia="方正仿宋简体" w:cs="方正仿宋简体"/>
          <w:color w:val="auto"/>
          <w:kern w:val="0"/>
          <w:sz w:val="33"/>
          <w:szCs w:val="33"/>
        </w:rPr>
        <w:t>围绕“从小学先锋、争做好队员”主题，广泛开展</w:t>
      </w:r>
      <w:r>
        <w:rPr>
          <w:rFonts w:hint="eastAsia" w:ascii="宋体" w:hAnsi="宋体" w:eastAsia="方正仿宋简体"/>
          <w:color w:val="auto"/>
          <w:sz w:val="33"/>
          <w:szCs w:val="33"/>
        </w:rPr>
        <w:t>庆祝中国少年先锋队建队71周年活动、“新时代好少年”主题读书活动“我为祖国点赞”“童心飞扬·祝福祖国童谣征集”“我和国旗合个影”“进入新时代·改革开新篇”爱国主义读书教育等</w:t>
      </w:r>
      <w:r>
        <w:rPr>
          <w:rFonts w:hint="eastAsia" w:ascii="宋体" w:hAnsi="宋体" w:eastAsia="方正仿宋简体" w:cs="方正仿宋简体"/>
          <w:color w:val="auto"/>
          <w:kern w:val="0"/>
          <w:sz w:val="33"/>
          <w:szCs w:val="33"/>
        </w:rPr>
        <w:t>各类活动，承办全市少先队建队71周年主题队日示范活动。</w:t>
      </w:r>
    </w:p>
    <w:p>
      <w:pPr>
        <w:spacing w:line="600" w:lineRule="exact"/>
        <w:ind w:firstLine="663" w:firstLineChars="200"/>
        <w:rPr>
          <w:rFonts w:ascii="宋体" w:hAnsi="宋体" w:eastAsia="方正仿宋简体"/>
          <w:color w:val="auto"/>
          <w:sz w:val="33"/>
          <w:szCs w:val="33"/>
        </w:rPr>
      </w:pPr>
      <w:r>
        <w:rPr>
          <w:rFonts w:hint="eastAsia" w:ascii="宋体" w:hAnsi="宋体" w:eastAsia="方正楷体简体" w:cs="方正楷体简体"/>
          <w:b/>
          <w:color w:val="auto"/>
          <w:sz w:val="33"/>
          <w:szCs w:val="33"/>
        </w:rPr>
        <w:t>四是拓宽宣传渠道强化网络引导。</w:t>
      </w:r>
      <w:r>
        <w:rPr>
          <w:rFonts w:hint="eastAsia" w:ascii="宋体" w:hAnsi="宋体" w:eastAsia="方正仿宋简体"/>
          <w:color w:val="auto"/>
          <w:sz w:val="33"/>
          <w:szCs w:val="33"/>
        </w:rPr>
        <w:t>积极打造雁江共青团新媒体矩阵，覆盖全区并逐步推向乡镇</w:t>
      </w:r>
      <w:r>
        <w:rPr>
          <w:rFonts w:hint="eastAsia" w:ascii="宋体" w:hAnsi="宋体" w:eastAsia="方正仿宋简体" w:cs="方正仿宋简体"/>
          <w:bCs/>
          <w:color w:val="auto"/>
          <w:sz w:val="33"/>
          <w:szCs w:val="33"/>
        </w:rPr>
        <w:t>，认真落实意识形态工作责任制，防范化解青年工作领域重大风险，积极开展网络舆论斗争。</w:t>
      </w:r>
      <w:r>
        <w:rPr>
          <w:rFonts w:hint="eastAsia" w:ascii="宋体" w:hAnsi="宋体" w:eastAsia="方正仿宋简体"/>
          <w:color w:val="auto"/>
          <w:sz w:val="33"/>
          <w:szCs w:val="33"/>
        </w:rPr>
        <w:t>充分利用微博、微信、抖音、快手官方公众号等新媒体宣传平台，将适合青年口味的时事要闻、精选文章和潮流动态及时发布。坚持建平台、发声音、搞活动多措并举，“两微一网”全年发布稿件200余件，网络点击观看50余万人次，全区共青团占网用网开展意识形态工作的意识和能力不断提升。</w:t>
      </w:r>
    </w:p>
    <w:p>
      <w:pPr>
        <w:pStyle w:val="32"/>
        <w:spacing w:line="600" w:lineRule="exact"/>
        <w:ind w:right="-313" w:rightChars="-149" w:firstLine="663" w:firstLineChars="200"/>
        <w:rPr>
          <w:rFonts w:ascii="方正楷体简体" w:eastAsia="方正楷体简体"/>
          <w:b/>
          <w:color w:val="auto"/>
          <w:sz w:val="33"/>
          <w:szCs w:val="33"/>
        </w:rPr>
      </w:pPr>
      <w:r>
        <w:rPr>
          <w:rFonts w:hint="eastAsia" w:ascii="方正楷体简体" w:eastAsia="方正楷体简体"/>
          <w:b/>
          <w:color w:val="auto"/>
          <w:sz w:val="33"/>
          <w:szCs w:val="33"/>
        </w:rPr>
        <w:t>2.坚持基层导向，夯实团的基础</w:t>
      </w:r>
    </w:p>
    <w:p>
      <w:pPr>
        <w:spacing w:line="600" w:lineRule="exact"/>
        <w:ind w:firstLine="663" w:firstLineChars="200"/>
        <w:rPr>
          <w:rFonts w:ascii="宋体" w:hAnsi="宋体" w:eastAsia="方正仿宋简体" w:cs="方正仿宋简体"/>
          <w:color w:val="auto"/>
          <w:sz w:val="33"/>
          <w:szCs w:val="33"/>
        </w:rPr>
      </w:pPr>
      <w:r>
        <w:rPr>
          <w:rFonts w:hint="eastAsia" w:ascii="宋体" w:hAnsi="宋体" w:eastAsia="方正楷体简体" w:cs="方正楷体简体"/>
          <w:b/>
          <w:color w:val="auto"/>
          <w:sz w:val="33"/>
          <w:szCs w:val="33"/>
        </w:rPr>
        <w:t>一是加强基层团的组织与建设。</w:t>
      </w:r>
      <w:r>
        <w:rPr>
          <w:rFonts w:hint="eastAsia" w:ascii="宋体" w:hAnsi="宋体" w:eastAsia="方正仿宋简体"/>
          <w:color w:val="auto"/>
          <w:sz w:val="33"/>
          <w:szCs w:val="33"/>
        </w:rPr>
        <w:t>结合撤乡并镇及村级建制调整工作推动乡镇、村社团组织进行调整，选优配齐团组织领导班子，组织带领农村青年投身乡村振兴。</w:t>
      </w:r>
      <w:r>
        <w:rPr>
          <w:rFonts w:hint="eastAsia" w:ascii="宋体" w:hAnsi="宋体" w:eastAsia="方正仿宋简体" w:cs="方正仿宋简体"/>
          <w:color w:val="auto"/>
          <w:sz w:val="33"/>
          <w:szCs w:val="33"/>
        </w:rPr>
        <w:t>在雁江确定8个点位作为市区团委定点联系基层工作试点，坚持补短板、找特色，积极整合资源，将其重点打造成组织建设规范、作用发挥优良、信息渠道通畅的基层团组织示范点。对团员教育管理、毕业班团支部标注、毕业生团组织关系转接工作等基层团组织规范化建设重点工作进行了安排部署。</w:t>
      </w:r>
    </w:p>
    <w:p>
      <w:pPr>
        <w:spacing w:line="600" w:lineRule="exact"/>
        <w:ind w:firstLine="663" w:firstLineChars="200"/>
        <w:rPr>
          <w:rFonts w:ascii="宋体" w:hAnsi="宋体" w:eastAsia="方正仿宋简体"/>
          <w:color w:val="auto"/>
          <w:sz w:val="33"/>
          <w:szCs w:val="33"/>
        </w:rPr>
      </w:pPr>
      <w:r>
        <w:rPr>
          <w:rFonts w:hint="eastAsia" w:ascii="宋体" w:hAnsi="宋体" w:eastAsia="方正楷体简体" w:cs="方正楷体简体"/>
          <w:b/>
          <w:color w:val="auto"/>
          <w:sz w:val="33"/>
          <w:szCs w:val="33"/>
        </w:rPr>
        <w:t>二是提升基层团的有效覆盖。</w:t>
      </w:r>
      <w:r>
        <w:rPr>
          <w:rFonts w:ascii="宋体" w:hAnsi="宋体" w:eastAsia="方正仿宋简体"/>
          <w:color w:val="auto"/>
          <w:sz w:val="33"/>
          <w:szCs w:val="33"/>
        </w:rPr>
        <w:t>依托</w:t>
      </w:r>
      <w:r>
        <w:rPr>
          <w:rFonts w:hint="eastAsia" w:ascii="宋体" w:hAnsi="宋体" w:eastAsia="方正仿宋简体"/>
          <w:color w:val="auto"/>
          <w:sz w:val="33"/>
          <w:szCs w:val="33"/>
        </w:rPr>
        <w:t>“</w:t>
      </w:r>
      <w:r>
        <w:rPr>
          <w:rFonts w:ascii="宋体" w:hAnsi="宋体" w:eastAsia="方正仿宋简体"/>
          <w:color w:val="auto"/>
          <w:sz w:val="33"/>
          <w:szCs w:val="33"/>
        </w:rPr>
        <w:t>智慧团建</w:t>
      </w:r>
      <w:r>
        <w:rPr>
          <w:rFonts w:hint="eastAsia" w:ascii="宋体" w:hAnsi="宋体" w:eastAsia="方正仿宋简体"/>
          <w:color w:val="auto"/>
          <w:sz w:val="33"/>
          <w:szCs w:val="33"/>
        </w:rPr>
        <w:t>”</w:t>
      </w:r>
      <w:r>
        <w:rPr>
          <w:rFonts w:ascii="宋体" w:hAnsi="宋体" w:eastAsia="方正仿宋简体"/>
          <w:color w:val="auto"/>
          <w:sz w:val="33"/>
          <w:szCs w:val="33"/>
        </w:rPr>
        <w:t>系统，对基层团组织、团员和团干</w:t>
      </w:r>
      <w:r>
        <w:rPr>
          <w:rFonts w:hint="eastAsia" w:ascii="宋体" w:hAnsi="宋体" w:eastAsia="方正仿宋简体"/>
          <w:color w:val="auto"/>
          <w:sz w:val="33"/>
          <w:szCs w:val="33"/>
        </w:rPr>
        <w:t>情况</w:t>
      </w:r>
      <w:r>
        <w:rPr>
          <w:rFonts w:ascii="宋体" w:hAnsi="宋体" w:eastAsia="方正仿宋简体"/>
          <w:color w:val="auto"/>
          <w:sz w:val="33"/>
          <w:szCs w:val="33"/>
        </w:rPr>
        <w:t>进行清理整顿。10月集中开展“厉行节约 反对浪费”主题团日活动，同时做好团（总）支部“对标定级”、违规发展团员及团员档案规范化核查、团员成为注册志愿者及志愿服务相关工作。规范基层团组织设置，提升团组织覆盖率，社会领域团组织密度新增33.46个百分点，其中新建农村领域团组织696个、非公企业团组织26个、新社会组织团组织17个</w:t>
      </w:r>
      <w:r>
        <w:rPr>
          <w:rFonts w:hint="eastAsia" w:ascii="宋体" w:hAnsi="宋体" w:eastAsia="方正仿宋简体"/>
          <w:color w:val="auto"/>
          <w:sz w:val="33"/>
          <w:szCs w:val="33"/>
        </w:rPr>
        <w:t>，全区首个小区团组织在弘城水韵成立</w:t>
      </w:r>
      <w:r>
        <w:rPr>
          <w:rFonts w:ascii="宋体" w:hAnsi="宋体" w:eastAsia="方正仿宋简体"/>
          <w:color w:val="auto"/>
          <w:sz w:val="33"/>
          <w:szCs w:val="33"/>
        </w:rPr>
        <w:t>。</w:t>
      </w:r>
    </w:p>
    <w:p>
      <w:pPr>
        <w:pStyle w:val="13"/>
        <w:spacing w:before="0" w:beforeAutospacing="0" w:after="0" w:afterAutospacing="0" w:line="600" w:lineRule="exact"/>
        <w:ind w:firstLine="663" w:firstLineChars="200"/>
        <w:jc w:val="both"/>
        <w:rPr>
          <w:rFonts w:eastAsia="方正仿宋简体"/>
          <w:color w:val="auto"/>
          <w:sz w:val="33"/>
          <w:szCs w:val="33"/>
        </w:rPr>
      </w:pPr>
      <w:r>
        <w:rPr>
          <w:rFonts w:hint="eastAsia" w:eastAsia="方正楷体简体" w:cs="方正楷体简体"/>
          <w:b/>
          <w:color w:val="auto"/>
          <w:sz w:val="33"/>
          <w:szCs w:val="33"/>
        </w:rPr>
        <w:t>三是深化基层工作创新。</w:t>
      </w:r>
      <w:r>
        <w:rPr>
          <w:rFonts w:hint="eastAsia" w:eastAsia="方正仿宋简体"/>
          <w:color w:val="auto"/>
          <w:sz w:val="33"/>
          <w:szCs w:val="33"/>
        </w:rPr>
        <w:t>“青年之家”有序运行，开展活动20余次，参加活动500余人。“智慧团建”系统录入及运用常态化，及时反映组织建设、团员发展等基层团建信息和“三会两制一课”等基础团务情况，并作为评先评优重要依据。积极推进新发展团员录入系统工作。</w:t>
      </w:r>
      <w:r>
        <w:rPr>
          <w:rFonts w:hint="eastAsia" w:eastAsia="方正仿宋简体" w:cs="方正仿宋简体"/>
          <w:color w:val="auto"/>
          <w:sz w:val="33"/>
          <w:szCs w:val="33"/>
        </w:rPr>
        <w:t>年底前，确保所有新发展团员100%录入到“智慧团建”系统中。新建“青年之家”1个，新入驻团中央云平台1个；新打造童伴之家15个、五点钟课堂3个。</w:t>
      </w:r>
    </w:p>
    <w:p>
      <w:pPr>
        <w:spacing w:line="600" w:lineRule="exact"/>
        <w:ind w:firstLine="663" w:firstLineChars="200"/>
        <w:rPr>
          <w:rFonts w:ascii="宋体" w:hAnsi="宋体" w:eastAsia="方正仿宋简体" w:cs="方正仿宋简体"/>
          <w:color w:val="auto"/>
          <w:sz w:val="33"/>
          <w:szCs w:val="33"/>
        </w:rPr>
      </w:pPr>
      <w:r>
        <w:rPr>
          <w:rFonts w:hint="eastAsia" w:ascii="宋体" w:hAnsi="宋体" w:eastAsia="方正楷体简体" w:cs="方正楷体简体"/>
          <w:b/>
          <w:bCs/>
          <w:color w:val="auto"/>
          <w:sz w:val="33"/>
          <w:szCs w:val="33"/>
        </w:rPr>
        <w:t>四是以团带队落实少先队改革。</w:t>
      </w:r>
      <w:r>
        <w:rPr>
          <w:rFonts w:hint="eastAsia" w:ascii="宋体" w:hAnsi="宋体" w:eastAsia="方正仿宋简体" w:cs="方正仿宋简体"/>
          <w:color w:val="auto"/>
          <w:sz w:val="33"/>
          <w:szCs w:val="33"/>
        </w:rPr>
        <w:t>进一步贯彻落实共青团中央、教育部、全国少工委联合下发《关于构建阶梯式成长激励体系增强少先队员光荣感的指导意见》相关文件精神，加强少先队体制机制建设。</w:t>
      </w:r>
      <w:r>
        <w:rPr>
          <w:rFonts w:hint="eastAsia" w:ascii="宋体" w:hAnsi="宋体" w:eastAsia="方正仿宋简体"/>
          <w:color w:val="auto"/>
          <w:sz w:val="32"/>
          <w:szCs w:val="32"/>
        </w:rPr>
        <w:t>强化党建带团建、队建工作，全面落实全市中学共青团和少先队改革工作任务，全区分两批开展学校少工委建设，6月前已完成第一批24所学校少工委建设，第二批正在推进，确保年内全面完成。</w:t>
      </w:r>
      <w:r>
        <w:rPr>
          <w:rFonts w:hint="eastAsia" w:ascii="宋体" w:hAnsi="宋体" w:eastAsia="方正仿宋简体" w:cs="方正仿宋简体"/>
          <w:color w:val="auto"/>
          <w:sz w:val="33"/>
          <w:szCs w:val="33"/>
        </w:rPr>
        <w:t xml:space="preserve">推动《入队规程》在我区全面实行，作为四川省分批入队23个试点县（市、区）之一，将区直属小学纳入“分批入队”试点改革，少先队员的光荣感和组织归属感得到了极大增强。 </w:t>
      </w:r>
    </w:p>
    <w:p>
      <w:pPr>
        <w:pStyle w:val="14"/>
        <w:spacing w:after="0" w:line="600" w:lineRule="exact"/>
        <w:ind w:firstLine="663" w:firstLineChars="200"/>
        <w:rPr>
          <w:rFonts w:ascii="宋体" w:hAnsi="宋体" w:eastAsia="方正楷体简体"/>
          <w:b/>
          <w:color w:val="auto"/>
          <w:sz w:val="33"/>
          <w:szCs w:val="33"/>
        </w:rPr>
      </w:pPr>
      <w:r>
        <w:rPr>
          <w:rFonts w:hint="eastAsia" w:ascii="宋体" w:hAnsi="宋体" w:eastAsia="方正楷体简体"/>
          <w:b/>
          <w:color w:val="auto"/>
          <w:sz w:val="33"/>
          <w:szCs w:val="33"/>
        </w:rPr>
        <w:t>五是大力培养基层团员青年。</w:t>
      </w:r>
      <w:r>
        <w:rPr>
          <w:rFonts w:hint="eastAsia" w:ascii="宋体" w:hAnsi="宋体" w:eastAsia="方正仿宋简体"/>
          <w:color w:val="auto"/>
          <w:sz w:val="33"/>
          <w:szCs w:val="33"/>
        </w:rPr>
        <w:t>举办雁江区青年创新创业能力提升班2期，加强全区青年人才队伍建设，全面提升青年技能水平和创新创业能力。作为全省试点实施青年马克思主义者培养工程，举办“青马工程（农村班）”，</w:t>
      </w:r>
      <w:r>
        <w:rPr>
          <w:rFonts w:ascii="宋体" w:hAnsi="宋体" w:eastAsia="方正仿宋简体"/>
          <w:color w:val="auto"/>
          <w:sz w:val="33"/>
          <w:szCs w:val="33"/>
        </w:rPr>
        <w:t>用中国特色社会主义理论体系武装青年，用社会主义核心价值体系教育青年，不断加强青年思想政治工作，为党培养和输送的青年政治骨干</w:t>
      </w:r>
      <w:r>
        <w:rPr>
          <w:rFonts w:hint="eastAsia" w:ascii="宋体" w:hAnsi="宋体" w:eastAsia="方正仿宋简体"/>
          <w:color w:val="auto"/>
          <w:sz w:val="33"/>
          <w:szCs w:val="33"/>
        </w:rPr>
        <w:t>。</w:t>
      </w:r>
      <w:r>
        <w:rPr>
          <w:rFonts w:hint="eastAsia" w:ascii="宋体" w:hAnsi="宋体" w:eastAsia="方正楷体简体"/>
          <w:b/>
          <w:color w:val="auto"/>
          <w:sz w:val="33"/>
          <w:szCs w:val="33"/>
        </w:rPr>
        <w:t xml:space="preserve">  </w:t>
      </w:r>
    </w:p>
    <w:p>
      <w:pPr>
        <w:pStyle w:val="32"/>
        <w:spacing w:line="600" w:lineRule="exact"/>
        <w:ind w:right="-313" w:rightChars="-149" w:firstLine="663" w:firstLineChars="200"/>
        <w:rPr>
          <w:rFonts w:ascii="方正楷体简体" w:eastAsia="方正楷体简体"/>
          <w:b/>
          <w:color w:val="auto"/>
          <w:sz w:val="33"/>
          <w:szCs w:val="33"/>
        </w:rPr>
      </w:pPr>
      <w:r>
        <w:rPr>
          <w:rFonts w:hint="eastAsia" w:ascii="方正楷体简体" w:eastAsia="方正楷体简体"/>
          <w:b/>
          <w:color w:val="auto"/>
          <w:sz w:val="33"/>
          <w:szCs w:val="33"/>
        </w:rPr>
        <w:t>3.围绕中心大局，</w:t>
      </w:r>
      <w:r>
        <w:rPr>
          <w:rFonts w:ascii="方正楷体简体" w:eastAsia="方正楷体简体"/>
          <w:b/>
          <w:color w:val="auto"/>
          <w:sz w:val="33"/>
          <w:szCs w:val="33"/>
        </w:rPr>
        <w:t>展现青春担当</w:t>
      </w:r>
    </w:p>
    <w:p>
      <w:pPr>
        <w:spacing w:line="600" w:lineRule="exact"/>
        <w:ind w:right="-13" w:rightChars="-6" w:firstLine="663" w:firstLineChars="200"/>
        <w:contextualSpacing/>
        <w:rPr>
          <w:rFonts w:ascii="宋体" w:hAnsi="宋体" w:eastAsia="方正仿宋简体"/>
          <w:color w:val="auto"/>
          <w:sz w:val="33"/>
          <w:szCs w:val="33"/>
        </w:rPr>
      </w:pPr>
      <w:r>
        <w:rPr>
          <w:rFonts w:hint="eastAsia" w:ascii="宋体" w:hAnsi="宋体" w:eastAsia="方正楷体简体"/>
          <w:b/>
          <w:color w:val="auto"/>
          <w:sz w:val="33"/>
          <w:szCs w:val="33"/>
        </w:rPr>
        <w:t>一是青年工作科学化水平不断提升。</w:t>
      </w:r>
      <w:r>
        <w:rPr>
          <w:rFonts w:hint="eastAsia" w:ascii="宋体" w:hAnsi="宋体" w:eastAsia="方正仿宋简体"/>
          <w:color w:val="auto"/>
          <w:sz w:val="33"/>
          <w:szCs w:val="33"/>
        </w:rPr>
        <w:t>不断完善青年工作联席会议制度，定期研究、部署青年工作，帮助和解决青年工作中存在的困难和问题，顺利召开了</w:t>
      </w:r>
      <w:r>
        <w:rPr>
          <w:rFonts w:ascii="宋体" w:hAnsi="宋体" w:eastAsia="方正仿宋简体" w:cs="宋体"/>
          <w:color w:val="auto"/>
          <w:kern w:val="0"/>
          <w:sz w:val="33"/>
          <w:szCs w:val="33"/>
        </w:rPr>
        <w:t>雁江区青年工作联席会议2020年全体会议</w:t>
      </w:r>
      <w:r>
        <w:rPr>
          <w:rFonts w:ascii="宋体" w:hAnsi="宋体" w:eastAsia="方正仿宋简体"/>
          <w:color w:val="auto"/>
          <w:sz w:val="33"/>
          <w:szCs w:val="33"/>
        </w:rPr>
        <w:t>暨工作推进会。</w:t>
      </w:r>
      <w:r>
        <w:rPr>
          <w:rFonts w:hint="eastAsia" w:ascii="宋体" w:hAnsi="宋体" w:eastAsia="方正仿宋简体"/>
          <w:color w:val="auto"/>
          <w:sz w:val="33"/>
          <w:szCs w:val="33"/>
        </w:rPr>
        <w:t>以学习贯彻各级纪念五四运动、弘扬抗疫精神为契机，进一步履行好组织青年、引导青年、服务青年、维护青年合法权益的职能，不断提高共青团工作科学化水平。</w:t>
      </w:r>
      <w:r>
        <w:rPr>
          <w:rFonts w:hint="eastAsia" w:ascii="宋体" w:hAnsi="宋体" w:eastAsia="方正仿宋简体"/>
          <w:bCs/>
          <w:color w:val="auto"/>
          <w:sz w:val="33"/>
          <w:szCs w:val="33"/>
        </w:rPr>
        <w:t>努力参与社会管理创新，</w:t>
      </w:r>
      <w:r>
        <w:rPr>
          <w:rFonts w:hint="eastAsia" w:ascii="宋体" w:hAnsi="宋体" w:eastAsia="方正仿宋简体"/>
          <w:color w:val="auto"/>
          <w:sz w:val="33"/>
          <w:szCs w:val="33"/>
        </w:rPr>
        <w:t>广泛深入开展</w:t>
      </w:r>
      <w:r>
        <w:rPr>
          <w:color w:val="auto"/>
        </w:rPr>
        <w:fldChar w:fldCharType="begin"/>
      </w:r>
      <w:r>
        <w:rPr>
          <w:color w:val="auto"/>
        </w:rPr>
        <w:instrText xml:space="preserve"> HYPERLINK "http://www.zyyouth.com/details.aspx?id=10716" </w:instrText>
      </w:r>
      <w:r>
        <w:rPr>
          <w:color w:val="auto"/>
        </w:rPr>
        <w:fldChar w:fldCharType="separate"/>
      </w:r>
      <w:r>
        <w:rPr>
          <w:rFonts w:hint="eastAsia" w:ascii="宋体" w:hAnsi="宋体" w:eastAsia="方正仿宋简体"/>
          <w:color w:val="auto"/>
          <w:sz w:val="33"/>
          <w:szCs w:val="33"/>
        </w:rPr>
        <w:t>“爱在社区”“爱在旅途”“靓在乡村”三大青年志愿服务品牌行动40余场，</w:t>
      </w:r>
      <w:r>
        <w:rPr>
          <w:rFonts w:hint="eastAsia" w:ascii="宋体" w:hAnsi="宋体" w:eastAsia="方正仿宋简体"/>
          <w:color w:val="auto"/>
          <w:sz w:val="33"/>
          <w:szCs w:val="33"/>
        </w:rPr>
        <w:fldChar w:fldCharType="end"/>
      </w:r>
      <w:r>
        <w:rPr>
          <w:rFonts w:hint="eastAsia" w:ascii="宋体" w:hAnsi="宋体" w:eastAsia="方正仿宋简体"/>
          <w:color w:val="auto"/>
          <w:sz w:val="33"/>
          <w:szCs w:val="33"/>
        </w:rPr>
        <w:t>累计参与人数3000余人。</w:t>
      </w:r>
      <w:r>
        <w:rPr>
          <w:rFonts w:hint="eastAsia" w:ascii="宋体" w:hAnsi="宋体" w:eastAsia="方正仿宋简体" w:cs="方正仿宋简体"/>
          <w:color w:val="auto"/>
          <w:kern w:val="0"/>
          <w:sz w:val="33"/>
          <w:szCs w:val="33"/>
        </w:rPr>
        <w:t>围绕助力资阳争创国家级卫生城市和省级文明城市</w:t>
      </w:r>
      <w:r>
        <w:rPr>
          <w:rFonts w:hint="eastAsia" w:ascii="宋体" w:hAnsi="宋体" w:eastAsia="方正仿宋简体"/>
          <w:color w:val="auto"/>
          <w:sz w:val="33"/>
          <w:szCs w:val="33"/>
        </w:rPr>
        <w:t>，开展“青春志愿，爱在社区”志愿服务活动20余次。</w:t>
      </w:r>
    </w:p>
    <w:p>
      <w:pPr>
        <w:pStyle w:val="32"/>
        <w:spacing w:line="600" w:lineRule="exact"/>
        <w:ind w:right="-13" w:rightChars="-6" w:firstLine="663" w:firstLineChars="200"/>
        <w:rPr>
          <w:rFonts w:eastAsia="方正仿宋简体"/>
          <w:color w:val="auto"/>
          <w:sz w:val="33"/>
          <w:szCs w:val="33"/>
        </w:rPr>
      </w:pPr>
      <w:r>
        <w:rPr>
          <w:rFonts w:hint="eastAsia" w:eastAsia="方正楷体简体"/>
          <w:b/>
          <w:color w:val="auto"/>
          <w:sz w:val="33"/>
          <w:szCs w:val="33"/>
        </w:rPr>
        <w:t>二是青年志愿者活动蓬勃开展。</w:t>
      </w:r>
      <w:r>
        <w:rPr>
          <w:rFonts w:hint="eastAsia" w:eastAsia="方正仿宋简体"/>
          <w:color w:val="auto"/>
          <w:sz w:val="33"/>
          <w:szCs w:val="33"/>
        </w:rPr>
        <w:t>志愿服务活动是共青团系统的一块金字招牌，也是共青团系统围绕中心服务大局的重要载体。春节期间，团区委组织志愿者开展了“青春志愿 爱在旅途”服务春运、“快乐FUN寒假 公益手拉手”冬令营等多场志愿服务活动，受益人群近2000人。新冠肺炎疫情防控期间，组织抗疫突击队、雁江青年志愿者协会志愿者坚守各个领域卡点，做好抗疫防疫工作。聚焦“抗疫”主题创新开展2020年“学雷锋青年志愿服务月”系列活动，助力“脱贫攻坚”“污染防治”攻坚战，成立雁江区“星火”返乡大学生志愿者协会，进一步凝聚返雁大学生力量，组织志愿者进行村、社区开展“关爱留守儿童、助力脱贫攻坚”暑期关爱支教活动、“青春志愿、爱在社区”爱国卫生运动等志愿活动20余场次。</w:t>
      </w:r>
    </w:p>
    <w:p>
      <w:pPr>
        <w:spacing w:line="600" w:lineRule="exact"/>
        <w:ind w:firstLine="630"/>
        <w:rPr>
          <w:rFonts w:ascii="宋体" w:hAnsi="宋体" w:eastAsia="方正仿宋简体"/>
          <w:color w:val="auto"/>
          <w:sz w:val="33"/>
          <w:szCs w:val="33"/>
        </w:rPr>
      </w:pPr>
      <w:r>
        <w:rPr>
          <w:rFonts w:hint="eastAsia" w:ascii="宋体" w:hAnsi="宋体" w:eastAsia="方正楷体简体"/>
          <w:b/>
          <w:color w:val="auto"/>
          <w:sz w:val="33"/>
          <w:szCs w:val="33"/>
        </w:rPr>
        <w:t>三是青少年维权工作扎实有效。</w:t>
      </w:r>
      <w:r>
        <w:rPr>
          <w:rFonts w:hint="eastAsia" w:ascii="宋体" w:hAnsi="宋体" w:eastAsia="方正仿宋简体"/>
          <w:color w:val="auto"/>
          <w:sz w:val="33"/>
          <w:szCs w:val="33"/>
        </w:rPr>
        <w:t>团队组织是广大团员、少先队员的“家”，团区委积极行动，努力为他们撑起一把保护伞。结合法律进学校、进社区等广泛宣传《未成年人保护法 》、《预防未成年人犯罪法 》，依托雁江区青少年法治教育基地、雁江区青少年活动中心、青少年活动之家等阵地开展“青春护航”“青少年预防毒品侵害”“预防校园暴力”“安全自护教育微课堂”等活动115场，有效提升了青少年法治意识。</w:t>
      </w:r>
    </w:p>
    <w:p>
      <w:pPr>
        <w:spacing w:line="600" w:lineRule="exact"/>
        <w:ind w:firstLine="586" w:firstLineChars="177"/>
        <w:rPr>
          <w:rFonts w:eastAsia="方正仿宋简体"/>
          <w:color w:val="auto"/>
          <w:sz w:val="33"/>
          <w:szCs w:val="33"/>
        </w:rPr>
      </w:pPr>
      <w:r>
        <w:rPr>
          <w:rFonts w:hint="eastAsia" w:eastAsia="方正楷体简体"/>
          <w:b/>
          <w:color w:val="auto"/>
          <w:sz w:val="33"/>
          <w:szCs w:val="33"/>
        </w:rPr>
        <w:t>四是青年创业就业取得新成效。</w:t>
      </w:r>
      <w:r>
        <w:rPr>
          <w:rFonts w:hint="eastAsia" w:eastAsia="方正仿宋简体" w:cs="方正仿宋简体"/>
          <w:bCs/>
          <w:color w:val="auto"/>
          <w:sz w:val="33"/>
          <w:szCs w:val="33"/>
        </w:rPr>
        <w:t>通过“保项目、促生产、抓供给、惠民生”，打好复产复工“组合拳”。</w:t>
      </w:r>
      <w:r>
        <w:rPr>
          <w:rFonts w:hint="eastAsia" w:eastAsia="方正仿宋简体"/>
          <w:color w:val="auto"/>
          <w:sz w:val="33"/>
          <w:szCs w:val="33"/>
        </w:rPr>
        <w:t>通过共青团“千校万岗”线上就业服务项目，为青年提供100余个就业岗位，帮助青年尤其是高校毕业生在疫情防控特殊时期顺利就业。</w:t>
      </w:r>
      <w:r>
        <w:rPr>
          <w:rFonts w:eastAsia="方正仿宋简体"/>
          <w:color w:val="auto"/>
          <w:sz w:val="33"/>
          <w:szCs w:val="32"/>
        </w:rPr>
        <w:t>落实小微企业吸纳高校毕业生的补贴政策。实施</w:t>
      </w:r>
      <w:r>
        <w:rPr>
          <w:rFonts w:hint="eastAsia" w:eastAsia="方正仿宋简体"/>
          <w:color w:val="auto"/>
          <w:sz w:val="33"/>
          <w:szCs w:val="32"/>
        </w:rPr>
        <w:t>“</w:t>
      </w:r>
      <w:r>
        <w:rPr>
          <w:rFonts w:eastAsia="方正仿宋简体"/>
          <w:color w:val="auto"/>
          <w:sz w:val="33"/>
          <w:szCs w:val="32"/>
        </w:rPr>
        <w:t>青创计划</w:t>
      </w:r>
      <w:r>
        <w:rPr>
          <w:rFonts w:hint="eastAsia" w:eastAsia="方正仿宋简体"/>
          <w:color w:val="auto"/>
          <w:sz w:val="33"/>
          <w:szCs w:val="32"/>
        </w:rPr>
        <w:t>”</w:t>
      </w:r>
      <w:r>
        <w:rPr>
          <w:rFonts w:eastAsia="方正仿宋简体"/>
          <w:color w:val="auto"/>
          <w:sz w:val="33"/>
          <w:szCs w:val="32"/>
        </w:rPr>
        <w:t>，发放青创贷款20万元。</w:t>
      </w:r>
      <w:r>
        <w:rPr>
          <w:rFonts w:hint="eastAsia" w:eastAsia="方正仿宋简体"/>
          <w:color w:val="auto"/>
          <w:sz w:val="33"/>
          <w:szCs w:val="33"/>
        </w:rPr>
        <w:t>组织农村创业青年到德阳参加青年创业论坛，为青年创业搭建更加广阔的平台。</w:t>
      </w:r>
      <w:r>
        <w:rPr>
          <w:rFonts w:eastAsia="方正仿宋简体"/>
          <w:color w:val="auto"/>
          <w:sz w:val="33"/>
          <w:szCs w:val="32"/>
        </w:rPr>
        <w:t>建立全区农村青年致富带头人联盟，常态化联系服务40余名有文化、懂技术、善经营、会管理的农村青年致富带头人，深化青年创业培训和全过程服务。在雁江区就业服务大厅设立了大学生</w:t>
      </w:r>
      <w:r>
        <w:rPr>
          <w:rFonts w:hint="eastAsia" w:eastAsia="方正仿宋简体"/>
          <w:color w:val="auto"/>
          <w:sz w:val="33"/>
          <w:szCs w:val="32"/>
        </w:rPr>
        <w:t>“</w:t>
      </w:r>
      <w:r>
        <w:rPr>
          <w:rFonts w:eastAsia="方正仿宋简体"/>
          <w:color w:val="auto"/>
          <w:sz w:val="33"/>
          <w:szCs w:val="32"/>
        </w:rPr>
        <w:t>一站式</w:t>
      </w:r>
      <w:r>
        <w:rPr>
          <w:rFonts w:hint="eastAsia" w:eastAsia="方正仿宋简体"/>
          <w:color w:val="auto"/>
          <w:sz w:val="33"/>
          <w:szCs w:val="32"/>
        </w:rPr>
        <w:t>”</w:t>
      </w:r>
      <w:r>
        <w:rPr>
          <w:rFonts w:eastAsia="方正仿宋简体"/>
          <w:color w:val="auto"/>
          <w:sz w:val="33"/>
          <w:szCs w:val="32"/>
        </w:rPr>
        <w:t>创业服务窗口，为大学生提供创业贷款发放、创业专家指导、创业培训申报、创业项目推介、见习补贴申报等多项创业服务</w:t>
      </w:r>
      <w:r>
        <w:rPr>
          <w:rFonts w:hint="eastAsia" w:eastAsia="方正仿宋简体"/>
          <w:color w:val="auto"/>
          <w:sz w:val="33"/>
          <w:szCs w:val="32"/>
        </w:rPr>
        <w:t>，</w:t>
      </w:r>
      <w:r>
        <w:rPr>
          <w:rFonts w:hint="eastAsia" w:eastAsia="方正仿宋简体"/>
          <w:color w:val="auto"/>
          <w:sz w:val="33"/>
          <w:szCs w:val="33"/>
        </w:rPr>
        <w:t>联合希望城共同打造“希望之星——青创集市”，助力青年创办地摊经济。</w:t>
      </w:r>
    </w:p>
    <w:p>
      <w:pPr>
        <w:pStyle w:val="14"/>
        <w:spacing w:after="0" w:line="600" w:lineRule="exact"/>
        <w:ind w:firstLine="663" w:firstLineChars="200"/>
        <w:rPr>
          <w:rFonts w:eastAsia="方正仿宋简体" w:cs="方正仿宋简体"/>
          <w:bCs/>
          <w:color w:val="auto"/>
          <w:sz w:val="33"/>
          <w:szCs w:val="33"/>
        </w:rPr>
      </w:pPr>
      <w:r>
        <w:rPr>
          <w:rFonts w:hint="eastAsia" w:eastAsia="方正楷体简体"/>
          <w:b/>
          <w:color w:val="auto"/>
          <w:sz w:val="33"/>
          <w:szCs w:val="33"/>
        </w:rPr>
        <w:t>五是青年社会保障进一步完善。</w:t>
      </w:r>
      <w:r>
        <w:rPr>
          <w:rFonts w:hint="eastAsia" w:eastAsia="方正仿宋简体" w:cs="方正仿宋简体"/>
          <w:bCs/>
          <w:color w:val="auto"/>
          <w:sz w:val="33"/>
          <w:szCs w:val="33"/>
        </w:rPr>
        <w:t>开展“慈善金秋助学”“暖冬慰问”“精准关爱助力成长”公益活动，为9名未成年人发放助学金4.5万元，帮助雁江贫困学子实现大学梦。救助孤儿、残疾儿童、困难女童、特困学生等298余名。积极开展“金秋助学献爱心”活动，为残疾大学新生及贫困残疾人家庭子女申提供助学金。通过资金扶持、物资扶持、实用技术培训帮扶等方式，引导青年残疾人积极发展居家种植、养殖、手工、电商等形式多样的家庭“微产业”，助力残疾青年脱贫增收。</w:t>
      </w:r>
    </w:p>
    <w:p>
      <w:pPr>
        <w:pStyle w:val="14"/>
        <w:spacing w:after="0" w:line="600" w:lineRule="exact"/>
        <w:ind w:firstLine="663" w:firstLineChars="200"/>
        <w:rPr>
          <w:rFonts w:ascii="宋体" w:hAnsi="宋体" w:eastAsia="方正仿宋简体"/>
          <w:color w:val="auto"/>
          <w:sz w:val="33"/>
          <w:szCs w:val="33"/>
        </w:rPr>
      </w:pPr>
      <w:r>
        <w:rPr>
          <w:rFonts w:hint="eastAsia" w:ascii="宋体" w:hAnsi="宋体" w:eastAsia="方正楷体简体"/>
          <w:b/>
          <w:color w:val="auto"/>
          <w:sz w:val="33"/>
          <w:szCs w:val="33"/>
        </w:rPr>
        <w:t>六是为成渝经济圈创新发展先行区建设凝聚青年力量。</w:t>
      </w:r>
      <w:r>
        <w:rPr>
          <w:rFonts w:hint="eastAsia" w:ascii="宋体" w:hAnsi="宋体" w:eastAsia="方正仿宋简体"/>
          <w:color w:val="auto"/>
          <w:sz w:val="33"/>
          <w:szCs w:val="33"/>
        </w:rPr>
        <w:t>着力提升共青团服务大局的专业性、实效性，充分激发全区广大青年的奋斗热情和干劲，在奋力推动成资同城化创新发展先行区建设中施展才华、贡献力量。组织20余名青年团员参加团重庆市大足区委、团资阳市委共同举办的“620‘云’相遇”线上联谊活动，积极为两地青年沟通交流搭建平台。积极推报雁江优秀志愿者团队参加“</w:t>
      </w:r>
      <w:r>
        <w:rPr>
          <w:rFonts w:ascii="宋体" w:hAnsi="宋体" w:eastAsia="方正仿宋简体"/>
          <w:color w:val="auto"/>
          <w:sz w:val="32"/>
          <w:szCs w:val="32"/>
        </w:rPr>
        <w:t>志愿新时代</w:t>
      </w:r>
      <w:r>
        <w:rPr>
          <w:rFonts w:hint="eastAsia" w:ascii="宋体" w:hAnsi="宋体" w:eastAsia="方正仿宋简体"/>
          <w:color w:val="auto"/>
          <w:sz w:val="32"/>
          <w:szCs w:val="32"/>
        </w:rPr>
        <w:t>·</w:t>
      </w:r>
      <w:r>
        <w:rPr>
          <w:rFonts w:ascii="宋体" w:hAnsi="宋体" w:eastAsia="方正仿宋简体"/>
          <w:color w:val="auto"/>
          <w:sz w:val="32"/>
          <w:szCs w:val="32"/>
        </w:rPr>
        <w:t>共筑中国梦</w:t>
      </w:r>
      <w:r>
        <w:rPr>
          <w:rFonts w:hint="eastAsia" w:ascii="宋体" w:hAnsi="宋体" w:eastAsia="方正仿宋简体"/>
          <w:color w:val="auto"/>
          <w:sz w:val="32"/>
          <w:szCs w:val="32"/>
        </w:rPr>
        <w:t>”</w:t>
      </w:r>
      <w:r>
        <w:rPr>
          <w:rFonts w:hint="eastAsia" w:ascii="宋体" w:hAnsi="宋体" w:eastAsia="方正仿宋简体"/>
          <w:color w:val="auto"/>
          <w:sz w:val="33"/>
          <w:szCs w:val="33"/>
        </w:rPr>
        <w:t>四川资阳—重庆大足青年志愿服务项目大赛。11月，组织30余名青年到德阳参加“成旌东雁”青年人才活动季暨青年发展论坛活动，与其余三城青年人才交流合作，努力助推成德眉资同城化发展成势见效。</w:t>
      </w:r>
    </w:p>
    <w:p>
      <w:pPr>
        <w:pageBreakBefore w:val="0"/>
        <w:widowControl/>
        <w:kinsoku/>
        <w:wordWrap/>
        <w:overflowPunct/>
        <w:topLinePunct w:val="0"/>
        <w:autoSpaceDE/>
        <w:autoSpaceDN/>
        <w:bidi w:val="0"/>
        <w:spacing w:line="60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r>
        <w:rPr>
          <w:rStyle w:val="28"/>
          <w:rFonts w:hint="eastAsia" w:ascii="方正黑体简体" w:hAnsi="方正黑体简体" w:eastAsia="方正黑体简体" w:cs="方正黑体简体"/>
          <w:b w:val="0"/>
          <w:bCs w:val="0"/>
          <w:color w:val="auto"/>
        </w:rPr>
        <w:t>二、机构设置</w:t>
      </w:r>
      <w:bookmarkEnd w:id="29"/>
      <w:bookmarkEnd w:id="30"/>
    </w:p>
    <w:bookmarkEnd w:id="31"/>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简体" w:hAnsi="仿宋" w:eastAsia="方正仿宋简体"/>
          <w:color w:val="auto"/>
          <w:sz w:val="32"/>
          <w:szCs w:val="32"/>
        </w:rPr>
      </w:pPr>
      <w:r>
        <w:rPr>
          <w:rFonts w:hint="eastAsia" w:ascii="方正仿宋简体" w:hAnsi="仿宋" w:eastAsia="方正仿宋简体"/>
          <w:color w:val="auto"/>
          <w:sz w:val="32"/>
          <w:szCs w:val="32"/>
        </w:rPr>
        <w:t>团区委具有法人资格的一级预算单位。</w:t>
      </w:r>
      <w:bookmarkStart w:id="32" w:name="_Toc17103552"/>
      <w:bookmarkStart w:id="33" w:name="_Toc15377204"/>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简体" w:hAnsi="仿宋" w:eastAsia="方正仿宋简体"/>
          <w:color w:val="auto"/>
          <w:sz w:val="32"/>
          <w:szCs w:val="32"/>
        </w:rPr>
      </w:pPr>
    </w:p>
    <w:p>
      <w:pPr>
        <w:pageBreakBefore w:val="0"/>
        <w:kinsoku/>
        <w:wordWrap/>
        <w:overflowPunct/>
        <w:topLinePunct w:val="0"/>
        <w:autoSpaceDE/>
        <w:autoSpaceDN/>
        <w:bidi w:val="0"/>
        <w:adjustRightInd w:val="0"/>
        <w:snapToGrid w:val="0"/>
        <w:spacing w:line="600" w:lineRule="exact"/>
        <w:ind w:firstLine="883" w:firstLineChars="200"/>
        <w:textAlignment w:val="auto"/>
        <w:rPr>
          <w:rStyle w:val="27"/>
          <w:rFonts w:ascii="黑体" w:hAnsi="黑体" w:eastAsia="黑体"/>
          <w:color w:val="auto"/>
        </w:rPr>
      </w:pPr>
      <w:bookmarkStart w:id="34" w:name="_Toc30671"/>
      <w:r>
        <w:rPr>
          <w:rStyle w:val="27"/>
          <w:rFonts w:hint="eastAsia" w:ascii="黑体" w:hAnsi="黑体"/>
          <w:color w:val="auto"/>
        </w:rPr>
        <w:t>第二部分 20</w:t>
      </w:r>
      <w:r>
        <w:rPr>
          <w:rStyle w:val="27"/>
          <w:rFonts w:hint="eastAsia" w:ascii="黑体" w:hAnsi="黑体"/>
          <w:color w:val="auto"/>
          <w:lang w:val="en-US" w:eastAsia="zh-CN"/>
        </w:rPr>
        <w:t>20</w:t>
      </w:r>
      <w:r>
        <w:rPr>
          <w:rStyle w:val="27"/>
          <w:rFonts w:hint="eastAsia" w:ascii="黑体" w:hAnsi="黑体"/>
          <w:color w:val="auto"/>
        </w:rPr>
        <w:t>年度部门决算情况说明</w:t>
      </w:r>
      <w:bookmarkEnd w:id="32"/>
      <w:bookmarkEnd w:id="33"/>
    </w:p>
    <w:bookmarkEnd w:id="34"/>
    <w:p>
      <w:pPr>
        <w:pageBreakBefore w:val="0"/>
        <w:widowControl/>
        <w:kinsoku/>
        <w:wordWrap/>
        <w:overflowPunct/>
        <w:topLinePunct w:val="0"/>
        <w:autoSpaceDE/>
        <w:autoSpaceDN/>
        <w:bidi w:val="0"/>
        <w:spacing w:line="600" w:lineRule="exact"/>
        <w:jc w:val="left"/>
        <w:textAlignment w:val="auto"/>
        <w:rPr>
          <w:rStyle w:val="27"/>
          <w:rFonts w:ascii="黑体" w:hAnsi="黑体" w:eastAsia="黑体"/>
          <w:color w:val="auto"/>
        </w:rPr>
      </w:pPr>
    </w:p>
    <w:p>
      <w:pPr>
        <w:pageBreakBefore w:val="0"/>
        <w:widowControl/>
        <w:kinsoku/>
        <w:wordWrap/>
        <w:overflowPunct/>
        <w:topLinePunct w:val="0"/>
        <w:autoSpaceDE/>
        <w:autoSpaceDN/>
        <w:bidi w:val="0"/>
        <w:spacing w:line="60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35" w:name="_Toc17103553"/>
      <w:bookmarkStart w:id="36" w:name="_Toc15377205"/>
      <w:bookmarkStart w:id="37" w:name="_Toc16527"/>
      <w:r>
        <w:rPr>
          <w:rStyle w:val="28"/>
          <w:rFonts w:hint="eastAsia" w:ascii="方正黑体简体" w:hAnsi="方正黑体简体" w:eastAsia="方正黑体简体" w:cs="方正黑体简体"/>
          <w:b w:val="0"/>
          <w:bCs w:val="0"/>
          <w:color w:val="auto"/>
          <w:lang w:eastAsia="zh-CN"/>
        </w:rPr>
        <w:t>一、</w:t>
      </w:r>
      <w:r>
        <w:rPr>
          <w:rStyle w:val="28"/>
          <w:rFonts w:hint="eastAsia" w:ascii="方正黑体简体" w:hAnsi="方正黑体简体" w:eastAsia="方正黑体简体" w:cs="方正黑体简体"/>
          <w:b w:val="0"/>
          <w:bCs w:val="0"/>
          <w:color w:val="auto"/>
        </w:rPr>
        <w:t>收入支出决算总体情况说明</w:t>
      </w:r>
      <w:bookmarkEnd w:id="35"/>
      <w:bookmarkEnd w:id="36"/>
    </w:p>
    <w:bookmarkEnd w:id="37"/>
    <w:p>
      <w:pPr>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年度收、支总计</w:t>
      </w:r>
      <w:r>
        <w:rPr>
          <w:rFonts w:hint="eastAsia" w:ascii="仿宋" w:hAnsi="仿宋" w:eastAsia="仿宋"/>
          <w:color w:val="auto"/>
          <w:sz w:val="32"/>
          <w:szCs w:val="32"/>
          <w:lang w:val="en-US" w:eastAsia="zh-CN"/>
        </w:rPr>
        <w:t>219.56</w:t>
      </w:r>
      <w:r>
        <w:rPr>
          <w:rFonts w:hint="eastAsia" w:ascii="仿宋" w:hAnsi="仿宋" w:eastAsia="仿宋"/>
          <w:color w:val="auto"/>
          <w:sz w:val="32"/>
          <w:szCs w:val="32"/>
        </w:rPr>
        <w:t>万元，与201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年相比，收、支总计各</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3.87</w:t>
      </w:r>
      <w:r>
        <w:rPr>
          <w:rFonts w:hint="eastAsia" w:ascii="仿宋" w:hAnsi="仿宋" w:eastAsia="仿宋"/>
          <w:color w:val="auto"/>
          <w:sz w:val="32"/>
          <w:szCs w:val="32"/>
        </w:rPr>
        <w:t>万元，</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%，主要变动原因是</w:t>
      </w:r>
      <w:r>
        <w:rPr>
          <w:rFonts w:hint="eastAsia" w:ascii="仿宋" w:hAnsi="仿宋" w:eastAsia="仿宋"/>
          <w:color w:val="auto"/>
          <w:sz w:val="32"/>
          <w:szCs w:val="32"/>
          <w:lang w:eastAsia="zh-CN"/>
        </w:rPr>
        <w:t>人员经费增加造成</w:t>
      </w:r>
      <w:r>
        <w:rPr>
          <w:rFonts w:hint="eastAsia" w:ascii="仿宋" w:hAnsi="仿宋" w:eastAsia="仿宋"/>
          <w:color w:val="auto"/>
          <w:sz w:val="32"/>
          <w:szCs w:val="32"/>
        </w:rPr>
        <w:t>。</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1</w:t>
      </w:r>
      <w:r>
        <w:rPr>
          <w:rFonts w:hint="eastAsia" w:ascii="仿宋" w:hAnsi="仿宋" w:eastAsia="仿宋"/>
          <w:color w:val="auto"/>
          <w:sz w:val="32"/>
          <w:szCs w:val="32"/>
        </w:rPr>
        <w:t>：收、支决算总计变动情况图）（柱状图）</w:t>
      </w:r>
      <w:bookmarkStart w:id="38" w:name="_Toc15377206"/>
      <w:bookmarkStart w:id="39" w:name="_Toc17103554"/>
    </w:p>
    <w:p>
      <w:pPr>
        <w:keepNext w:val="0"/>
        <w:keepLines w:val="0"/>
        <w:pageBreakBefore w:val="0"/>
        <w:widowControl w:val="0"/>
        <w:kinsoku/>
        <w:wordWrap/>
        <w:overflowPunct/>
        <w:topLinePunct w:val="0"/>
        <w:autoSpaceDE/>
        <w:autoSpaceDN/>
        <w:bidi w:val="0"/>
        <w:adjustRightInd/>
        <w:snapToGrid/>
        <w:spacing w:line="4000" w:lineRule="exact"/>
        <w:ind w:firstLine="640" w:firstLineChars="200"/>
        <w:textAlignment w:val="auto"/>
        <w:rPr>
          <w:rFonts w:ascii="仿宋" w:hAnsi="仿宋" w:eastAsia="仿宋"/>
          <w:color w:val="auto"/>
          <w:sz w:val="32"/>
          <w:szCs w:val="32"/>
        </w:rPr>
      </w:pPr>
      <w:r>
        <w:rPr>
          <w:rFonts w:ascii="仿宋" w:hAnsi="仿宋" w:eastAsia="仿宋"/>
          <w:color w:val="auto"/>
          <w:sz w:val="32"/>
          <w:szCs w:val="32"/>
        </w:rPr>
        <w:drawing>
          <wp:inline distT="0" distB="0" distL="0" distR="0">
            <wp:extent cx="2638425" cy="2000885"/>
            <wp:effectExtent l="4445" t="4445" r="5080" b="13970"/>
            <wp:docPr id="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40" w:name="_Toc27770"/>
      <w:r>
        <w:rPr>
          <w:rStyle w:val="28"/>
          <w:rFonts w:hint="eastAsia" w:ascii="方正黑体简体" w:hAnsi="方正黑体简体" w:eastAsia="方正黑体简体" w:cs="方正黑体简体"/>
          <w:b w:val="0"/>
          <w:bCs w:val="0"/>
          <w:color w:val="auto"/>
          <w:lang w:eastAsia="zh-CN"/>
        </w:rPr>
        <w:t>二、</w:t>
      </w:r>
      <w:r>
        <w:rPr>
          <w:rStyle w:val="28"/>
          <w:rFonts w:hint="eastAsia" w:ascii="方正黑体简体" w:hAnsi="方正黑体简体" w:eastAsia="方正黑体简体" w:cs="方正黑体简体"/>
          <w:b w:val="0"/>
          <w:bCs w:val="0"/>
          <w:color w:val="auto"/>
        </w:rPr>
        <w:t>收入决算情况说明</w:t>
      </w:r>
      <w:bookmarkEnd w:id="38"/>
      <w:bookmarkEnd w:id="39"/>
    </w:p>
    <w:bookmarkEnd w:id="40"/>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olor w:val="auto"/>
          <w:sz w:val="32"/>
          <w:szCs w:val="32"/>
        </w:rPr>
      </w:pPr>
      <w:bookmarkStart w:id="41" w:name="_Toc17103555"/>
      <w:bookmarkStart w:id="42" w:name="_Toc25639"/>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年本年收入合计</w:t>
      </w:r>
      <w:r>
        <w:rPr>
          <w:rFonts w:hint="eastAsia" w:ascii="仿宋" w:hAnsi="仿宋" w:eastAsia="仿宋"/>
          <w:color w:val="auto"/>
          <w:sz w:val="32"/>
          <w:szCs w:val="32"/>
          <w:lang w:val="en-US" w:eastAsia="zh-CN"/>
        </w:rPr>
        <w:t>183.21</w:t>
      </w:r>
      <w:r>
        <w:rPr>
          <w:rFonts w:hint="eastAsia" w:ascii="仿宋" w:hAnsi="仿宋" w:eastAsia="仿宋"/>
          <w:color w:val="auto"/>
          <w:sz w:val="32"/>
          <w:szCs w:val="32"/>
        </w:rPr>
        <w:t>万元，其中：一般公共预算财政拨款收入</w:t>
      </w:r>
      <w:r>
        <w:rPr>
          <w:rFonts w:hint="eastAsia" w:ascii="仿宋" w:hAnsi="仿宋" w:eastAsia="仿宋"/>
          <w:color w:val="auto"/>
          <w:sz w:val="32"/>
          <w:szCs w:val="32"/>
          <w:lang w:val="en-US" w:eastAsia="zh-CN"/>
        </w:rPr>
        <w:t>183.21</w:t>
      </w:r>
      <w:r>
        <w:rPr>
          <w:rFonts w:hint="eastAsia" w:ascii="仿宋" w:hAnsi="仿宋" w:eastAsia="仿宋"/>
          <w:color w:val="auto"/>
          <w:sz w:val="32"/>
          <w:szCs w:val="32"/>
        </w:rPr>
        <w:t>万元，占100</w:t>
      </w:r>
      <w:r>
        <w:rPr>
          <w:rFonts w:ascii="仿宋" w:hAnsi="仿宋" w:eastAsia="仿宋"/>
          <w:color w:val="auto"/>
          <w:sz w:val="32"/>
          <w:szCs w:val="32"/>
        </w:rPr>
        <w:t>%</w:t>
      </w:r>
      <w:r>
        <w:rPr>
          <w:rFonts w:hint="eastAsia" w:ascii="仿宋" w:hAnsi="仿宋" w:eastAsia="仿宋"/>
          <w:color w:val="auto"/>
          <w:sz w:val="32"/>
          <w:szCs w:val="32"/>
        </w:rPr>
        <w:t>；政府性基金预算财政拨款收入0万元，占0</w:t>
      </w:r>
      <w:r>
        <w:rPr>
          <w:rFonts w:ascii="仿宋" w:hAnsi="仿宋" w:eastAsia="仿宋"/>
          <w:color w:val="auto"/>
          <w:sz w:val="32"/>
          <w:szCs w:val="32"/>
        </w:rPr>
        <w:t>%</w:t>
      </w:r>
      <w:r>
        <w:rPr>
          <w:rFonts w:hint="eastAsia" w:ascii="仿宋" w:hAnsi="仿宋" w:eastAsia="仿宋"/>
          <w:color w:val="auto"/>
          <w:sz w:val="32"/>
          <w:szCs w:val="32"/>
        </w:rPr>
        <w:t>；国有资本经营预算财政拨款收入0万元，占0</w:t>
      </w:r>
      <w:r>
        <w:rPr>
          <w:rFonts w:ascii="仿宋" w:hAnsi="仿宋" w:eastAsia="仿宋"/>
          <w:color w:val="auto"/>
          <w:sz w:val="32"/>
          <w:szCs w:val="32"/>
        </w:rPr>
        <w:t>%</w:t>
      </w:r>
      <w:r>
        <w:rPr>
          <w:rFonts w:hint="eastAsia" w:ascii="仿宋" w:hAnsi="仿宋" w:eastAsia="仿宋"/>
          <w:color w:val="auto"/>
          <w:sz w:val="32"/>
          <w:szCs w:val="32"/>
        </w:rPr>
        <w:t>；事业收入0万元，占0</w:t>
      </w:r>
      <w:r>
        <w:rPr>
          <w:rFonts w:ascii="仿宋" w:hAnsi="仿宋" w:eastAsia="仿宋"/>
          <w:color w:val="auto"/>
          <w:sz w:val="32"/>
          <w:szCs w:val="32"/>
        </w:rPr>
        <w:t>%</w:t>
      </w:r>
      <w:r>
        <w:rPr>
          <w:rFonts w:hint="eastAsia" w:ascii="仿宋" w:hAnsi="仿宋" w:eastAsia="仿宋"/>
          <w:color w:val="auto"/>
          <w:sz w:val="32"/>
          <w:szCs w:val="32"/>
        </w:rPr>
        <w:t>；经营收入0万元，占0</w:t>
      </w:r>
      <w:r>
        <w:rPr>
          <w:rFonts w:ascii="仿宋" w:hAnsi="仿宋" w:eastAsia="仿宋"/>
          <w:color w:val="auto"/>
          <w:sz w:val="32"/>
          <w:szCs w:val="32"/>
        </w:rPr>
        <w:t>%</w:t>
      </w:r>
      <w:r>
        <w:rPr>
          <w:rFonts w:hint="eastAsia" w:ascii="仿宋" w:hAnsi="仿宋" w:eastAsia="仿宋"/>
          <w:color w:val="auto"/>
          <w:sz w:val="32"/>
          <w:szCs w:val="32"/>
        </w:rPr>
        <w:t>；附属单位上缴收入0万元，占0</w:t>
      </w:r>
      <w:r>
        <w:rPr>
          <w:rFonts w:ascii="仿宋" w:hAnsi="仿宋" w:eastAsia="仿宋"/>
          <w:color w:val="auto"/>
          <w:sz w:val="32"/>
          <w:szCs w:val="32"/>
        </w:rPr>
        <w:t>%</w:t>
      </w:r>
      <w:r>
        <w:rPr>
          <w:rFonts w:hint="eastAsia" w:ascii="仿宋" w:hAnsi="仿宋" w:eastAsia="仿宋"/>
          <w:color w:val="auto"/>
          <w:sz w:val="32"/>
          <w:szCs w:val="32"/>
        </w:rPr>
        <w:t>；其他收入0万元，占0</w:t>
      </w:r>
      <w:r>
        <w:rPr>
          <w:rFonts w:ascii="仿宋" w:hAnsi="仿宋" w:eastAsia="仿宋"/>
          <w:color w:val="auto"/>
          <w:sz w:val="32"/>
          <w:szCs w:val="32"/>
        </w:rPr>
        <w:t>%</w:t>
      </w:r>
      <w:r>
        <w:rPr>
          <w:rFonts w:hint="eastAsia" w:ascii="仿宋" w:hAnsi="仿宋" w:eastAsia="仿宋"/>
          <w:color w:val="auto"/>
          <w:sz w:val="32"/>
          <w:szCs w:val="32"/>
        </w:rPr>
        <w:t>。</w:t>
      </w:r>
      <w:bookmarkEnd w:id="41"/>
      <w:bookmarkEnd w:id="42"/>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（图2：收入决算结构图）（饼状图）</w:t>
      </w:r>
      <w:bookmarkStart w:id="43" w:name="_Toc15377207"/>
      <w:bookmarkStart w:id="44" w:name="_Toc17103556"/>
    </w:p>
    <w:p>
      <w:pPr>
        <w:spacing w:line="3000" w:lineRule="exact"/>
        <w:ind w:firstLine="640" w:firstLineChars="200"/>
        <w:rPr>
          <w:rFonts w:ascii="仿宋" w:hAnsi="仿宋" w:eastAsia="仿宋"/>
          <w:color w:val="auto"/>
          <w:sz w:val="32"/>
          <w:szCs w:val="32"/>
        </w:rPr>
      </w:pPr>
      <w:r>
        <w:rPr>
          <w:rFonts w:ascii="仿宋" w:hAnsi="仿宋" w:eastAsia="仿宋"/>
          <w:color w:val="auto"/>
          <w:sz w:val="32"/>
          <w:szCs w:val="32"/>
        </w:rPr>
        <w:drawing>
          <wp:inline distT="0" distB="0" distL="0" distR="0">
            <wp:extent cx="1971675" cy="1257300"/>
            <wp:effectExtent l="19050" t="0" r="9525" b="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45" w:name="_Toc8449"/>
      <w:r>
        <w:rPr>
          <w:rStyle w:val="28"/>
          <w:rFonts w:hint="eastAsia" w:ascii="方正黑体简体" w:hAnsi="方正黑体简体" w:eastAsia="方正黑体简体" w:cs="方正黑体简体"/>
          <w:b w:val="0"/>
          <w:bCs w:val="0"/>
          <w:color w:val="auto"/>
        </w:rPr>
        <w:t>三、支出决算情况说明</w:t>
      </w:r>
      <w:bookmarkEnd w:id="43"/>
      <w:bookmarkEnd w:id="44"/>
    </w:p>
    <w:bookmarkEnd w:id="45"/>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olor w:val="auto"/>
          <w:sz w:val="32"/>
          <w:szCs w:val="32"/>
          <w:shd w:val="pct10" w:color="auto" w:fill="FFFFFF"/>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年本年支出合计</w:t>
      </w:r>
      <w:r>
        <w:rPr>
          <w:rFonts w:hint="eastAsia" w:ascii="仿宋" w:hAnsi="仿宋" w:eastAsia="仿宋"/>
          <w:color w:val="auto"/>
          <w:sz w:val="32"/>
          <w:szCs w:val="32"/>
          <w:lang w:val="en-US" w:eastAsia="zh-CN"/>
        </w:rPr>
        <w:t>153</w:t>
      </w:r>
      <w:r>
        <w:rPr>
          <w:rFonts w:hint="eastAsia" w:ascii="仿宋" w:hAnsi="仿宋" w:eastAsia="仿宋"/>
          <w:color w:val="auto"/>
          <w:sz w:val="32"/>
          <w:szCs w:val="32"/>
        </w:rPr>
        <w:t>万元，其中：基本支出</w:t>
      </w:r>
      <w:r>
        <w:rPr>
          <w:rFonts w:hint="eastAsia" w:ascii="仿宋" w:hAnsi="仿宋" w:eastAsia="仿宋"/>
          <w:color w:val="auto"/>
          <w:sz w:val="32"/>
          <w:szCs w:val="32"/>
          <w:lang w:val="en-US" w:eastAsia="zh-CN"/>
        </w:rPr>
        <w:t>74.66</w:t>
      </w:r>
      <w:r>
        <w:rPr>
          <w:rFonts w:hint="eastAsia" w:ascii="仿宋" w:hAnsi="仿宋" w:eastAsia="仿宋"/>
          <w:color w:val="auto"/>
          <w:sz w:val="32"/>
          <w:szCs w:val="32"/>
        </w:rPr>
        <w:t>万元，占4</w:t>
      </w:r>
      <w:r>
        <w:rPr>
          <w:rFonts w:hint="eastAsia" w:ascii="仿宋" w:hAnsi="仿宋" w:eastAsia="仿宋"/>
          <w:color w:val="auto"/>
          <w:sz w:val="32"/>
          <w:szCs w:val="32"/>
          <w:lang w:val="en-US" w:eastAsia="zh-CN"/>
        </w:rPr>
        <w:t>9</w:t>
      </w:r>
      <w:r>
        <w:rPr>
          <w:rFonts w:ascii="仿宋" w:hAnsi="仿宋" w:eastAsia="仿宋"/>
          <w:color w:val="auto"/>
          <w:sz w:val="32"/>
          <w:szCs w:val="32"/>
        </w:rPr>
        <w:t>%</w:t>
      </w:r>
      <w:r>
        <w:rPr>
          <w:rFonts w:hint="eastAsia" w:ascii="仿宋" w:hAnsi="仿宋" w:eastAsia="仿宋"/>
          <w:color w:val="auto"/>
          <w:sz w:val="32"/>
          <w:szCs w:val="32"/>
        </w:rPr>
        <w:t>；项目支出</w:t>
      </w:r>
      <w:r>
        <w:rPr>
          <w:rFonts w:hint="eastAsia" w:ascii="仿宋" w:hAnsi="仿宋" w:eastAsia="仿宋"/>
          <w:color w:val="auto"/>
          <w:sz w:val="32"/>
          <w:szCs w:val="32"/>
          <w:lang w:val="en-US" w:eastAsia="zh-CN"/>
        </w:rPr>
        <w:t>78.34</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51</w:t>
      </w:r>
      <w:r>
        <w:rPr>
          <w:rFonts w:ascii="仿宋" w:hAnsi="仿宋" w:eastAsia="仿宋"/>
          <w:color w:val="auto"/>
          <w:sz w:val="32"/>
          <w:szCs w:val="32"/>
        </w:rPr>
        <w:t>%</w:t>
      </w:r>
      <w:r>
        <w:rPr>
          <w:rFonts w:hint="eastAsia" w:ascii="仿宋" w:hAnsi="仿宋" w:eastAsia="仿宋"/>
          <w:color w:val="auto"/>
          <w:sz w:val="32"/>
          <w:szCs w:val="32"/>
        </w:rPr>
        <w:t>；上缴上级支出0万元，占0</w:t>
      </w:r>
      <w:r>
        <w:rPr>
          <w:rFonts w:ascii="仿宋" w:hAnsi="仿宋" w:eastAsia="仿宋"/>
          <w:color w:val="auto"/>
          <w:sz w:val="32"/>
          <w:szCs w:val="32"/>
        </w:rPr>
        <w:t>%</w:t>
      </w:r>
      <w:r>
        <w:rPr>
          <w:rFonts w:hint="eastAsia" w:ascii="仿宋" w:hAnsi="仿宋" w:eastAsia="仿宋"/>
          <w:color w:val="auto"/>
          <w:sz w:val="32"/>
          <w:szCs w:val="32"/>
        </w:rPr>
        <w:t>；经营支出0万元，占0</w:t>
      </w:r>
      <w:r>
        <w:rPr>
          <w:rFonts w:ascii="仿宋" w:hAnsi="仿宋" w:eastAsia="仿宋"/>
          <w:color w:val="auto"/>
          <w:sz w:val="32"/>
          <w:szCs w:val="32"/>
        </w:rPr>
        <w:t>%</w:t>
      </w:r>
      <w:r>
        <w:rPr>
          <w:rFonts w:hint="eastAsia" w:ascii="仿宋" w:hAnsi="仿宋" w:eastAsia="仿宋"/>
          <w:color w:val="auto"/>
          <w:sz w:val="32"/>
          <w:szCs w:val="32"/>
        </w:rPr>
        <w:t>；对附属单位补助支出0万元，占0</w:t>
      </w:r>
      <w:r>
        <w:rPr>
          <w:rFonts w:ascii="仿宋" w:hAnsi="仿宋" w:eastAsia="仿宋"/>
          <w:color w:val="auto"/>
          <w:sz w:val="32"/>
          <w:szCs w:val="32"/>
        </w:rPr>
        <w:t>%</w:t>
      </w:r>
      <w:r>
        <w:rPr>
          <w:rFonts w:hint="eastAsia" w:ascii="仿宋" w:hAnsi="仿宋" w:eastAsia="仿宋"/>
          <w:color w:val="auto"/>
          <w:sz w:val="32"/>
          <w:szCs w:val="32"/>
        </w:rPr>
        <w:t>。</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（图3：支出决算结构图）（饼状图）</w:t>
      </w:r>
    </w:p>
    <w:p>
      <w:pPr>
        <w:spacing w:line="3000" w:lineRule="exact"/>
        <w:ind w:firstLine="640" w:firstLineChars="200"/>
        <w:rPr>
          <w:rFonts w:ascii="仿宋" w:hAnsi="仿宋" w:eastAsia="仿宋"/>
          <w:color w:val="auto"/>
          <w:sz w:val="32"/>
          <w:szCs w:val="32"/>
        </w:rPr>
      </w:pPr>
      <w:r>
        <w:rPr>
          <w:rFonts w:ascii="仿宋" w:hAnsi="仿宋" w:eastAsia="仿宋"/>
          <w:color w:val="auto"/>
          <w:sz w:val="32"/>
          <w:szCs w:val="32"/>
        </w:rPr>
        <w:drawing>
          <wp:inline distT="0" distB="0" distL="0" distR="0">
            <wp:extent cx="1971675" cy="1171575"/>
            <wp:effectExtent l="19050" t="0" r="9525"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46" w:name="_Toc15377208"/>
      <w:bookmarkStart w:id="47" w:name="_Toc17103557"/>
      <w:bookmarkStart w:id="48" w:name="_Toc31809"/>
      <w:r>
        <w:rPr>
          <w:rStyle w:val="28"/>
          <w:rFonts w:hint="eastAsia" w:ascii="方正黑体简体" w:hAnsi="方正黑体简体" w:eastAsia="方正黑体简体" w:cs="方正黑体简体"/>
          <w:b w:val="0"/>
          <w:bCs w:val="0"/>
          <w:color w:val="auto"/>
        </w:rPr>
        <w:t>四、财政拨款收入支出决算总体情况说明</w:t>
      </w:r>
      <w:bookmarkEnd w:id="46"/>
      <w:bookmarkEnd w:id="47"/>
    </w:p>
    <w:bookmarkEnd w:id="48"/>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年财政拨款收、支总计</w:t>
      </w:r>
      <w:r>
        <w:rPr>
          <w:rFonts w:hint="eastAsia" w:ascii="仿宋" w:hAnsi="仿宋" w:eastAsia="仿宋"/>
          <w:color w:val="auto"/>
          <w:sz w:val="32"/>
          <w:szCs w:val="32"/>
          <w:lang w:val="en-US" w:eastAsia="zh-CN"/>
        </w:rPr>
        <w:t>219.56</w:t>
      </w:r>
      <w:r>
        <w:rPr>
          <w:rFonts w:hint="eastAsia" w:ascii="仿宋" w:hAnsi="仿宋" w:eastAsia="仿宋"/>
          <w:color w:val="auto"/>
          <w:sz w:val="32"/>
          <w:szCs w:val="32"/>
        </w:rPr>
        <w:t>万元，与</w:t>
      </w:r>
      <w:r>
        <w:rPr>
          <w:rFonts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年相比，财政拨款收、支总计各</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3.87</w:t>
      </w:r>
      <w:r>
        <w:rPr>
          <w:rFonts w:hint="eastAsia" w:ascii="仿宋" w:hAnsi="仿宋" w:eastAsia="仿宋"/>
          <w:color w:val="auto"/>
          <w:sz w:val="32"/>
          <w:szCs w:val="32"/>
        </w:rPr>
        <w:t>万元，</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%，主要变动原因是</w:t>
      </w:r>
      <w:r>
        <w:rPr>
          <w:rFonts w:hint="eastAsia" w:ascii="仿宋" w:hAnsi="仿宋" w:eastAsia="仿宋"/>
          <w:color w:val="auto"/>
          <w:sz w:val="32"/>
          <w:szCs w:val="32"/>
          <w:lang w:eastAsia="zh-CN"/>
        </w:rPr>
        <w:t>人员经费增加</w:t>
      </w:r>
      <w:r>
        <w:rPr>
          <w:rFonts w:hint="eastAsia" w:ascii="仿宋" w:hAnsi="仿宋" w:eastAsia="仿宋"/>
          <w:color w:val="auto"/>
          <w:sz w:val="32"/>
          <w:szCs w:val="32"/>
        </w:rPr>
        <w:t>造成的。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（图4：财政拨款收、支决算总计变动情况）（柱状图）</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b/>
          <w:color w:val="auto"/>
          <w:sz w:val="32"/>
          <w:szCs w:val="32"/>
        </w:rPr>
      </w:pPr>
      <w:r>
        <w:rPr>
          <w:rFonts w:hint="eastAsia" w:ascii="仿宋" w:hAnsi="仿宋" w:eastAsia="仿宋"/>
          <w:b/>
          <w:color w:val="auto"/>
          <w:sz w:val="32"/>
          <w:szCs w:val="32"/>
        </w:rPr>
        <w:t>（除国有资本经营预算外，数据来源于财决</w:t>
      </w:r>
      <w:r>
        <w:rPr>
          <w:rFonts w:ascii="仿宋" w:hAnsi="仿宋" w:eastAsia="仿宋"/>
          <w:b/>
          <w:color w:val="auto"/>
          <w:sz w:val="32"/>
          <w:szCs w:val="32"/>
        </w:rPr>
        <w:t>Z01-1</w:t>
      </w:r>
      <w:r>
        <w:rPr>
          <w:rFonts w:hint="eastAsia" w:ascii="仿宋" w:hAnsi="仿宋" w:eastAsia="仿宋"/>
          <w:b/>
          <w:color w:val="auto"/>
          <w:sz w:val="32"/>
          <w:szCs w:val="32"/>
        </w:rPr>
        <w:t>表，口径为“总计”数+国有资本经营预算。）</w:t>
      </w:r>
    </w:p>
    <w:p>
      <w:pPr>
        <w:keepNext w:val="0"/>
        <w:keepLines w:val="0"/>
        <w:pageBreakBefore w:val="0"/>
        <w:widowControl w:val="0"/>
        <w:kinsoku/>
        <w:wordWrap/>
        <w:overflowPunct/>
        <w:topLinePunct w:val="0"/>
        <w:autoSpaceDE/>
        <w:autoSpaceDN/>
        <w:bidi w:val="0"/>
        <w:adjustRightInd/>
        <w:snapToGrid/>
        <w:spacing w:line="4000" w:lineRule="exact"/>
        <w:ind w:firstLine="641"/>
        <w:textAlignment w:val="auto"/>
        <w:rPr>
          <w:rFonts w:ascii="仿宋" w:hAnsi="仿宋" w:eastAsia="仿宋"/>
          <w:b/>
          <w:color w:val="auto"/>
          <w:sz w:val="32"/>
          <w:szCs w:val="32"/>
        </w:rPr>
      </w:pPr>
      <w:r>
        <w:rPr>
          <w:rFonts w:ascii="仿宋" w:hAnsi="仿宋" w:eastAsia="仿宋"/>
          <w:b/>
          <w:color w:val="auto"/>
          <w:sz w:val="32"/>
          <w:szCs w:val="32"/>
        </w:rPr>
        <w:drawing>
          <wp:inline distT="0" distB="0" distL="0" distR="0">
            <wp:extent cx="2656840" cy="1732915"/>
            <wp:effectExtent l="4445" t="4445" r="5715" b="15240"/>
            <wp:docPr id="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49" w:name="_Toc15377209"/>
      <w:bookmarkStart w:id="50" w:name="_Toc17103558"/>
      <w:bookmarkStart w:id="51" w:name="_Toc31942"/>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Style w:val="28"/>
          <w:rFonts w:hint="eastAsia" w:ascii="方正黑体简体" w:hAnsi="方正黑体简体" w:eastAsia="方正黑体简体" w:cs="方正黑体简体"/>
          <w:b w:val="0"/>
          <w:bCs w:val="0"/>
          <w:color w:val="auto"/>
        </w:rPr>
      </w:pPr>
      <w:r>
        <w:rPr>
          <w:rStyle w:val="28"/>
          <w:rFonts w:hint="eastAsia" w:ascii="方正黑体简体" w:hAnsi="方正黑体简体" w:eastAsia="方正黑体简体" w:cs="方正黑体简体"/>
          <w:b w:val="0"/>
          <w:bCs w:val="0"/>
          <w:color w:val="auto"/>
        </w:rPr>
        <w:t>五、一般公共预算财政拨款支出决算情况说明</w:t>
      </w:r>
      <w:bookmarkEnd w:id="49"/>
      <w:bookmarkEnd w:id="50"/>
    </w:p>
    <w:bookmarkEnd w:id="51"/>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ascii="仿宋" w:hAnsi="仿宋" w:eastAsia="仿宋"/>
          <w:b/>
          <w:color w:val="auto"/>
          <w:sz w:val="32"/>
          <w:szCs w:val="32"/>
        </w:rPr>
      </w:pPr>
      <w:bookmarkStart w:id="52" w:name="_Toc15377210"/>
      <w:bookmarkStart w:id="53" w:name="_Toc11609"/>
      <w:r>
        <w:rPr>
          <w:rFonts w:hint="eastAsia" w:ascii="方正仿宋简体" w:hAnsi="方正仿宋简体" w:eastAsia="方正仿宋简体" w:cs="方正仿宋简体"/>
          <w:b/>
          <w:bCs/>
          <w:color w:val="auto"/>
          <w:kern w:val="2"/>
          <w:sz w:val="32"/>
          <w:szCs w:val="32"/>
          <w:lang w:val="en-US" w:eastAsia="zh-CN" w:bidi="ar-SA"/>
        </w:rPr>
        <w:t>（一）一般公共预算财政拨款支出决算总体情况</w:t>
      </w:r>
      <w:bookmarkEnd w:id="52"/>
      <w:bookmarkEnd w:id="5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153</w:t>
      </w:r>
      <w:r>
        <w:rPr>
          <w:rFonts w:hint="eastAsia" w:ascii="仿宋" w:hAnsi="仿宋" w:eastAsia="仿宋"/>
          <w:color w:val="auto"/>
          <w:sz w:val="32"/>
          <w:szCs w:val="32"/>
        </w:rPr>
        <w:t>万元，占本年支出合计的100</w:t>
      </w:r>
      <w:r>
        <w:rPr>
          <w:rFonts w:ascii="仿宋" w:hAnsi="仿宋" w:eastAsia="仿宋"/>
          <w:color w:val="auto"/>
          <w:sz w:val="32"/>
          <w:szCs w:val="32"/>
        </w:rPr>
        <w:t>%</w:t>
      </w:r>
      <w:r>
        <w:rPr>
          <w:rFonts w:hint="eastAsia" w:ascii="仿宋" w:hAnsi="仿宋" w:eastAsia="仿宋"/>
          <w:color w:val="auto"/>
          <w:sz w:val="32"/>
          <w:szCs w:val="32"/>
        </w:rPr>
        <w:t>。与</w:t>
      </w:r>
      <w:r>
        <w:rPr>
          <w:rFonts w:ascii="仿宋" w:hAnsi="仿宋" w:eastAsia="仿宋"/>
          <w:color w:val="auto"/>
          <w:sz w:val="32"/>
          <w:szCs w:val="32"/>
        </w:rPr>
        <w:t>20</w:t>
      </w:r>
      <w:r>
        <w:rPr>
          <w:rFonts w:hint="eastAsia" w:ascii="仿宋" w:hAnsi="仿宋" w:eastAsia="仿宋"/>
          <w:color w:val="auto"/>
          <w:sz w:val="32"/>
          <w:szCs w:val="32"/>
          <w:lang w:val="en-US" w:eastAsia="zh-CN"/>
        </w:rPr>
        <w:t>19</w:t>
      </w:r>
      <w:r>
        <w:rPr>
          <w:rFonts w:hint="eastAsia" w:ascii="仿宋" w:hAnsi="仿宋" w:eastAsia="仿宋"/>
          <w:color w:val="auto"/>
          <w:sz w:val="32"/>
          <w:szCs w:val="32"/>
        </w:rPr>
        <w:t>年相比，一般公共预算财政拨款</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47.99</w:t>
      </w:r>
      <w:r>
        <w:rPr>
          <w:rFonts w:hint="eastAsia" w:ascii="仿宋" w:hAnsi="仿宋" w:eastAsia="仿宋"/>
          <w:color w:val="auto"/>
          <w:sz w:val="32"/>
          <w:szCs w:val="32"/>
        </w:rPr>
        <w:t>万元，</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46</w:t>
      </w:r>
      <w:r>
        <w:rPr>
          <w:rFonts w:ascii="仿宋" w:hAnsi="仿宋" w:eastAsia="仿宋"/>
          <w:color w:val="auto"/>
          <w:sz w:val="32"/>
          <w:szCs w:val="32"/>
        </w:rPr>
        <w:t>%</w:t>
      </w:r>
      <w:r>
        <w:rPr>
          <w:rFonts w:hint="eastAsia" w:ascii="仿宋" w:hAnsi="仿宋" w:eastAsia="仿宋"/>
          <w:color w:val="auto"/>
          <w:sz w:val="32"/>
          <w:szCs w:val="32"/>
        </w:rPr>
        <w:t>。主要变动原因是</w:t>
      </w:r>
      <w:r>
        <w:rPr>
          <w:rFonts w:hint="eastAsia" w:ascii="仿宋" w:hAnsi="仿宋" w:eastAsia="仿宋"/>
          <w:color w:val="auto"/>
          <w:sz w:val="32"/>
          <w:szCs w:val="32"/>
          <w:lang w:eastAsia="zh-CN"/>
        </w:rPr>
        <w:t>人员经费增加</w:t>
      </w:r>
      <w:r>
        <w:rPr>
          <w:rFonts w:hint="eastAsia" w:ascii="仿宋" w:hAnsi="仿宋" w:eastAsia="仿宋"/>
          <w:color w:val="auto"/>
          <w:sz w:val="32"/>
          <w:szCs w:val="32"/>
        </w:rPr>
        <w:t>造成的。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（图5：一般公共预算财政拨款支出决算变动情况）（柱状图）</w:t>
      </w:r>
    </w:p>
    <w:p>
      <w:pPr>
        <w:keepNext w:val="0"/>
        <w:keepLines w:val="0"/>
        <w:pageBreakBefore w:val="0"/>
        <w:widowControl w:val="0"/>
        <w:kinsoku/>
        <w:wordWrap/>
        <w:overflowPunct/>
        <w:topLinePunct w:val="0"/>
        <w:autoSpaceDE/>
        <w:autoSpaceDN/>
        <w:bidi w:val="0"/>
        <w:adjustRightInd/>
        <w:snapToGrid/>
        <w:spacing w:line="3600" w:lineRule="exact"/>
        <w:ind w:firstLine="640" w:firstLineChars="200"/>
        <w:textAlignment w:val="auto"/>
        <w:rPr>
          <w:rFonts w:ascii="仿宋" w:hAnsi="仿宋" w:eastAsia="仿宋"/>
          <w:color w:val="auto"/>
          <w:sz w:val="32"/>
          <w:szCs w:val="32"/>
        </w:rPr>
      </w:pPr>
      <w:r>
        <w:rPr>
          <w:rFonts w:ascii="仿宋" w:hAnsi="仿宋" w:eastAsia="仿宋"/>
          <w:color w:val="auto"/>
          <w:sz w:val="32"/>
          <w:szCs w:val="32"/>
        </w:rPr>
        <w:drawing>
          <wp:inline distT="0" distB="0" distL="0" distR="0">
            <wp:extent cx="2019300" cy="1619250"/>
            <wp:effectExtent l="4445" t="4445" r="14605" b="14605"/>
            <wp:docPr id="14"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4"/>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方正仿宋简体" w:hAnsi="方正仿宋简体" w:eastAsia="方正仿宋简体" w:cs="方正仿宋简体"/>
          <w:color w:val="auto"/>
        </w:rPr>
      </w:pPr>
      <w:bookmarkStart w:id="54" w:name="_Toc2672"/>
      <w:bookmarkStart w:id="55" w:name="_Toc15377211"/>
      <w:r>
        <w:rPr>
          <w:rFonts w:hint="eastAsia" w:ascii="方正仿宋简体" w:hAnsi="方正仿宋简体" w:eastAsia="方正仿宋简体" w:cs="方正仿宋简体"/>
          <w:color w:val="auto"/>
        </w:rPr>
        <w:t>（二）一般公共预算财政拨款支出决算结构情况</w:t>
      </w:r>
      <w:bookmarkEnd w:id="54"/>
      <w:bookmarkEnd w:id="55"/>
    </w:p>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153</w:t>
      </w:r>
      <w:r>
        <w:rPr>
          <w:rFonts w:hint="eastAsia" w:ascii="仿宋" w:hAnsi="仿宋" w:eastAsia="仿宋"/>
          <w:color w:val="auto"/>
          <w:sz w:val="32"/>
          <w:szCs w:val="32"/>
        </w:rPr>
        <w:t>万元，主要用于以下方面</w:t>
      </w:r>
      <w:r>
        <w:rPr>
          <w:rFonts w:ascii="仿宋" w:hAnsi="仿宋" w:eastAsia="仿宋"/>
          <w:color w:val="auto"/>
          <w:sz w:val="32"/>
          <w:szCs w:val="32"/>
        </w:rPr>
        <w:t>:</w:t>
      </w:r>
      <w:r>
        <w:rPr>
          <w:rFonts w:hint="eastAsia" w:ascii="仿宋" w:hAnsi="仿宋" w:eastAsia="仿宋"/>
          <w:b/>
          <w:color w:val="auto"/>
          <w:sz w:val="32"/>
          <w:szCs w:val="32"/>
        </w:rPr>
        <w:t>一般公共服务（类）</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142.57</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93</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教育支出（类）</w:t>
      </w:r>
      <w:r>
        <w:rPr>
          <w:rFonts w:hint="eastAsia" w:ascii="仿宋" w:hAnsi="仿宋" w:eastAsia="仿宋"/>
          <w:color w:val="auto"/>
          <w:sz w:val="32"/>
          <w:szCs w:val="32"/>
        </w:rPr>
        <w:t>0万元，占0</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科学技术（类）</w:t>
      </w:r>
      <w:r>
        <w:rPr>
          <w:rFonts w:hint="eastAsia" w:ascii="仿宋" w:hAnsi="仿宋" w:eastAsia="仿宋"/>
          <w:color w:val="auto"/>
          <w:sz w:val="32"/>
          <w:szCs w:val="32"/>
        </w:rPr>
        <w:t>支出0万元，占0</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社会保障和就业（类）</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5.25</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3.5</w:t>
      </w:r>
      <w:r>
        <w:rPr>
          <w:rFonts w:ascii="仿宋" w:hAnsi="仿宋" w:eastAsia="仿宋"/>
          <w:color w:val="auto"/>
          <w:sz w:val="32"/>
          <w:szCs w:val="32"/>
        </w:rPr>
        <w:t>%</w:t>
      </w:r>
      <w:r>
        <w:rPr>
          <w:rFonts w:hint="eastAsia" w:ascii="仿宋" w:hAnsi="仿宋" w:eastAsia="仿宋"/>
          <w:color w:val="auto"/>
          <w:sz w:val="32"/>
          <w:szCs w:val="32"/>
        </w:rPr>
        <w:t>；医疗卫生支出1.73万元，占</w:t>
      </w:r>
      <w:r>
        <w:rPr>
          <w:rFonts w:hint="eastAsia" w:ascii="仿宋" w:hAnsi="仿宋" w:eastAsia="仿宋"/>
          <w:color w:val="auto"/>
          <w:sz w:val="32"/>
          <w:szCs w:val="32"/>
          <w:lang w:val="en-US" w:eastAsia="zh-CN"/>
        </w:rPr>
        <w:t>1</w:t>
      </w:r>
      <w:r>
        <w:rPr>
          <w:rFonts w:ascii="仿宋" w:hAnsi="仿宋" w:eastAsia="仿宋"/>
          <w:color w:val="auto"/>
          <w:sz w:val="32"/>
          <w:szCs w:val="32"/>
        </w:rPr>
        <w:t>%</w:t>
      </w:r>
      <w:r>
        <w:rPr>
          <w:rFonts w:hint="eastAsia" w:ascii="仿宋" w:hAnsi="仿宋" w:eastAsia="仿宋"/>
          <w:color w:val="auto"/>
          <w:sz w:val="32"/>
          <w:szCs w:val="32"/>
        </w:rPr>
        <w:t>；住房保障支出</w:t>
      </w:r>
      <w:r>
        <w:rPr>
          <w:rFonts w:hint="eastAsia" w:ascii="仿宋" w:hAnsi="仿宋" w:eastAsia="仿宋"/>
          <w:color w:val="auto"/>
          <w:sz w:val="32"/>
          <w:szCs w:val="32"/>
          <w:lang w:val="en-US" w:eastAsia="zh-CN"/>
        </w:rPr>
        <w:t>3.45</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2.5</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（罗列全部功能分类科目，至类级。）</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（图6：一般公共预算财政拨款支出决算结构）（饼状图）</w:t>
      </w:r>
    </w:p>
    <w:p>
      <w:pPr>
        <w:keepNext w:val="0"/>
        <w:keepLines w:val="0"/>
        <w:pageBreakBefore w:val="0"/>
        <w:widowControl w:val="0"/>
        <w:kinsoku/>
        <w:wordWrap/>
        <w:overflowPunct/>
        <w:topLinePunct w:val="0"/>
        <w:autoSpaceDE/>
        <w:autoSpaceDN/>
        <w:bidi w:val="0"/>
        <w:adjustRightInd/>
        <w:snapToGrid/>
        <w:spacing w:line="3600" w:lineRule="exact"/>
        <w:ind w:firstLine="640" w:firstLineChars="200"/>
        <w:textAlignment w:val="auto"/>
        <w:rPr>
          <w:rFonts w:ascii="仿宋" w:hAnsi="仿宋" w:eastAsia="仿宋"/>
          <w:color w:val="auto"/>
          <w:sz w:val="32"/>
          <w:szCs w:val="32"/>
        </w:rPr>
      </w:pPr>
      <w:r>
        <w:rPr>
          <w:rFonts w:ascii="仿宋" w:hAnsi="仿宋" w:eastAsia="仿宋"/>
          <w:color w:val="auto"/>
          <w:sz w:val="32"/>
          <w:szCs w:val="32"/>
        </w:rPr>
        <w:drawing>
          <wp:inline distT="0" distB="0" distL="0" distR="0">
            <wp:extent cx="2019300" cy="1724025"/>
            <wp:effectExtent l="4445" t="4445" r="14605" b="5080"/>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4"/>
        <w:pageBreakBefore w:val="0"/>
        <w:kinsoku/>
        <w:wordWrap/>
        <w:overflowPunct/>
        <w:topLinePunct w:val="0"/>
        <w:autoSpaceDE/>
        <w:autoSpaceDN/>
        <w:bidi w:val="0"/>
        <w:adjustRightInd/>
        <w:snapToGrid/>
        <w:spacing w:before="0" w:after="0" w:line="600" w:lineRule="exact"/>
        <w:ind w:firstLine="643" w:firstLineChars="200"/>
        <w:textAlignment w:val="auto"/>
        <w:rPr>
          <w:rFonts w:hint="eastAsia" w:ascii="方正仿宋简体" w:hAnsi="方正仿宋简体" w:eastAsia="方正仿宋简体" w:cs="方正仿宋简体"/>
          <w:color w:val="auto"/>
        </w:rPr>
      </w:pPr>
      <w:bookmarkStart w:id="56" w:name="_Toc22311"/>
      <w:bookmarkStart w:id="57" w:name="_Toc15377212"/>
      <w:r>
        <w:rPr>
          <w:rFonts w:hint="eastAsia" w:ascii="方正仿宋简体" w:hAnsi="方正仿宋简体" w:eastAsia="方正仿宋简体" w:cs="方正仿宋简体"/>
          <w:color w:val="auto"/>
        </w:rPr>
        <w:t>（三）一般公共预算财政拨款支出决算具体情况</w:t>
      </w:r>
      <w:bookmarkEnd w:id="56"/>
      <w:bookmarkEnd w:id="57"/>
    </w:p>
    <w:p>
      <w:pPr>
        <w:pageBreakBefore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
          <w:color w:val="auto"/>
          <w:sz w:val="32"/>
          <w:szCs w:val="32"/>
        </w:rPr>
      </w:pPr>
      <w:bookmarkStart w:id="58" w:name="_Toc29631"/>
      <w:bookmarkStart w:id="59" w:name="_Toc15377213"/>
      <w:bookmarkStart w:id="60" w:name="_Toc15378460"/>
      <w:bookmarkStart w:id="61" w:name="_Toc15377444"/>
      <w:r>
        <w:rPr>
          <w:rFonts w:hint="eastAsia" w:ascii="仿宋" w:hAnsi="仿宋" w:eastAsia="仿宋"/>
          <w:b/>
          <w:color w:val="auto"/>
          <w:sz w:val="32"/>
          <w:szCs w:val="32"/>
        </w:rPr>
        <w:t>2</w:t>
      </w:r>
      <w:r>
        <w:rPr>
          <w:rFonts w:hint="eastAsia" w:ascii="仿宋" w:hAnsi="仿宋" w:eastAsia="仿宋"/>
          <w:b/>
          <w:color w:val="auto"/>
          <w:sz w:val="32"/>
          <w:szCs w:val="32"/>
          <w:lang w:val="en-US" w:eastAsia="zh-CN"/>
        </w:rPr>
        <w:t>020</w:t>
      </w:r>
      <w:r>
        <w:rPr>
          <w:rFonts w:hint="eastAsia" w:ascii="仿宋" w:hAnsi="仿宋" w:eastAsia="仿宋"/>
          <w:b/>
          <w:color w:val="auto"/>
          <w:sz w:val="32"/>
          <w:szCs w:val="32"/>
        </w:rPr>
        <w:t>年一般公共预算支出决算数为</w:t>
      </w:r>
      <w:r>
        <w:rPr>
          <w:rFonts w:hint="eastAsia" w:ascii="仿宋" w:hAnsi="仿宋" w:eastAsia="仿宋"/>
          <w:b/>
          <w:color w:val="auto"/>
          <w:sz w:val="32"/>
          <w:szCs w:val="32"/>
          <w:lang w:val="en-US" w:eastAsia="zh-CN"/>
        </w:rPr>
        <w:t>153</w:t>
      </w:r>
      <w:r>
        <w:rPr>
          <w:rFonts w:hint="eastAsia" w:ascii="仿宋" w:hAnsi="仿宋" w:eastAsia="仿宋"/>
          <w:b/>
          <w:color w:val="auto"/>
          <w:sz w:val="32"/>
          <w:szCs w:val="32"/>
        </w:rPr>
        <w:t>万元</w:t>
      </w:r>
      <w:r>
        <w:rPr>
          <w:rFonts w:hint="eastAsia" w:ascii="仿宋" w:hAnsi="仿宋" w:eastAsia="仿宋"/>
          <w:color w:val="auto"/>
          <w:sz w:val="32"/>
          <w:szCs w:val="32"/>
        </w:rPr>
        <w:t>，</w:t>
      </w:r>
      <w:r>
        <w:rPr>
          <w:rStyle w:val="17"/>
          <w:rFonts w:hint="eastAsia" w:ascii="仿宋" w:hAnsi="仿宋" w:eastAsia="仿宋"/>
          <w:bCs/>
          <w:color w:val="auto"/>
          <w:sz w:val="32"/>
          <w:szCs w:val="32"/>
        </w:rPr>
        <w:t>完成预算8</w:t>
      </w:r>
      <w:r>
        <w:rPr>
          <w:rStyle w:val="17"/>
          <w:rFonts w:hint="eastAsia" w:ascii="仿宋" w:hAnsi="仿宋" w:eastAsia="仿宋"/>
          <w:bCs/>
          <w:color w:val="auto"/>
          <w:sz w:val="32"/>
          <w:szCs w:val="32"/>
          <w:lang w:val="en-US" w:eastAsia="zh-CN"/>
        </w:rPr>
        <w:t>4</w:t>
      </w:r>
      <w:r>
        <w:rPr>
          <w:rStyle w:val="17"/>
          <w:rFonts w:ascii="仿宋" w:hAnsi="仿宋" w:eastAsia="仿宋"/>
          <w:bCs/>
          <w:color w:val="auto"/>
          <w:sz w:val="32"/>
          <w:szCs w:val="32"/>
        </w:rPr>
        <w:t>%</w:t>
      </w:r>
      <w:r>
        <w:rPr>
          <w:rStyle w:val="17"/>
          <w:rFonts w:hint="eastAsia" w:ascii="仿宋" w:hAnsi="仿宋" w:eastAsia="仿宋"/>
          <w:bCs/>
          <w:color w:val="auto"/>
          <w:sz w:val="32"/>
          <w:szCs w:val="32"/>
        </w:rPr>
        <w:t>。其中：</w:t>
      </w:r>
      <w:bookmarkEnd w:id="58"/>
      <w:bookmarkEnd w:id="59"/>
      <w:bookmarkEnd w:id="60"/>
      <w:bookmarkEnd w:id="61"/>
    </w:p>
    <w:p>
      <w:pPr>
        <w:pageBreakBefore w:val="0"/>
        <w:kinsoku/>
        <w:wordWrap/>
        <w:overflowPunct/>
        <w:topLinePunct w:val="0"/>
        <w:autoSpaceDE/>
        <w:autoSpaceDN/>
        <w:bidi w:val="0"/>
        <w:adjustRightInd/>
        <w:snapToGrid/>
        <w:spacing w:line="600" w:lineRule="exact"/>
        <w:ind w:firstLine="643" w:firstLineChars="200"/>
        <w:textAlignment w:val="auto"/>
        <w:rPr>
          <w:rFonts w:ascii="仿宋" w:hAnsi="仿宋" w:eastAsia="仿宋"/>
          <w:b/>
          <w:color w:val="auto"/>
          <w:sz w:val="32"/>
          <w:szCs w:val="32"/>
        </w:rPr>
      </w:pPr>
      <w:r>
        <w:rPr>
          <w:rStyle w:val="17"/>
          <w:rFonts w:ascii="仿宋" w:hAnsi="仿宋" w:eastAsia="仿宋"/>
          <w:bCs/>
          <w:color w:val="auto"/>
          <w:sz w:val="32"/>
          <w:szCs w:val="32"/>
        </w:rPr>
        <w:t>1.</w:t>
      </w:r>
      <w:r>
        <w:rPr>
          <w:rStyle w:val="17"/>
          <w:rFonts w:hint="eastAsia" w:ascii="仿宋" w:hAnsi="仿宋" w:eastAsia="仿宋"/>
          <w:bCs/>
          <w:color w:val="auto"/>
          <w:sz w:val="32"/>
          <w:szCs w:val="32"/>
        </w:rPr>
        <w:t>一般公共服务</w:t>
      </w:r>
      <w:r>
        <w:rPr>
          <w:rStyle w:val="17"/>
          <w:rFonts w:ascii="仿宋" w:hAnsi="仿宋" w:eastAsia="仿宋"/>
          <w:bCs/>
          <w:color w:val="auto"/>
          <w:sz w:val="32"/>
          <w:szCs w:val="32"/>
        </w:rPr>
        <w:t>:</w:t>
      </w:r>
      <w:r>
        <w:rPr>
          <w:rStyle w:val="17"/>
          <w:rFonts w:hint="eastAsia" w:ascii="仿宋" w:hAnsi="仿宋" w:eastAsia="仿宋"/>
          <w:b w:val="0"/>
          <w:bCs/>
          <w:color w:val="auto"/>
          <w:sz w:val="32"/>
          <w:szCs w:val="32"/>
        </w:rPr>
        <w:t>其中2012901群众团体事务行政运行支出决算为</w:t>
      </w:r>
      <w:r>
        <w:rPr>
          <w:rStyle w:val="17"/>
          <w:rFonts w:hint="eastAsia" w:ascii="仿宋" w:hAnsi="仿宋" w:eastAsia="仿宋"/>
          <w:b w:val="0"/>
          <w:bCs/>
          <w:color w:val="auto"/>
          <w:sz w:val="32"/>
          <w:szCs w:val="32"/>
          <w:lang w:val="en-US" w:eastAsia="zh-CN"/>
        </w:rPr>
        <w:t>64.23</w:t>
      </w:r>
      <w:r>
        <w:rPr>
          <w:rStyle w:val="17"/>
          <w:rFonts w:hint="eastAsia" w:ascii="仿宋" w:hAnsi="仿宋" w:eastAsia="仿宋"/>
          <w:b w:val="0"/>
          <w:bCs/>
          <w:color w:val="auto"/>
          <w:sz w:val="32"/>
          <w:szCs w:val="32"/>
        </w:rPr>
        <w:t>万元，完成预算100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。决算数等于预算数。2012902群众团体事务一般行政管理事务</w:t>
      </w:r>
      <w:r>
        <w:rPr>
          <w:rStyle w:val="17"/>
          <w:rFonts w:hint="eastAsia" w:ascii="仿宋" w:hAnsi="仿宋" w:eastAsia="仿宋"/>
          <w:b w:val="0"/>
          <w:bCs/>
          <w:color w:val="auto"/>
          <w:sz w:val="32"/>
          <w:szCs w:val="32"/>
          <w:lang w:val="en-US" w:eastAsia="zh-CN"/>
        </w:rPr>
        <w:t>73.54</w:t>
      </w:r>
      <w:r>
        <w:rPr>
          <w:rStyle w:val="17"/>
          <w:rFonts w:hint="eastAsia" w:ascii="仿宋" w:hAnsi="仿宋" w:eastAsia="仿宋"/>
          <w:b w:val="0"/>
          <w:bCs/>
          <w:color w:val="auto"/>
          <w:sz w:val="32"/>
          <w:szCs w:val="32"/>
        </w:rPr>
        <w:t>万元，完成预算</w:t>
      </w:r>
      <w:r>
        <w:rPr>
          <w:rStyle w:val="17"/>
          <w:rFonts w:hint="eastAsia" w:ascii="仿宋" w:hAnsi="仿宋" w:eastAsia="仿宋"/>
          <w:b w:val="0"/>
          <w:bCs/>
          <w:color w:val="auto"/>
          <w:sz w:val="32"/>
          <w:szCs w:val="32"/>
          <w:lang w:val="en-US" w:eastAsia="zh-CN"/>
        </w:rPr>
        <w:t>70</w:t>
      </w:r>
      <w:r>
        <w:rPr>
          <w:rStyle w:val="17"/>
          <w:rFonts w:hint="eastAsia" w:ascii="仿宋" w:hAnsi="仿宋" w:eastAsia="仿宋"/>
          <w:b w:val="0"/>
          <w:bCs/>
          <w:color w:val="auto"/>
          <w:sz w:val="32"/>
          <w:szCs w:val="32"/>
        </w:rPr>
        <w:t>%。这类支出为项目支出，主要用于留守学生之家建设及运行经费、惠民帮扶中心青少年事务窗口和青少年服务平台经费、团委相关专项工作经费等。未完成部分为留守学生之家建设及运行工作未完成等造成的。2012999其他群众团体事务支出</w:t>
      </w:r>
      <w:r>
        <w:rPr>
          <w:rStyle w:val="17"/>
          <w:rFonts w:hint="eastAsia" w:ascii="仿宋" w:hAnsi="仿宋" w:eastAsia="仿宋"/>
          <w:b w:val="0"/>
          <w:bCs/>
          <w:color w:val="auto"/>
          <w:sz w:val="32"/>
          <w:szCs w:val="32"/>
          <w:lang w:val="en-US" w:eastAsia="zh-CN"/>
        </w:rPr>
        <w:t>4.8</w:t>
      </w:r>
      <w:r>
        <w:rPr>
          <w:rStyle w:val="17"/>
          <w:rFonts w:hint="eastAsia" w:ascii="仿宋" w:hAnsi="仿宋" w:eastAsia="仿宋"/>
          <w:b w:val="0"/>
          <w:bCs/>
          <w:color w:val="auto"/>
          <w:sz w:val="32"/>
          <w:szCs w:val="32"/>
        </w:rPr>
        <w:t>万元，完成预算100%。决算数等于预算数。</w:t>
      </w:r>
    </w:p>
    <w:p>
      <w:pPr>
        <w:pageBreakBefore w:val="0"/>
        <w:kinsoku/>
        <w:wordWrap/>
        <w:overflowPunct/>
        <w:topLinePunct w:val="0"/>
        <w:autoSpaceDE/>
        <w:autoSpaceDN/>
        <w:bidi w:val="0"/>
        <w:adjustRightInd/>
        <w:snapToGrid/>
        <w:spacing w:line="600" w:lineRule="exact"/>
        <w:ind w:firstLine="643" w:firstLineChars="200"/>
        <w:textAlignment w:val="auto"/>
        <w:rPr>
          <w:rFonts w:ascii="仿宋" w:hAnsi="仿宋" w:eastAsia="仿宋"/>
          <w:b/>
          <w:color w:val="auto"/>
          <w:sz w:val="32"/>
          <w:szCs w:val="32"/>
        </w:rPr>
      </w:pPr>
      <w:r>
        <w:rPr>
          <w:rStyle w:val="17"/>
          <w:rFonts w:ascii="仿宋" w:hAnsi="仿宋" w:eastAsia="仿宋"/>
          <w:bCs/>
          <w:color w:val="auto"/>
          <w:sz w:val="32"/>
          <w:szCs w:val="32"/>
        </w:rPr>
        <w:t>2.</w:t>
      </w:r>
      <w:r>
        <w:rPr>
          <w:rStyle w:val="17"/>
          <w:rFonts w:hint="eastAsia" w:ascii="仿宋" w:hAnsi="仿宋" w:eastAsia="仿宋"/>
          <w:bCs/>
          <w:color w:val="auto"/>
          <w:sz w:val="32"/>
          <w:szCs w:val="32"/>
        </w:rPr>
        <w:t>社会保障和就业</w:t>
      </w:r>
      <w:r>
        <w:rPr>
          <w:rStyle w:val="17"/>
          <w:rFonts w:ascii="仿宋" w:hAnsi="仿宋" w:eastAsia="仿宋"/>
          <w:bCs/>
          <w:color w:val="auto"/>
          <w:sz w:val="32"/>
          <w:szCs w:val="32"/>
        </w:rPr>
        <w:t>:</w:t>
      </w:r>
      <w:r>
        <w:rPr>
          <w:rStyle w:val="17"/>
          <w:rFonts w:ascii="仿宋" w:hAnsi="仿宋" w:eastAsia="仿宋"/>
          <w:b w:val="0"/>
          <w:bCs/>
          <w:color w:val="auto"/>
          <w:sz w:val="32"/>
          <w:szCs w:val="32"/>
        </w:rPr>
        <w:t xml:space="preserve"> </w:t>
      </w:r>
      <w:r>
        <w:rPr>
          <w:rStyle w:val="17"/>
          <w:rFonts w:hint="eastAsia" w:ascii="仿宋" w:hAnsi="仿宋" w:eastAsia="仿宋"/>
          <w:b w:val="0"/>
          <w:bCs/>
          <w:color w:val="auto"/>
          <w:sz w:val="32"/>
          <w:szCs w:val="32"/>
        </w:rPr>
        <w:t>2080505机关事业单位基本养老保险缴费支出决算为</w:t>
      </w:r>
      <w:r>
        <w:rPr>
          <w:rStyle w:val="17"/>
          <w:rFonts w:hint="eastAsia" w:ascii="仿宋" w:hAnsi="仿宋" w:eastAsia="仿宋"/>
          <w:b w:val="0"/>
          <w:bCs/>
          <w:color w:val="auto"/>
          <w:sz w:val="32"/>
          <w:szCs w:val="32"/>
          <w:lang w:val="en-US" w:eastAsia="zh-CN"/>
        </w:rPr>
        <w:t>3.44</w:t>
      </w:r>
      <w:r>
        <w:rPr>
          <w:rStyle w:val="17"/>
          <w:rFonts w:hint="eastAsia" w:ascii="仿宋" w:hAnsi="仿宋" w:eastAsia="仿宋"/>
          <w:b w:val="0"/>
          <w:bCs/>
          <w:color w:val="auto"/>
          <w:sz w:val="32"/>
          <w:szCs w:val="32"/>
        </w:rPr>
        <w:t>万元，完成预算100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，决算数等于预算数。</w:t>
      </w:r>
      <w:r>
        <w:rPr>
          <w:rStyle w:val="17"/>
          <w:rFonts w:hint="eastAsia" w:ascii="仿宋" w:hAnsi="仿宋" w:eastAsia="仿宋"/>
          <w:b w:val="0"/>
          <w:bCs/>
          <w:color w:val="auto"/>
          <w:sz w:val="32"/>
          <w:szCs w:val="32"/>
          <w:lang w:val="en-US" w:eastAsia="zh-CN"/>
        </w:rPr>
        <w:t>2080506机关事业单位职业年金缴费支出为1.7万元，完成预算100%，决算数等于预算数。</w:t>
      </w:r>
      <w:r>
        <w:rPr>
          <w:rStyle w:val="17"/>
          <w:rFonts w:hint="eastAsia" w:ascii="仿宋" w:hAnsi="仿宋" w:eastAsia="仿宋"/>
          <w:b w:val="0"/>
          <w:bCs/>
          <w:color w:val="auto"/>
          <w:sz w:val="32"/>
          <w:szCs w:val="32"/>
        </w:rPr>
        <w:t>2089901其他社会就业支出决算为0.11，完成预算100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，决算数等于预算数。</w:t>
      </w:r>
    </w:p>
    <w:p>
      <w:pPr>
        <w:pageBreakBefore w:val="0"/>
        <w:kinsoku/>
        <w:wordWrap/>
        <w:overflowPunct/>
        <w:topLinePunct w:val="0"/>
        <w:autoSpaceDE/>
        <w:autoSpaceDN/>
        <w:bidi w:val="0"/>
        <w:adjustRightInd/>
        <w:snapToGrid/>
        <w:spacing w:line="600" w:lineRule="exact"/>
        <w:ind w:firstLine="643" w:firstLineChars="200"/>
        <w:textAlignment w:val="auto"/>
        <w:rPr>
          <w:rFonts w:ascii="仿宋" w:hAnsi="仿宋" w:eastAsia="仿宋"/>
          <w:b/>
          <w:color w:val="auto"/>
          <w:sz w:val="32"/>
          <w:szCs w:val="32"/>
        </w:rPr>
      </w:pPr>
      <w:r>
        <w:rPr>
          <w:rStyle w:val="17"/>
          <w:rFonts w:hint="eastAsia" w:ascii="仿宋" w:hAnsi="仿宋" w:eastAsia="仿宋"/>
          <w:bCs/>
          <w:color w:val="auto"/>
          <w:sz w:val="32"/>
          <w:szCs w:val="32"/>
          <w:lang w:val="en-US" w:eastAsia="zh-CN"/>
        </w:rPr>
        <w:t>3</w:t>
      </w:r>
      <w:r>
        <w:rPr>
          <w:rStyle w:val="17"/>
          <w:rFonts w:ascii="仿宋" w:hAnsi="仿宋" w:eastAsia="仿宋"/>
          <w:bCs/>
          <w:color w:val="auto"/>
          <w:sz w:val="32"/>
          <w:szCs w:val="32"/>
        </w:rPr>
        <w:t>.</w:t>
      </w:r>
      <w:r>
        <w:rPr>
          <w:rStyle w:val="17"/>
          <w:rFonts w:hint="eastAsia" w:ascii="仿宋" w:hAnsi="仿宋" w:eastAsia="仿宋"/>
          <w:bCs/>
          <w:color w:val="auto"/>
          <w:sz w:val="32"/>
          <w:szCs w:val="32"/>
        </w:rPr>
        <w:t>医疗卫生与计划生育</w:t>
      </w:r>
      <w:r>
        <w:rPr>
          <w:rStyle w:val="17"/>
          <w:rFonts w:ascii="仿宋" w:hAnsi="仿宋" w:eastAsia="仿宋"/>
          <w:bCs/>
          <w:color w:val="auto"/>
          <w:sz w:val="32"/>
          <w:szCs w:val="32"/>
        </w:rPr>
        <w:t>:</w:t>
      </w:r>
      <w:r>
        <w:rPr>
          <w:rStyle w:val="17"/>
          <w:rFonts w:hint="eastAsia" w:ascii="仿宋" w:hAnsi="仿宋" w:eastAsia="仿宋"/>
          <w:b w:val="0"/>
          <w:bCs/>
          <w:color w:val="auto"/>
          <w:sz w:val="32"/>
          <w:szCs w:val="32"/>
        </w:rPr>
        <w:t>2101101行政单位医疗支出决算为</w:t>
      </w:r>
      <w:r>
        <w:rPr>
          <w:rStyle w:val="17"/>
          <w:rFonts w:hint="eastAsia" w:ascii="仿宋" w:hAnsi="仿宋" w:eastAsia="仿宋"/>
          <w:b w:val="0"/>
          <w:bCs/>
          <w:color w:val="auto"/>
          <w:sz w:val="32"/>
          <w:szCs w:val="32"/>
          <w:lang w:val="en-US" w:eastAsia="zh-CN"/>
        </w:rPr>
        <w:t>1.51</w:t>
      </w:r>
      <w:r>
        <w:rPr>
          <w:rStyle w:val="17"/>
          <w:rFonts w:hint="eastAsia" w:ascii="仿宋" w:hAnsi="仿宋" w:eastAsia="仿宋"/>
          <w:b w:val="0"/>
          <w:bCs/>
          <w:color w:val="auto"/>
          <w:sz w:val="32"/>
          <w:szCs w:val="32"/>
        </w:rPr>
        <w:t>万元，完成预算100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，决算数等于预算数。2101103公务员医疗补助支出决算为</w:t>
      </w:r>
      <w:r>
        <w:rPr>
          <w:rStyle w:val="17"/>
          <w:rFonts w:hint="eastAsia" w:ascii="仿宋" w:hAnsi="仿宋" w:eastAsia="仿宋"/>
          <w:b w:val="0"/>
          <w:bCs/>
          <w:color w:val="auto"/>
          <w:sz w:val="32"/>
          <w:szCs w:val="32"/>
          <w:lang w:val="en-US" w:eastAsia="zh-CN"/>
        </w:rPr>
        <w:t>0.22</w:t>
      </w:r>
      <w:r>
        <w:rPr>
          <w:rStyle w:val="17"/>
          <w:rFonts w:hint="eastAsia" w:ascii="仿宋" w:hAnsi="仿宋" w:eastAsia="仿宋"/>
          <w:b w:val="0"/>
          <w:bCs/>
          <w:color w:val="auto"/>
          <w:sz w:val="32"/>
          <w:szCs w:val="32"/>
        </w:rPr>
        <w:t>万元，完成预算</w:t>
      </w:r>
      <w:r>
        <w:rPr>
          <w:rStyle w:val="17"/>
          <w:rFonts w:hint="eastAsia" w:ascii="仿宋" w:hAnsi="仿宋" w:eastAsia="仿宋"/>
          <w:b w:val="0"/>
          <w:bCs/>
          <w:color w:val="auto"/>
          <w:sz w:val="32"/>
          <w:szCs w:val="32"/>
          <w:lang w:val="en-US" w:eastAsia="zh-CN"/>
        </w:rPr>
        <w:t>100</w:t>
      </w:r>
      <w:r>
        <w:rPr>
          <w:rStyle w:val="17"/>
          <w:rFonts w:hint="eastAsia" w:ascii="仿宋" w:hAnsi="仿宋" w:eastAsia="仿宋"/>
          <w:b w:val="0"/>
          <w:bCs/>
          <w:color w:val="auto"/>
          <w:sz w:val="32"/>
          <w:szCs w:val="32"/>
        </w:rPr>
        <w:t>%，决算数等于预算数。</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.住房保障支出：住房公积金预算支出</w:t>
      </w:r>
      <w:r>
        <w:rPr>
          <w:rFonts w:hint="eastAsia" w:ascii="仿宋" w:hAnsi="仿宋" w:eastAsia="仿宋"/>
          <w:color w:val="auto"/>
          <w:sz w:val="32"/>
          <w:szCs w:val="32"/>
          <w:lang w:val="en-US" w:eastAsia="zh-CN"/>
        </w:rPr>
        <w:t>3.45</w:t>
      </w:r>
      <w:r>
        <w:rPr>
          <w:rFonts w:hint="eastAsia" w:ascii="仿宋" w:hAnsi="仿宋" w:eastAsia="仿宋"/>
          <w:color w:val="auto"/>
          <w:sz w:val="32"/>
          <w:szCs w:val="32"/>
        </w:rPr>
        <w:t>万元，完成预算</w:t>
      </w:r>
      <w:r>
        <w:rPr>
          <w:rFonts w:hint="eastAsia" w:ascii="仿宋" w:hAnsi="仿宋" w:eastAsia="仿宋"/>
          <w:color w:val="auto"/>
          <w:sz w:val="32"/>
          <w:szCs w:val="32"/>
          <w:lang w:val="en-US" w:eastAsia="zh-CN"/>
        </w:rPr>
        <w:t>135</w:t>
      </w:r>
      <w:r>
        <w:rPr>
          <w:rFonts w:hint="eastAsia" w:ascii="仿宋" w:hAnsi="仿宋" w:eastAsia="仿宋"/>
          <w:color w:val="auto"/>
          <w:sz w:val="32"/>
          <w:szCs w:val="32"/>
        </w:rPr>
        <w:t>%，决算支出</w:t>
      </w:r>
      <w:r>
        <w:rPr>
          <w:rFonts w:hint="eastAsia" w:ascii="仿宋" w:hAnsi="仿宋" w:eastAsia="仿宋"/>
          <w:color w:val="auto"/>
          <w:sz w:val="32"/>
          <w:szCs w:val="32"/>
          <w:lang w:eastAsia="zh-CN"/>
        </w:rPr>
        <w:t>大</w:t>
      </w:r>
      <w:r>
        <w:rPr>
          <w:rFonts w:hint="eastAsia" w:ascii="仿宋" w:hAnsi="仿宋" w:eastAsia="仿宋"/>
          <w:color w:val="auto"/>
          <w:sz w:val="32"/>
          <w:szCs w:val="32"/>
        </w:rPr>
        <w:t>于预算，主要原因是财政拨付</w:t>
      </w:r>
      <w:r>
        <w:rPr>
          <w:rFonts w:hint="eastAsia" w:ascii="仿宋" w:hAnsi="仿宋" w:eastAsia="仿宋"/>
          <w:color w:val="auto"/>
          <w:sz w:val="32"/>
          <w:szCs w:val="32"/>
          <w:lang w:val="en-US" w:eastAsia="zh-CN"/>
        </w:rPr>
        <w:t>2019年未拨付</w:t>
      </w:r>
      <w:r>
        <w:rPr>
          <w:rFonts w:hint="eastAsia" w:ascii="仿宋" w:hAnsi="仿宋" w:eastAsia="仿宋"/>
          <w:color w:val="auto"/>
          <w:sz w:val="32"/>
          <w:szCs w:val="32"/>
        </w:rPr>
        <w:t>经费造成。</w:t>
      </w:r>
    </w:p>
    <w:p>
      <w:pPr>
        <w:pageBreakBefore w:val="0"/>
        <w:kinsoku/>
        <w:wordWrap/>
        <w:overflowPunct/>
        <w:topLinePunct w:val="0"/>
        <w:autoSpaceDE/>
        <w:autoSpaceDN/>
        <w:bidi w:val="0"/>
        <w:adjustRightInd/>
        <w:snapToGrid/>
        <w:spacing w:line="600" w:lineRule="exact"/>
        <w:ind w:firstLine="640"/>
        <w:textAlignment w:val="auto"/>
        <w:rPr>
          <w:rFonts w:ascii="仿宋" w:hAnsi="仿宋" w:eastAsia="仿宋"/>
          <w:b/>
          <w:color w:val="auto"/>
          <w:sz w:val="32"/>
          <w:szCs w:val="32"/>
        </w:rPr>
      </w:pPr>
      <w:r>
        <w:rPr>
          <w:rFonts w:hint="eastAsia" w:ascii="仿宋" w:hAnsi="仿宋" w:eastAsia="仿宋"/>
          <w:b/>
          <w:color w:val="auto"/>
          <w:sz w:val="32"/>
          <w:szCs w:val="32"/>
        </w:rPr>
        <w:t>（数据来源财决</w:t>
      </w:r>
      <w:r>
        <w:rPr>
          <w:rFonts w:ascii="仿宋" w:hAnsi="仿宋" w:eastAsia="仿宋"/>
          <w:b/>
          <w:color w:val="auto"/>
          <w:sz w:val="32"/>
          <w:szCs w:val="32"/>
        </w:rPr>
        <w:t>08</w:t>
      </w:r>
      <w:r>
        <w:rPr>
          <w:rFonts w:hint="eastAsia" w:ascii="仿宋" w:hAnsi="仿宋" w:eastAsia="仿宋"/>
          <w:b/>
          <w:color w:val="auto"/>
          <w:sz w:val="32"/>
          <w:szCs w:val="32"/>
        </w:rPr>
        <w:t>表，罗列全部功能分类科目至项级。上述“预算”口径为调整预算数。增减变动原因为决算数</w:t>
      </w:r>
      <w:r>
        <w:rPr>
          <w:rFonts w:hint="eastAsia" w:ascii="仿宋" w:hAnsi="仿宋" w:eastAsia="仿宋"/>
          <w:b/>
          <w:color w:val="auto"/>
          <w:sz w:val="32"/>
          <w:szCs w:val="32"/>
          <w:lang w:eastAsia="zh-CN"/>
        </w:rPr>
        <w:t>〈</w:t>
      </w:r>
      <w:r>
        <w:rPr>
          <w:rFonts w:hint="eastAsia" w:ascii="仿宋" w:hAnsi="仿宋" w:eastAsia="仿宋"/>
          <w:b/>
          <w:color w:val="auto"/>
          <w:sz w:val="32"/>
          <w:szCs w:val="32"/>
        </w:rPr>
        <w:t>项级</w:t>
      </w:r>
      <w:r>
        <w:rPr>
          <w:rFonts w:hint="eastAsia" w:ascii="仿宋" w:hAnsi="仿宋" w:eastAsia="仿宋"/>
          <w:b/>
          <w:color w:val="auto"/>
          <w:sz w:val="32"/>
          <w:szCs w:val="32"/>
          <w:lang w:eastAsia="zh-CN"/>
        </w:rPr>
        <w:t>〉</w:t>
      </w:r>
      <w:r>
        <w:rPr>
          <w:rFonts w:hint="eastAsia" w:ascii="仿宋" w:hAnsi="仿宋" w:eastAsia="仿宋"/>
          <w:b/>
          <w:color w:val="auto"/>
          <w:sz w:val="32"/>
          <w:szCs w:val="32"/>
        </w:rPr>
        <w:t>和调整预算数</w:t>
      </w:r>
      <w:r>
        <w:rPr>
          <w:rFonts w:hint="eastAsia" w:ascii="仿宋" w:hAnsi="仿宋" w:eastAsia="仿宋"/>
          <w:b/>
          <w:color w:val="auto"/>
          <w:sz w:val="32"/>
          <w:szCs w:val="32"/>
          <w:lang w:eastAsia="zh-CN"/>
        </w:rPr>
        <w:t>〈</w:t>
      </w:r>
      <w:r>
        <w:rPr>
          <w:rFonts w:hint="eastAsia" w:ascii="仿宋" w:hAnsi="仿宋" w:eastAsia="仿宋"/>
          <w:b/>
          <w:color w:val="auto"/>
          <w:sz w:val="32"/>
          <w:szCs w:val="32"/>
        </w:rPr>
        <w:t>项级</w:t>
      </w:r>
      <w:r>
        <w:rPr>
          <w:rFonts w:hint="eastAsia" w:ascii="仿宋" w:hAnsi="仿宋" w:eastAsia="仿宋"/>
          <w:b/>
          <w:color w:val="auto"/>
          <w:sz w:val="32"/>
          <w:szCs w:val="32"/>
          <w:lang w:eastAsia="zh-CN"/>
        </w:rPr>
        <w:t>〉</w:t>
      </w:r>
      <w:r>
        <w:rPr>
          <w:rFonts w:hint="eastAsia" w:ascii="仿宋" w:hAnsi="仿宋" w:eastAsia="仿宋"/>
          <w:b/>
          <w:color w:val="auto"/>
          <w:sz w:val="32"/>
          <w:szCs w:val="32"/>
        </w:rPr>
        <w:t>比较，与预算数持平可以不写原因。）</w:t>
      </w:r>
    </w:p>
    <w:p>
      <w:pPr>
        <w:pageBreakBefore w:val="0"/>
        <w:tabs>
          <w:tab w:val="right" w:pos="8306"/>
        </w:tabs>
        <w:kinsoku/>
        <w:wordWrap/>
        <w:overflowPunct/>
        <w:topLinePunct w:val="0"/>
        <w:autoSpaceDE/>
        <w:autoSpaceDN/>
        <w:bidi w:val="0"/>
        <w:adjustRightInd/>
        <w:snapToGrid/>
        <w:spacing w:line="600" w:lineRule="exact"/>
        <w:ind w:firstLine="640"/>
        <w:textAlignment w:val="auto"/>
        <w:outlineLvl w:val="1"/>
        <w:rPr>
          <w:rStyle w:val="28"/>
          <w:color w:val="auto"/>
        </w:rPr>
      </w:pPr>
      <w:bookmarkStart w:id="62" w:name="_Toc18865"/>
      <w:bookmarkStart w:id="63" w:name="_Toc17103559"/>
      <w:bookmarkStart w:id="64" w:name="_Toc15377214"/>
      <w:r>
        <w:rPr>
          <w:rStyle w:val="28"/>
          <w:rFonts w:hint="eastAsia" w:ascii="方正黑体简体" w:hAnsi="方正黑体简体" w:eastAsia="方正黑体简体" w:cs="方正黑体简体"/>
          <w:b w:val="0"/>
          <w:bCs w:val="0"/>
          <w:color w:val="auto"/>
        </w:rPr>
        <w:t>六、一般公共预算财政拨款基本支出决算情况说明</w:t>
      </w:r>
      <w:bookmarkEnd w:id="62"/>
      <w:bookmarkEnd w:id="63"/>
      <w:bookmarkEnd w:id="64"/>
      <w:r>
        <w:rPr>
          <w:rStyle w:val="28"/>
          <w:rFonts w:hint="eastAsia" w:ascii="方正黑体简体" w:hAnsi="方正黑体简体" w:eastAsia="方正黑体简体" w:cs="方正黑体简体"/>
          <w:b w:val="0"/>
          <w:bCs w:val="0"/>
          <w:color w:val="auto"/>
        </w:rPr>
        <w:tab/>
      </w:r>
    </w:p>
    <w:p>
      <w:pPr>
        <w:pageBreakBefore w:val="0"/>
        <w:kinsoku/>
        <w:wordWrap/>
        <w:overflowPunct/>
        <w:topLinePunct w:val="0"/>
        <w:autoSpaceDE/>
        <w:autoSpaceDN/>
        <w:bidi w:val="0"/>
        <w:adjustRightInd/>
        <w:snapToGrid/>
        <w:spacing w:line="600" w:lineRule="exact"/>
        <w:ind w:firstLine="645"/>
        <w:textAlignment w:val="auto"/>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年一般公共预算财政拨款基本支出</w:t>
      </w:r>
      <w:r>
        <w:rPr>
          <w:rFonts w:hint="eastAsia" w:ascii="仿宋" w:hAnsi="仿宋" w:eastAsia="仿宋"/>
          <w:color w:val="auto"/>
          <w:sz w:val="32"/>
          <w:szCs w:val="32"/>
          <w:lang w:val="en-US" w:eastAsia="zh-CN"/>
        </w:rPr>
        <w:t>74.66</w:t>
      </w:r>
      <w:r>
        <w:rPr>
          <w:rFonts w:hint="eastAsia" w:ascii="仿宋" w:hAnsi="仿宋" w:eastAsia="仿宋"/>
          <w:color w:val="auto"/>
          <w:sz w:val="32"/>
          <w:szCs w:val="32"/>
        </w:rPr>
        <w:t>万元，其中：</w:t>
      </w:r>
    </w:p>
    <w:p>
      <w:pPr>
        <w:pageBreakBefore w:val="0"/>
        <w:kinsoku/>
        <w:wordWrap/>
        <w:overflowPunct/>
        <w:topLinePunct w:val="0"/>
        <w:autoSpaceDE/>
        <w:autoSpaceDN/>
        <w:bidi w:val="0"/>
        <w:adjustRightInd/>
        <w:snapToGrid/>
        <w:spacing w:line="60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人员经费</w:t>
      </w:r>
      <w:r>
        <w:rPr>
          <w:rFonts w:hint="eastAsia" w:ascii="仿宋" w:hAnsi="仿宋" w:eastAsia="仿宋"/>
          <w:color w:val="auto"/>
          <w:sz w:val="32"/>
          <w:szCs w:val="32"/>
          <w:lang w:val="en-US" w:eastAsia="zh-CN"/>
        </w:rPr>
        <w:t>67.76</w:t>
      </w:r>
      <w:r>
        <w:rPr>
          <w:rFonts w:hint="eastAsia" w:ascii="仿宋" w:hAnsi="仿宋" w:eastAsia="仿宋"/>
          <w:color w:val="auto"/>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pageBreakBefore w:val="0"/>
        <w:kinsoku/>
        <w:wordWrap/>
        <w:overflowPunct/>
        <w:topLinePunct w:val="0"/>
        <w:autoSpaceDE/>
        <w:autoSpaceDN/>
        <w:bidi w:val="0"/>
        <w:adjustRightInd/>
        <w:snapToGrid/>
        <w:spacing w:line="60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公用经费</w:t>
      </w:r>
      <w:r>
        <w:rPr>
          <w:rFonts w:hint="eastAsia" w:ascii="仿宋" w:hAnsi="仿宋" w:eastAsia="仿宋"/>
          <w:color w:val="auto"/>
          <w:sz w:val="32"/>
          <w:szCs w:val="32"/>
          <w:lang w:val="en-US" w:eastAsia="zh-CN"/>
        </w:rPr>
        <w:t>6.91</w:t>
      </w:r>
      <w:r>
        <w:rPr>
          <w:rFonts w:hint="eastAsia" w:ascii="仿宋" w:hAnsi="仿宋" w:eastAsia="仿宋"/>
          <w:color w:val="auto"/>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ageBreakBefore w:val="0"/>
        <w:kinsoku/>
        <w:wordWrap/>
        <w:overflowPunct/>
        <w:topLinePunct w:val="0"/>
        <w:autoSpaceDE/>
        <w:autoSpaceDN/>
        <w:bidi w:val="0"/>
        <w:adjustRightInd/>
        <w:snapToGrid/>
        <w:spacing w:line="600" w:lineRule="exact"/>
        <w:ind w:firstLine="640"/>
        <w:textAlignment w:val="auto"/>
        <w:rPr>
          <w:rFonts w:ascii="仿宋" w:hAnsi="仿宋" w:eastAsia="仿宋"/>
          <w:b/>
          <w:color w:val="auto"/>
          <w:sz w:val="32"/>
          <w:szCs w:val="32"/>
        </w:rPr>
      </w:pPr>
      <w:r>
        <w:rPr>
          <w:rFonts w:hint="eastAsia" w:ascii="仿宋" w:hAnsi="仿宋" w:eastAsia="仿宋"/>
          <w:b/>
          <w:color w:val="auto"/>
          <w:sz w:val="32"/>
          <w:szCs w:val="32"/>
        </w:rPr>
        <w:t>（数据来源财决</w:t>
      </w:r>
      <w:r>
        <w:rPr>
          <w:rFonts w:ascii="仿宋" w:hAnsi="仿宋" w:eastAsia="仿宋"/>
          <w:b/>
          <w:color w:val="auto"/>
          <w:sz w:val="32"/>
          <w:szCs w:val="32"/>
        </w:rPr>
        <w:t>0</w:t>
      </w:r>
      <w:r>
        <w:rPr>
          <w:rFonts w:hint="eastAsia" w:ascii="仿宋" w:hAnsi="仿宋" w:eastAsia="仿宋"/>
          <w:b/>
          <w:color w:val="auto"/>
          <w:sz w:val="32"/>
          <w:szCs w:val="32"/>
        </w:rPr>
        <w:t>7表，根据本部门实际支出情况罗列全部经济分类科目。）</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65" w:name="_Toc15377215"/>
      <w:bookmarkStart w:id="66" w:name="_Toc17103560"/>
      <w:bookmarkStart w:id="67" w:name="_Toc26840"/>
      <w:r>
        <w:rPr>
          <w:rStyle w:val="28"/>
          <w:rFonts w:hint="eastAsia" w:ascii="方正黑体简体" w:hAnsi="方正黑体简体" w:eastAsia="方正黑体简体" w:cs="方正黑体简体"/>
          <w:b w:val="0"/>
          <w:bCs w:val="0"/>
          <w:color w:val="auto"/>
        </w:rPr>
        <w:t>七、“三公”经费财政拨款支出决算情况说明</w:t>
      </w:r>
      <w:bookmarkEnd w:id="65"/>
      <w:bookmarkEnd w:id="66"/>
    </w:p>
    <w:bookmarkEnd w:id="67"/>
    <w:p>
      <w:pPr>
        <w:pStyle w:val="4"/>
        <w:pageBreakBefore w:val="0"/>
        <w:kinsoku/>
        <w:wordWrap/>
        <w:overflowPunct/>
        <w:topLinePunct w:val="0"/>
        <w:autoSpaceDE/>
        <w:autoSpaceDN/>
        <w:bidi w:val="0"/>
        <w:adjustRightInd/>
        <w:snapToGrid/>
        <w:spacing w:before="0" w:after="0" w:line="600" w:lineRule="exact"/>
        <w:ind w:firstLine="643" w:firstLineChars="200"/>
        <w:textAlignment w:val="auto"/>
        <w:rPr>
          <w:rFonts w:hint="eastAsia" w:ascii="方正仿宋简体" w:hAnsi="方正仿宋简体" w:eastAsia="方正仿宋简体" w:cs="方正仿宋简体"/>
          <w:color w:val="auto"/>
        </w:rPr>
      </w:pPr>
      <w:bookmarkStart w:id="68" w:name="_Toc15377216"/>
      <w:bookmarkStart w:id="69" w:name="_Toc31706"/>
      <w:r>
        <w:rPr>
          <w:rFonts w:hint="eastAsia" w:ascii="方正仿宋简体" w:hAnsi="方正仿宋简体" w:eastAsia="方正仿宋简体" w:cs="方正仿宋简体"/>
          <w:color w:val="auto"/>
        </w:rPr>
        <w:t>（一）“三公”经费财政拨款支出决算总体情况说明</w:t>
      </w:r>
      <w:bookmarkEnd w:id="68"/>
      <w:bookmarkEnd w:id="69"/>
    </w:p>
    <w:p>
      <w:pPr>
        <w:pageBreakBefore w:val="0"/>
        <w:kinsoku/>
        <w:wordWrap/>
        <w:overflowPunct/>
        <w:topLinePunct w:val="0"/>
        <w:autoSpaceDE/>
        <w:autoSpaceDN/>
        <w:bidi w:val="0"/>
        <w:adjustRightInd/>
        <w:snapToGrid/>
        <w:spacing w:line="600" w:lineRule="exact"/>
        <w:ind w:firstLine="640"/>
        <w:textAlignment w:val="auto"/>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年“三公”经费财政拨款支出决算为0万元，完成预算0</w:t>
      </w:r>
      <w:r>
        <w:rPr>
          <w:rFonts w:ascii="仿宋" w:hAnsi="仿宋" w:eastAsia="仿宋"/>
          <w:color w:val="auto"/>
          <w:sz w:val="32"/>
          <w:szCs w:val="32"/>
        </w:rPr>
        <w:t>%</w:t>
      </w:r>
      <w:r>
        <w:rPr>
          <w:rFonts w:hint="eastAsia" w:ascii="仿宋" w:hAnsi="仿宋" w:eastAsia="仿宋"/>
          <w:color w:val="auto"/>
          <w:sz w:val="32"/>
          <w:szCs w:val="32"/>
        </w:rPr>
        <w:t>。</w:t>
      </w:r>
    </w:p>
    <w:p>
      <w:pPr>
        <w:pageBreakBefore w:val="0"/>
        <w:kinsoku/>
        <w:wordWrap/>
        <w:overflowPunct/>
        <w:topLinePunct w:val="0"/>
        <w:autoSpaceDE/>
        <w:autoSpaceDN/>
        <w:bidi w:val="0"/>
        <w:adjustRightInd/>
        <w:snapToGrid/>
        <w:spacing w:line="600" w:lineRule="exact"/>
        <w:ind w:firstLine="640"/>
        <w:textAlignment w:val="auto"/>
        <w:rPr>
          <w:rFonts w:ascii="仿宋" w:hAnsi="仿宋" w:eastAsia="仿宋"/>
          <w:b/>
          <w:color w:val="auto"/>
          <w:sz w:val="32"/>
          <w:szCs w:val="32"/>
        </w:rPr>
      </w:pPr>
      <w:r>
        <w:rPr>
          <w:rFonts w:hint="eastAsia" w:ascii="仿宋" w:hAnsi="仿宋" w:eastAsia="仿宋"/>
          <w:b/>
          <w:color w:val="auto"/>
          <w:sz w:val="32"/>
          <w:szCs w:val="32"/>
        </w:rPr>
        <w:t>（上述“预算”口径为调整预算数，包括政府性基金支出决算情况。）</w:t>
      </w:r>
    </w:p>
    <w:p>
      <w:pPr>
        <w:pageBreakBefore w:val="0"/>
        <w:kinsoku/>
        <w:wordWrap/>
        <w:overflowPunct/>
        <w:topLinePunct w:val="0"/>
        <w:autoSpaceDE/>
        <w:autoSpaceDN/>
        <w:bidi w:val="0"/>
        <w:adjustRightInd/>
        <w:snapToGrid/>
        <w:spacing w:line="600" w:lineRule="exact"/>
        <w:ind w:firstLine="640"/>
        <w:textAlignment w:val="auto"/>
        <w:outlineLvl w:val="2"/>
        <w:rPr>
          <w:rFonts w:hint="eastAsia" w:ascii="方正仿宋简体" w:hAnsi="方正仿宋简体" w:eastAsia="方正仿宋简体" w:cs="方正仿宋简体"/>
          <w:b/>
          <w:bCs/>
          <w:color w:val="auto"/>
          <w:kern w:val="2"/>
          <w:sz w:val="32"/>
          <w:szCs w:val="32"/>
          <w:lang w:val="en-US" w:eastAsia="zh-CN" w:bidi="ar-SA"/>
        </w:rPr>
      </w:pPr>
      <w:bookmarkStart w:id="70" w:name="_Toc14114"/>
      <w:bookmarkStart w:id="71" w:name="_Toc15377217"/>
      <w:r>
        <w:rPr>
          <w:rFonts w:hint="eastAsia" w:ascii="仿宋" w:hAnsi="仿宋" w:eastAsia="仿宋"/>
          <w:b/>
          <w:color w:val="auto"/>
          <w:sz w:val="32"/>
          <w:szCs w:val="32"/>
        </w:rPr>
        <w:t>（</w:t>
      </w:r>
      <w:r>
        <w:rPr>
          <w:rFonts w:hint="eastAsia" w:ascii="方正仿宋简体" w:hAnsi="方正仿宋简体" w:eastAsia="方正仿宋简体" w:cs="方正仿宋简体"/>
          <w:b/>
          <w:bCs/>
          <w:color w:val="auto"/>
          <w:kern w:val="2"/>
          <w:sz w:val="32"/>
          <w:szCs w:val="32"/>
          <w:lang w:val="en-US" w:eastAsia="zh-CN" w:bidi="ar-SA"/>
        </w:rPr>
        <w:t>二）“三公”经费财政拨款支出决算具体情况说明</w:t>
      </w:r>
      <w:bookmarkEnd w:id="70"/>
      <w:bookmarkEnd w:id="71"/>
    </w:p>
    <w:p>
      <w:pPr>
        <w:pageBreakBefore w:val="0"/>
        <w:kinsoku/>
        <w:wordWrap/>
        <w:overflowPunct/>
        <w:topLinePunct w:val="0"/>
        <w:autoSpaceDE/>
        <w:autoSpaceDN/>
        <w:bidi w:val="0"/>
        <w:adjustRightInd/>
        <w:snapToGrid/>
        <w:spacing w:line="600" w:lineRule="exact"/>
        <w:ind w:firstLine="640"/>
        <w:textAlignment w:val="auto"/>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年“三公”经费财政拨款支出决算中，因公出国（境）费支出决算0万元，占0</w:t>
      </w:r>
      <w:r>
        <w:rPr>
          <w:rFonts w:ascii="仿宋" w:hAnsi="仿宋" w:eastAsia="仿宋"/>
          <w:color w:val="auto"/>
          <w:sz w:val="32"/>
          <w:szCs w:val="32"/>
        </w:rPr>
        <w:t>%</w:t>
      </w:r>
      <w:r>
        <w:rPr>
          <w:rFonts w:hint="eastAsia" w:ascii="仿宋" w:hAnsi="仿宋" w:eastAsia="仿宋"/>
          <w:color w:val="auto"/>
          <w:sz w:val="32"/>
          <w:szCs w:val="32"/>
        </w:rPr>
        <w:t>；公务用车购置及运行维护费支出决算0万元，占0</w:t>
      </w:r>
      <w:r>
        <w:rPr>
          <w:rFonts w:ascii="仿宋" w:hAnsi="仿宋" w:eastAsia="仿宋"/>
          <w:color w:val="auto"/>
          <w:sz w:val="32"/>
          <w:szCs w:val="32"/>
        </w:rPr>
        <w:t>%</w:t>
      </w:r>
      <w:r>
        <w:rPr>
          <w:rFonts w:hint="eastAsia" w:ascii="仿宋" w:hAnsi="仿宋" w:eastAsia="仿宋"/>
          <w:color w:val="auto"/>
          <w:sz w:val="32"/>
          <w:szCs w:val="32"/>
        </w:rPr>
        <w:t>；公务接待费支出决算0万元，占0</w:t>
      </w:r>
      <w:r>
        <w:rPr>
          <w:rFonts w:ascii="仿宋" w:hAnsi="仿宋" w:eastAsia="仿宋"/>
          <w:color w:val="auto"/>
          <w:sz w:val="32"/>
          <w:szCs w:val="32"/>
        </w:rPr>
        <w:t>%</w:t>
      </w:r>
      <w:r>
        <w:rPr>
          <w:rFonts w:hint="eastAsia" w:ascii="仿宋" w:hAnsi="仿宋" w:eastAsia="仿宋"/>
          <w:color w:val="auto"/>
          <w:sz w:val="32"/>
          <w:szCs w:val="32"/>
        </w:rPr>
        <w:t>。具体情况如下：</w:t>
      </w:r>
    </w:p>
    <w:p>
      <w:pPr>
        <w:pageBreakBefore w:val="0"/>
        <w:kinsoku/>
        <w:wordWrap/>
        <w:overflowPunct/>
        <w:topLinePunct w:val="0"/>
        <w:autoSpaceDE/>
        <w:autoSpaceDN/>
        <w:bidi w:val="0"/>
        <w:adjustRightInd/>
        <w:snapToGrid/>
        <w:spacing w:line="600" w:lineRule="exact"/>
        <w:ind w:firstLine="640"/>
        <w:textAlignment w:val="auto"/>
        <w:rPr>
          <w:rFonts w:ascii="仿宋" w:hAnsi="仿宋" w:eastAsia="仿宋"/>
          <w:color w:val="auto"/>
          <w:sz w:val="32"/>
          <w:szCs w:val="32"/>
        </w:rPr>
      </w:pPr>
      <w:r>
        <w:rPr>
          <w:rFonts w:hint="eastAsia" w:ascii="仿宋" w:hAnsi="仿宋" w:eastAsia="仿宋"/>
          <w:color w:val="auto"/>
          <w:sz w:val="32"/>
          <w:szCs w:val="32"/>
        </w:rPr>
        <w:t>（图8：“三公”经费财政拨款支出结构）（饼状图）</w:t>
      </w:r>
    </w:p>
    <w:p>
      <w:pPr>
        <w:pageBreakBefore w:val="0"/>
        <w:kinsoku/>
        <w:wordWrap/>
        <w:overflowPunct/>
        <w:topLinePunct w:val="0"/>
        <w:autoSpaceDE/>
        <w:autoSpaceDN/>
        <w:bidi w:val="0"/>
        <w:adjustRightInd/>
        <w:snapToGrid/>
        <w:spacing w:line="600" w:lineRule="exact"/>
        <w:ind w:firstLine="640"/>
        <w:textAlignment w:val="auto"/>
        <w:rPr>
          <w:rFonts w:ascii="仿宋_GB2312" w:eastAsia="仿宋_GB2312"/>
          <w:b/>
          <w:color w:val="auto"/>
          <w:sz w:val="32"/>
          <w:szCs w:val="32"/>
        </w:rPr>
      </w:pPr>
      <w:r>
        <w:rPr>
          <w:rFonts w:ascii="仿宋_GB2312" w:eastAsia="仿宋_GB2312"/>
          <w:b/>
          <w:color w:val="auto"/>
          <w:sz w:val="32"/>
          <w:szCs w:val="32"/>
        </w:rPr>
        <w:t>1.</w:t>
      </w:r>
      <w:r>
        <w:rPr>
          <w:rFonts w:hint="eastAsia" w:ascii="仿宋_GB2312" w:eastAsia="仿宋_GB2312"/>
          <w:b/>
          <w:color w:val="auto"/>
          <w:sz w:val="32"/>
          <w:szCs w:val="32"/>
        </w:rPr>
        <w:t>因公出国（境）经费支出</w:t>
      </w:r>
      <w:r>
        <w:rPr>
          <w:rFonts w:hint="eastAsia" w:ascii="仿宋_GB2312" w:eastAsia="仿宋_GB2312"/>
          <w:color w:val="auto"/>
          <w:sz w:val="32"/>
          <w:szCs w:val="32"/>
        </w:rPr>
        <w:t>0万元，</w:t>
      </w:r>
      <w:r>
        <w:rPr>
          <w:rStyle w:val="17"/>
          <w:rFonts w:hint="eastAsia" w:ascii="仿宋" w:hAnsi="仿宋" w:eastAsia="仿宋"/>
          <w:b w:val="0"/>
          <w:bCs/>
          <w:color w:val="auto"/>
          <w:sz w:val="32"/>
          <w:szCs w:val="32"/>
        </w:rPr>
        <w:t>完成预算0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w:t>
      </w:r>
      <w:r>
        <w:rPr>
          <w:rFonts w:hint="eastAsia" w:ascii="仿宋_GB2312" w:eastAsia="仿宋_GB2312"/>
          <w:color w:val="auto"/>
          <w:sz w:val="32"/>
          <w:szCs w:val="32"/>
        </w:rPr>
        <w:t>全年安排因公出国（境）团组0次，出国（境）0人。因公出国（境）支出决算比</w:t>
      </w:r>
      <w:r>
        <w:rPr>
          <w:rFonts w:ascii="仿宋_GB2312" w:eastAsia="仿宋_GB2312"/>
          <w:color w:val="auto"/>
          <w:sz w:val="32"/>
          <w:szCs w:val="32"/>
        </w:rPr>
        <w:t>2018</w:t>
      </w:r>
      <w:r>
        <w:rPr>
          <w:rFonts w:hint="eastAsia" w:ascii="仿宋_GB2312" w:eastAsia="仿宋_GB2312"/>
          <w:color w:val="auto"/>
          <w:sz w:val="32"/>
          <w:szCs w:val="32"/>
        </w:rPr>
        <w:t>年增加</w:t>
      </w:r>
      <w:r>
        <w:rPr>
          <w:rFonts w:ascii="仿宋_GB2312" w:eastAsia="仿宋_GB2312"/>
          <w:color w:val="auto"/>
          <w:sz w:val="32"/>
          <w:szCs w:val="32"/>
        </w:rPr>
        <w:t>/</w:t>
      </w:r>
      <w:r>
        <w:rPr>
          <w:rFonts w:hint="eastAsia" w:ascii="仿宋_GB2312" w:eastAsia="仿宋_GB2312"/>
          <w:color w:val="auto"/>
          <w:sz w:val="32"/>
          <w:szCs w:val="32"/>
        </w:rPr>
        <w:t>减少0万元，增长</w:t>
      </w:r>
      <w:r>
        <w:rPr>
          <w:rFonts w:ascii="仿宋_GB2312" w:eastAsia="仿宋_GB2312"/>
          <w:color w:val="auto"/>
          <w:sz w:val="32"/>
          <w:szCs w:val="32"/>
        </w:rPr>
        <w:t>/</w:t>
      </w:r>
      <w:r>
        <w:rPr>
          <w:rFonts w:hint="eastAsia" w:ascii="仿宋_GB2312" w:eastAsia="仿宋_GB2312"/>
          <w:color w:val="auto"/>
          <w:sz w:val="32"/>
          <w:szCs w:val="32"/>
        </w:rPr>
        <w:t>下降0</w:t>
      </w:r>
      <w:r>
        <w:rPr>
          <w:rFonts w:ascii="仿宋_GB2312" w:eastAsia="仿宋_GB2312"/>
          <w:color w:val="auto"/>
          <w:sz w:val="32"/>
          <w:szCs w:val="32"/>
        </w:rPr>
        <w:t>%</w:t>
      </w:r>
      <w:r>
        <w:rPr>
          <w:rFonts w:hint="eastAsia" w:ascii="仿宋_GB2312" w:eastAsia="仿宋_GB2312"/>
          <w:color w:val="auto"/>
          <w:sz w:val="32"/>
          <w:szCs w:val="32"/>
        </w:rPr>
        <w:t>。</w:t>
      </w:r>
    </w:p>
    <w:p>
      <w:pPr>
        <w:pageBreakBefore w:val="0"/>
        <w:kinsoku/>
        <w:wordWrap/>
        <w:overflowPunct/>
        <w:topLinePunct w:val="0"/>
        <w:autoSpaceDE/>
        <w:autoSpaceDN/>
        <w:bidi w:val="0"/>
        <w:adjustRightInd/>
        <w:snapToGrid/>
        <w:spacing w:line="60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开支内容包括：…（团组名称、出访地点、取得成效）等。</w:t>
      </w:r>
    </w:p>
    <w:p>
      <w:pPr>
        <w:pageBreakBefore w:val="0"/>
        <w:kinsoku/>
        <w:wordWrap/>
        <w:overflowPunct/>
        <w:topLinePunct w:val="0"/>
        <w:autoSpaceDE/>
        <w:autoSpaceDN/>
        <w:bidi w:val="0"/>
        <w:adjustRightInd/>
        <w:snapToGrid/>
        <w:spacing w:line="600" w:lineRule="exact"/>
        <w:ind w:firstLine="640"/>
        <w:textAlignment w:val="auto"/>
        <w:rPr>
          <w:rFonts w:ascii="仿宋_GB2312" w:eastAsia="仿宋_GB2312"/>
          <w:b/>
          <w:color w:val="auto"/>
          <w:sz w:val="32"/>
          <w:szCs w:val="32"/>
        </w:rPr>
      </w:pPr>
      <w:r>
        <w:rPr>
          <w:rFonts w:ascii="仿宋_GB2312" w:eastAsia="仿宋_GB2312"/>
          <w:b/>
          <w:color w:val="auto"/>
          <w:sz w:val="32"/>
          <w:szCs w:val="32"/>
        </w:rPr>
        <w:t>2.</w:t>
      </w:r>
      <w:r>
        <w:rPr>
          <w:rFonts w:hint="eastAsia" w:ascii="仿宋_GB2312" w:eastAsia="仿宋_GB2312"/>
          <w:b/>
          <w:color w:val="auto"/>
          <w:sz w:val="32"/>
          <w:szCs w:val="32"/>
        </w:rPr>
        <w:t>公务用车购置及运行维护费支出</w:t>
      </w:r>
      <w:r>
        <w:rPr>
          <w:rFonts w:hint="eastAsia" w:ascii="仿宋_GB2312" w:eastAsia="仿宋_GB2312"/>
          <w:color w:val="auto"/>
          <w:sz w:val="32"/>
          <w:szCs w:val="32"/>
        </w:rPr>
        <w:t>0万元,</w:t>
      </w:r>
      <w:r>
        <w:rPr>
          <w:rStyle w:val="17"/>
          <w:rFonts w:hint="eastAsia" w:ascii="仿宋" w:hAnsi="仿宋" w:eastAsia="仿宋"/>
          <w:b w:val="0"/>
          <w:bCs/>
          <w:color w:val="auto"/>
          <w:sz w:val="32"/>
          <w:szCs w:val="32"/>
        </w:rPr>
        <w:t>完成预算0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w:t>
      </w:r>
      <w:r>
        <w:rPr>
          <w:rFonts w:hint="eastAsia" w:ascii="仿宋_GB2312" w:eastAsia="仿宋_GB2312"/>
          <w:color w:val="auto"/>
          <w:sz w:val="32"/>
          <w:szCs w:val="32"/>
        </w:rPr>
        <w:t>公务用车购置及运行维护费支出决算比</w:t>
      </w:r>
      <w:r>
        <w:rPr>
          <w:rFonts w:ascii="仿宋_GB2312" w:eastAsia="仿宋_GB2312"/>
          <w:color w:val="auto"/>
          <w:sz w:val="32"/>
          <w:szCs w:val="32"/>
        </w:rPr>
        <w:t>20</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年增加</w:t>
      </w:r>
      <w:r>
        <w:rPr>
          <w:rFonts w:ascii="仿宋_GB2312" w:eastAsia="仿宋_GB2312"/>
          <w:color w:val="auto"/>
          <w:sz w:val="32"/>
          <w:szCs w:val="32"/>
        </w:rPr>
        <w:t>/</w:t>
      </w:r>
      <w:r>
        <w:rPr>
          <w:rFonts w:hint="eastAsia" w:ascii="仿宋_GB2312" w:eastAsia="仿宋_GB2312"/>
          <w:color w:val="auto"/>
          <w:sz w:val="32"/>
          <w:szCs w:val="32"/>
        </w:rPr>
        <w:t>减少0万元，增长</w:t>
      </w:r>
      <w:r>
        <w:rPr>
          <w:rFonts w:ascii="仿宋_GB2312" w:eastAsia="仿宋_GB2312"/>
          <w:color w:val="auto"/>
          <w:sz w:val="32"/>
          <w:szCs w:val="32"/>
        </w:rPr>
        <w:t>/</w:t>
      </w:r>
      <w:r>
        <w:rPr>
          <w:rFonts w:hint="eastAsia" w:ascii="仿宋_GB2312" w:eastAsia="仿宋_GB2312"/>
          <w:color w:val="auto"/>
          <w:sz w:val="32"/>
          <w:szCs w:val="32"/>
        </w:rPr>
        <w:t>下降0</w:t>
      </w:r>
      <w:r>
        <w:rPr>
          <w:rFonts w:ascii="仿宋_GB2312" w:eastAsia="仿宋_GB2312"/>
          <w:color w:val="auto"/>
          <w:sz w:val="32"/>
          <w:szCs w:val="32"/>
        </w:rPr>
        <w:t>%</w:t>
      </w:r>
      <w:r>
        <w:rPr>
          <w:rFonts w:hint="eastAsia" w:ascii="仿宋_GB2312" w:eastAsia="仿宋_GB2312"/>
          <w:color w:val="auto"/>
          <w:sz w:val="32"/>
          <w:szCs w:val="32"/>
        </w:rPr>
        <w:t>。</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b/>
          <w:color w:val="auto"/>
          <w:sz w:val="32"/>
          <w:szCs w:val="32"/>
        </w:rPr>
      </w:pPr>
      <w:r>
        <w:rPr>
          <w:rFonts w:hint="eastAsia" w:ascii="仿宋_GB2312" w:eastAsia="仿宋_GB2312"/>
          <w:color w:val="auto"/>
          <w:sz w:val="32"/>
          <w:szCs w:val="32"/>
        </w:rPr>
        <w:t>其中：</w:t>
      </w:r>
      <w:r>
        <w:rPr>
          <w:rFonts w:hint="eastAsia" w:ascii="仿宋_GB2312" w:eastAsia="仿宋_GB2312"/>
          <w:b/>
          <w:color w:val="auto"/>
          <w:sz w:val="32"/>
          <w:szCs w:val="32"/>
        </w:rPr>
        <w:t>公务用车购置支出</w:t>
      </w:r>
      <w:r>
        <w:rPr>
          <w:rFonts w:hint="eastAsia" w:ascii="仿宋_GB2312" w:eastAsia="仿宋_GB2312"/>
          <w:color w:val="auto"/>
          <w:sz w:val="32"/>
          <w:szCs w:val="32"/>
        </w:rPr>
        <w:t>0万元。全年按规定更新购置公务用车0辆，其中：轿车0辆、金额0万元，越野车0辆、金额0万元，载客汽车0辆、金额0万元。截至</w:t>
      </w:r>
      <w:r>
        <w:rPr>
          <w:rFonts w:ascii="仿宋_GB2312" w:eastAsia="仿宋_GB2312"/>
          <w:color w:val="auto"/>
          <w:sz w:val="32"/>
          <w:szCs w:val="32"/>
        </w:rPr>
        <w:t>2019</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月底，单位共有公务用车0辆，其中：轿车0辆、越野车0辆、载客汽车0辆。</w:t>
      </w:r>
    </w:p>
    <w:p>
      <w:pPr>
        <w:pageBreakBefore w:val="0"/>
        <w:kinsoku/>
        <w:wordWrap/>
        <w:overflowPunct/>
        <w:topLinePunct w:val="0"/>
        <w:autoSpaceDE/>
        <w:autoSpaceDN/>
        <w:bidi w:val="0"/>
        <w:adjustRightInd/>
        <w:snapToGrid/>
        <w:spacing w:line="600" w:lineRule="exact"/>
        <w:ind w:firstLine="640"/>
        <w:textAlignment w:val="auto"/>
        <w:rPr>
          <w:rFonts w:ascii="仿宋_GB2312" w:eastAsia="仿宋_GB2312"/>
          <w:color w:val="auto"/>
          <w:sz w:val="32"/>
          <w:szCs w:val="32"/>
        </w:rPr>
      </w:pPr>
      <w:r>
        <w:rPr>
          <w:rFonts w:hint="eastAsia" w:ascii="仿宋_GB2312" w:eastAsia="仿宋_GB2312"/>
          <w:b/>
          <w:color w:val="auto"/>
          <w:sz w:val="32"/>
          <w:szCs w:val="32"/>
        </w:rPr>
        <w:t>公务用车运行维护费支出</w:t>
      </w:r>
      <w:r>
        <w:rPr>
          <w:rFonts w:hint="eastAsia" w:ascii="仿宋_GB2312" w:eastAsia="仿宋_GB2312"/>
          <w:color w:val="auto"/>
          <w:sz w:val="32"/>
          <w:szCs w:val="32"/>
        </w:rPr>
        <w:t>0万元。主要用于所需的公务用车燃料费、维修费、过路过桥费、保险费等支出。</w:t>
      </w:r>
    </w:p>
    <w:p>
      <w:pPr>
        <w:pageBreakBefore w:val="0"/>
        <w:kinsoku/>
        <w:wordWrap/>
        <w:overflowPunct/>
        <w:topLinePunct w:val="0"/>
        <w:autoSpaceDE/>
        <w:autoSpaceDN/>
        <w:bidi w:val="0"/>
        <w:adjustRightInd/>
        <w:snapToGrid/>
        <w:spacing w:line="600" w:lineRule="exact"/>
        <w:ind w:firstLine="640"/>
        <w:textAlignment w:val="auto"/>
        <w:rPr>
          <w:rFonts w:ascii="仿宋_GB2312" w:eastAsia="仿宋_GB2312"/>
          <w:color w:val="auto"/>
          <w:sz w:val="32"/>
          <w:szCs w:val="32"/>
        </w:rPr>
      </w:pPr>
      <w:r>
        <w:rPr>
          <w:rFonts w:ascii="仿宋_GB2312" w:eastAsia="仿宋_GB2312"/>
          <w:b/>
          <w:color w:val="auto"/>
          <w:sz w:val="32"/>
          <w:szCs w:val="32"/>
        </w:rPr>
        <w:t>3.</w:t>
      </w:r>
      <w:r>
        <w:rPr>
          <w:rFonts w:hint="eastAsia" w:ascii="仿宋_GB2312" w:eastAsia="仿宋_GB2312"/>
          <w:b/>
          <w:color w:val="auto"/>
          <w:sz w:val="32"/>
          <w:szCs w:val="32"/>
        </w:rPr>
        <w:t>公务接待费支出</w:t>
      </w:r>
      <w:r>
        <w:rPr>
          <w:rFonts w:hint="eastAsia" w:ascii="仿宋_GB2312" w:eastAsia="仿宋_GB2312"/>
          <w:color w:val="auto"/>
          <w:sz w:val="32"/>
          <w:szCs w:val="32"/>
        </w:rPr>
        <w:t>0万元，</w:t>
      </w:r>
      <w:r>
        <w:rPr>
          <w:rStyle w:val="17"/>
          <w:rFonts w:hint="eastAsia" w:ascii="仿宋" w:hAnsi="仿宋" w:eastAsia="仿宋"/>
          <w:b w:val="0"/>
          <w:bCs/>
          <w:color w:val="auto"/>
          <w:sz w:val="32"/>
          <w:szCs w:val="32"/>
        </w:rPr>
        <w:t>完成预算0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w:t>
      </w:r>
      <w:r>
        <w:rPr>
          <w:rFonts w:hint="eastAsia" w:ascii="仿宋_GB2312" w:eastAsia="仿宋_GB2312"/>
          <w:color w:val="auto"/>
          <w:sz w:val="32"/>
          <w:szCs w:val="32"/>
        </w:rPr>
        <w:t>公务接待费支出决算比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年增加</w:t>
      </w:r>
      <w:r>
        <w:rPr>
          <w:rFonts w:ascii="仿宋_GB2312" w:eastAsia="仿宋_GB2312"/>
          <w:color w:val="auto"/>
          <w:sz w:val="32"/>
          <w:szCs w:val="32"/>
        </w:rPr>
        <w:t>/</w:t>
      </w:r>
      <w:r>
        <w:rPr>
          <w:rFonts w:hint="eastAsia" w:ascii="仿宋_GB2312" w:eastAsia="仿宋_GB2312"/>
          <w:color w:val="auto"/>
          <w:sz w:val="32"/>
          <w:szCs w:val="32"/>
        </w:rPr>
        <w:t>减少0万元，增长</w:t>
      </w:r>
      <w:r>
        <w:rPr>
          <w:rFonts w:ascii="仿宋_GB2312" w:eastAsia="仿宋_GB2312"/>
          <w:color w:val="auto"/>
          <w:sz w:val="32"/>
          <w:szCs w:val="32"/>
        </w:rPr>
        <w:t>/</w:t>
      </w:r>
      <w:r>
        <w:rPr>
          <w:rFonts w:hint="eastAsia" w:ascii="仿宋_GB2312" w:eastAsia="仿宋_GB2312"/>
          <w:color w:val="auto"/>
          <w:sz w:val="32"/>
          <w:szCs w:val="32"/>
        </w:rPr>
        <w:t>下降0</w:t>
      </w:r>
      <w:r>
        <w:rPr>
          <w:rFonts w:ascii="仿宋_GB2312" w:eastAsia="仿宋_GB2312"/>
          <w:color w:val="auto"/>
          <w:sz w:val="32"/>
          <w:szCs w:val="32"/>
        </w:rPr>
        <w:t>%</w:t>
      </w:r>
      <w:r>
        <w:rPr>
          <w:rFonts w:hint="eastAsia" w:ascii="仿宋_GB2312" w:eastAsia="仿宋_GB2312"/>
          <w:color w:val="auto"/>
          <w:sz w:val="32"/>
          <w:szCs w:val="32"/>
        </w:rPr>
        <w:t>。</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主要用于执行公务、开展业务活动开支的交通费、住宿费、用餐费等。国内公务接待0批次，0人次（不包括陪同人员），共计支出0万元，具体内容包括：（接待具体项目、金额）。其中：</w:t>
      </w:r>
    </w:p>
    <w:p>
      <w:pPr>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hint="eastAsia" w:ascii="仿宋" w:hAnsi="仿宋" w:eastAsia="仿宋"/>
          <w:b/>
          <w:color w:val="auto"/>
          <w:sz w:val="32"/>
          <w:szCs w:val="32"/>
        </w:rPr>
        <w:t>外事接待支出</w:t>
      </w:r>
      <w:r>
        <w:rPr>
          <w:rFonts w:hint="eastAsia" w:ascii="仿宋" w:hAnsi="仿宋" w:eastAsia="仿宋"/>
          <w:color w:val="auto"/>
          <w:sz w:val="32"/>
          <w:szCs w:val="32"/>
        </w:rPr>
        <w:t>0</w:t>
      </w:r>
      <w:r>
        <w:rPr>
          <w:rFonts w:hint="eastAsia" w:ascii="仿宋_GB2312" w:eastAsia="仿宋_GB2312"/>
          <w:color w:val="auto"/>
          <w:sz w:val="32"/>
          <w:szCs w:val="32"/>
        </w:rPr>
        <w:t>万元，外事接待0批次，0人，共计支出0万元。</w:t>
      </w:r>
    </w:p>
    <w:p>
      <w:pPr>
        <w:pageBreakBefore w:val="0"/>
        <w:kinsoku/>
        <w:wordWrap/>
        <w:overflowPunct/>
        <w:topLinePunct w:val="0"/>
        <w:autoSpaceDE/>
        <w:autoSpaceDN/>
        <w:bidi w:val="0"/>
        <w:adjustRightInd/>
        <w:snapToGrid/>
        <w:spacing w:line="600" w:lineRule="exact"/>
        <w:ind w:firstLine="640"/>
        <w:textAlignment w:val="auto"/>
        <w:rPr>
          <w:rFonts w:hint="eastAsia" w:ascii="仿宋_GB2312" w:eastAsia="仿宋_GB2312"/>
          <w:color w:val="auto"/>
          <w:sz w:val="32"/>
          <w:szCs w:val="32"/>
          <w:lang w:eastAsia="zh-CN"/>
        </w:rPr>
      </w:pPr>
      <w:r>
        <w:rPr>
          <w:rFonts w:hint="eastAsia" w:ascii="仿宋" w:hAnsi="仿宋" w:eastAsia="仿宋"/>
          <w:b/>
          <w:color w:val="auto"/>
          <w:sz w:val="32"/>
          <w:szCs w:val="32"/>
        </w:rPr>
        <w:t>其他国内公务接待支出</w:t>
      </w:r>
      <w:r>
        <w:rPr>
          <w:rFonts w:hint="eastAsia" w:ascii="仿宋" w:hAnsi="仿宋" w:eastAsia="仿宋"/>
          <w:color w:val="auto"/>
          <w:sz w:val="32"/>
          <w:szCs w:val="32"/>
        </w:rPr>
        <w:t>0</w:t>
      </w:r>
      <w:r>
        <w:rPr>
          <w:rFonts w:hint="eastAsia" w:ascii="仿宋_GB2312" w:eastAsia="仿宋_GB2312"/>
          <w:color w:val="auto"/>
          <w:sz w:val="32"/>
          <w:szCs w:val="32"/>
        </w:rPr>
        <w:t>万元</w:t>
      </w:r>
      <w:bookmarkStart w:id="72" w:name="_Toc15377218"/>
      <w:r>
        <w:rPr>
          <w:rFonts w:hint="eastAsia" w:ascii="仿宋_GB2312" w:eastAsia="仿宋_GB2312"/>
          <w:color w:val="auto"/>
          <w:sz w:val="32"/>
          <w:szCs w:val="32"/>
          <w:lang w:eastAsia="zh-CN"/>
        </w:rPr>
        <w:t>。</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73" w:name="_Toc17103561"/>
      <w:bookmarkStart w:id="74" w:name="_Toc5966"/>
      <w:r>
        <w:rPr>
          <w:rStyle w:val="28"/>
          <w:rFonts w:hint="eastAsia" w:ascii="方正黑体简体" w:hAnsi="方正黑体简体" w:eastAsia="方正黑体简体" w:cs="方正黑体简体"/>
          <w:b w:val="0"/>
          <w:bCs w:val="0"/>
          <w:color w:val="auto"/>
        </w:rPr>
        <w:t>八、政府性基金预算支出决算情况说明</w:t>
      </w:r>
      <w:bookmarkEnd w:id="72"/>
      <w:bookmarkEnd w:id="73"/>
    </w:p>
    <w:bookmarkEnd w:id="74"/>
    <w:p>
      <w:pPr>
        <w:pageBreakBefore w:val="0"/>
        <w:kinsoku/>
        <w:wordWrap/>
        <w:overflowPunct/>
        <w:topLinePunct w:val="0"/>
        <w:autoSpaceDE/>
        <w:autoSpaceDN/>
        <w:bidi w:val="0"/>
        <w:adjustRightInd/>
        <w:snapToGrid/>
        <w:spacing w:line="600" w:lineRule="exact"/>
        <w:ind w:firstLine="640"/>
        <w:textAlignment w:val="auto"/>
        <w:outlineLvl w:val="1"/>
        <w:rPr>
          <w:rFonts w:ascii="仿宋_GB2312" w:eastAsia="仿宋_GB2312"/>
          <w:color w:val="auto"/>
          <w:sz w:val="32"/>
          <w:szCs w:val="32"/>
        </w:rPr>
      </w:pPr>
      <w:bookmarkStart w:id="75" w:name="_Toc13297"/>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年政府性基金预算拨款支出0万元。</w:t>
      </w:r>
      <w:bookmarkEnd w:id="75"/>
      <w:bookmarkStart w:id="76" w:name="_Toc17103562"/>
      <w:bookmarkStart w:id="77" w:name="_Toc15377219"/>
    </w:p>
    <w:p>
      <w:pPr>
        <w:pageBreakBefore w:val="0"/>
        <w:kinsoku/>
        <w:wordWrap/>
        <w:overflowPunct/>
        <w:topLinePunct w:val="0"/>
        <w:autoSpaceDE/>
        <w:autoSpaceDN/>
        <w:bidi w:val="0"/>
        <w:adjustRightInd/>
        <w:snapToGrid/>
        <w:spacing w:line="600" w:lineRule="exact"/>
        <w:ind w:firstLine="640"/>
        <w:textAlignment w:val="auto"/>
        <w:outlineLvl w:val="1"/>
        <w:rPr>
          <w:rStyle w:val="28"/>
          <w:rFonts w:hint="eastAsia" w:ascii="方正黑体简体" w:hAnsi="方正黑体简体" w:eastAsia="方正黑体简体" w:cs="方正黑体简体"/>
          <w:b w:val="0"/>
          <w:bCs w:val="0"/>
          <w:color w:val="auto"/>
        </w:rPr>
      </w:pPr>
      <w:bookmarkStart w:id="78" w:name="_Toc3332"/>
      <w:r>
        <w:rPr>
          <w:rStyle w:val="28"/>
          <w:rFonts w:hint="eastAsia" w:ascii="方正黑体简体" w:hAnsi="方正黑体简体" w:eastAsia="方正黑体简体" w:cs="方正黑体简体"/>
          <w:b w:val="0"/>
          <w:bCs w:val="0"/>
          <w:color w:val="auto"/>
        </w:rPr>
        <w:t>九、国有资本经营预算支出决算情况说明</w:t>
      </w:r>
      <w:bookmarkEnd w:id="76"/>
      <w:bookmarkEnd w:id="77"/>
      <w:bookmarkEnd w:id="78"/>
    </w:p>
    <w:p>
      <w:pPr>
        <w:pageBreakBefore w:val="0"/>
        <w:kinsoku/>
        <w:wordWrap/>
        <w:overflowPunct/>
        <w:topLinePunct w:val="0"/>
        <w:autoSpaceDE/>
        <w:autoSpaceDN/>
        <w:bidi w:val="0"/>
        <w:adjustRightInd/>
        <w:snapToGrid/>
        <w:spacing w:line="600" w:lineRule="exact"/>
        <w:ind w:firstLine="640"/>
        <w:textAlignment w:val="auto"/>
        <w:outlineLvl w:val="1"/>
        <w:rPr>
          <w:rFonts w:ascii="仿宋_GB2312" w:eastAsia="仿宋_GB2312"/>
          <w:color w:val="auto"/>
          <w:sz w:val="32"/>
          <w:szCs w:val="32"/>
        </w:rPr>
      </w:pPr>
      <w:bookmarkStart w:id="79" w:name="_Toc393"/>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年国有资本经营预算拨款支出</w:t>
      </w:r>
      <w:r>
        <w:rPr>
          <w:rFonts w:ascii="仿宋_GB2312" w:eastAsia="仿宋_GB2312"/>
          <w:color w:val="auto"/>
          <w:sz w:val="32"/>
          <w:szCs w:val="32"/>
        </w:rPr>
        <w:t>**</w:t>
      </w:r>
      <w:r>
        <w:rPr>
          <w:rFonts w:hint="eastAsia" w:ascii="仿宋_GB2312" w:eastAsia="仿宋_GB2312"/>
          <w:color w:val="auto"/>
          <w:sz w:val="32"/>
          <w:szCs w:val="32"/>
        </w:rPr>
        <w:t>万元。</w:t>
      </w:r>
      <w:bookmarkEnd w:id="79"/>
      <w:bookmarkStart w:id="80" w:name="_Toc17103563"/>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81" w:name="_Toc16049"/>
      <w:r>
        <w:rPr>
          <w:rStyle w:val="28"/>
          <w:rFonts w:hint="eastAsia" w:ascii="方正黑体简体" w:hAnsi="方正黑体简体" w:eastAsia="方正黑体简体" w:cs="方正黑体简体"/>
          <w:b w:val="0"/>
          <w:bCs w:val="0"/>
          <w:color w:val="auto"/>
        </w:rPr>
        <w:t>十、预算绩效情况说明</w:t>
      </w:r>
      <w:bookmarkEnd w:id="80"/>
    </w:p>
    <w:bookmarkEnd w:id="81"/>
    <w:p>
      <w:pPr>
        <w:pStyle w:val="4"/>
        <w:pageBreakBefore w:val="0"/>
        <w:kinsoku/>
        <w:wordWrap/>
        <w:overflowPunct/>
        <w:topLinePunct w:val="0"/>
        <w:autoSpaceDE/>
        <w:autoSpaceDN/>
        <w:bidi w:val="0"/>
        <w:adjustRightInd/>
        <w:snapToGrid/>
        <w:spacing w:before="0" w:after="0" w:line="600" w:lineRule="exact"/>
        <w:ind w:firstLine="643" w:firstLineChars="200"/>
        <w:textAlignment w:val="auto"/>
        <w:rPr>
          <w:rFonts w:hint="eastAsia" w:ascii="方正仿宋简体" w:hAnsi="方正仿宋简体" w:eastAsia="方正仿宋简体" w:cs="方正仿宋简体"/>
          <w:color w:val="auto"/>
        </w:rPr>
      </w:pPr>
      <w:bookmarkStart w:id="82" w:name="_Toc10563"/>
      <w:r>
        <w:rPr>
          <w:rFonts w:hint="eastAsia" w:ascii="方正仿宋简体" w:hAnsi="方正仿宋简体" w:eastAsia="方正仿宋简体" w:cs="方正仿宋简体"/>
          <w:color w:val="auto"/>
        </w:rPr>
        <w:t>（一）预算绩效管理工作开展情况。</w:t>
      </w:r>
      <w:bookmarkEnd w:id="82"/>
    </w:p>
    <w:p>
      <w:pPr>
        <w:pageBreakBefore w:val="0"/>
        <w:kinsoku/>
        <w:wordWrap/>
        <w:overflowPunct/>
        <w:topLinePunct w:val="0"/>
        <w:autoSpaceDE/>
        <w:autoSpaceDN/>
        <w:bidi w:val="0"/>
        <w:adjustRightInd/>
        <w:snapToGrid/>
        <w:spacing w:line="600" w:lineRule="exact"/>
        <w:ind w:firstLine="640"/>
        <w:textAlignment w:val="auto"/>
        <w:outlineLvl w:val="1"/>
        <w:rPr>
          <w:rFonts w:ascii="仿宋_GB2312" w:hAnsi="仿宋_GB2312" w:eastAsia="仿宋_GB2312" w:cs="仿宋_GB2312"/>
          <w:color w:val="auto"/>
          <w:sz w:val="32"/>
          <w:szCs w:val="32"/>
        </w:rPr>
      </w:pPr>
      <w:bookmarkStart w:id="83" w:name="_Toc27866"/>
      <w:r>
        <w:rPr>
          <w:rFonts w:hint="eastAsia" w:ascii="仿宋_GB2312" w:hAnsi="仿宋_GB2312" w:eastAsia="仿宋_GB2312" w:cs="仿宋_GB2312"/>
          <w:color w:val="auto"/>
          <w:sz w:val="32"/>
          <w:szCs w:val="32"/>
        </w:rPr>
        <w:t>根据预算绩效管理要求，本部门（单位）在年初预算编制阶段，组织对0项目开展了预算事前绩效评估，对0个项目编制了绩效目标，预算执行过程中，选取0个项目开展绩效监控，年终执行完毕后，对0个项目开展了绩效目标完成情况梳理填报。</w:t>
      </w:r>
      <w:bookmarkEnd w:id="83"/>
    </w:p>
    <w:p>
      <w:pPr>
        <w:pageBreakBefore w:val="0"/>
        <w:kinsoku/>
        <w:wordWrap/>
        <w:overflowPunct/>
        <w:topLinePunct w:val="0"/>
        <w:autoSpaceDE/>
        <w:autoSpaceDN/>
        <w:bidi w:val="0"/>
        <w:adjustRightInd/>
        <w:snapToGrid/>
        <w:spacing w:line="600" w:lineRule="exact"/>
        <w:ind w:firstLine="640"/>
        <w:textAlignment w:val="auto"/>
        <w:outlineLvl w:val="1"/>
        <w:rPr>
          <w:rFonts w:ascii="仿宋_GB2312" w:hAnsi="仿宋_GB2312" w:eastAsia="仿宋_GB2312" w:cs="仿宋_GB2312"/>
          <w:color w:val="auto"/>
          <w:sz w:val="32"/>
          <w:szCs w:val="32"/>
        </w:rPr>
      </w:pPr>
      <w:bookmarkStart w:id="84" w:name="_Toc7135"/>
      <w:r>
        <w:rPr>
          <w:rFonts w:hint="eastAsia" w:ascii="仿宋_GB2312" w:hAnsi="仿宋_GB2312" w:eastAsia="仿宋_GB2312" w:cs="仿宋_GB2312"/>
          <w:color w:val="auto"/>
          <w:sz w:val="32"/>
          <w:szCs w:val="32"/>
        </w:rPr>
        <w:t>本部门按要求对20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年部门整体支出开展绩效自评，从评价情况来看基本支出除住房公积金部分未支付外，其余全部已经支付，项目支出部分未支付，留在20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年继续实施。本部门还自行组织了0个项目绩效评价，从评价情况来看（简要说明项目绩效情况）。</w:t>
      </w:r>
      <w:bookmarkEnd w:id="84"/>
    </w:p>
    <w:p>
      <w:pPr>
        <w:pStyle w:val="4"/>
        <w:pageBreakBefore w:val="0"/>
        <w:kinsoku/>
        <w:wordWrap/>
        <w:overflowPunct/>
        <w:topLinePunct w:val="0"/>
        <w:autoSpaceDE/>
        <w:autoSpaceDN/>
        <w:bidi w:val="0"/>
        <w:adjustRightInd/>
        <w:snapToGrid/>
        <w:spacing w:before="0" w:after="0" w:line="600" w:lineRule="exact"/>
        <w:ind w:firstLine="643" w:firstLineChars="200"/>
        <w:textAlignment w:val="auto"/>
        <w:rPr>
          <w:rFonts w:hint="eastAsia" w:ascii="方正仿宋简体" w:hAnsi="方正仿宋简体" w:eastAsia="方正仿宋简体" w:cs="方正仿宋简体"/>
          <w:color w:val="auto"/>
        </w:rPr>
      </w:pPr>
      <w:bookmarkStart w:id="85" w:name="_Toc22118"/>
      <w:r>
        <w:rPr>
          <w:rFonts w:hint="eastAsia" w:ascii="方正仿宋简体" w:hAnsi="方正仿宋简体" w:eastAsia="方正仿宋简体" w:cs="方正仿宋简体"/>
          <w:color w:val="auto"/>
        </w:rPr>
        <w:t>（二）项目绩效目标完成情况。</w:t>
      </w:r>
      <w:bookmarkEnd w:id="85"/>
    </w:p>
    <w:p>
      <w:pPr>
        <w:pageBreakBefore w:val="0"/>
        <w:kinsoku/>
        <w:wordWrap/>
        <w:overflowPunct/>
        <w:topLinePunct w:val="0"/>
        <w:autoSpaceDE/>
        <w:autoSpaceDN/>
        <w:bidi w:val="0"/>
        <w:adjustRightInd/>
        <w:snapToGrid/>
        <w:spacing w:line="600" w:lineRule="exact"/>
        <w:ind w:firstLine="640"/>
        <w:textAlignment w:val="auto"/>
        <w:outlineLvl w:val="1"/>
        <w:rPr>
          <w:rFonts w:ascii="仿宋_GB2312" w:hAnsi="仿宋_GB2312" w:eastAsia="仿宋_GB2312" w:cs="仿宋_GB2312"/>
          <w:color w:val="auto"/>
          <w:sz w:val="32"/>
          <w:szCs w:val="32"/>
        </w:rPr>
      </w:pPr>
      <w:bookmarkStart w:id="86" w:name="_Toc28988"/>
      <w:r>
        <w:rPr>
          <w:rFonts w:hint="eastAsia" w:ascii="仿宋_GB2312" w:hAnsi="仿宋_GB2312" w:eastAsia="仿宋_GB2312" w:cs="仿宋_GB2312"/>
          <w:color w:val="auto"/>
          <w:sz w:val="32"/>
          <w:szCs w:val="32"/>
        </w:rPr>
        <w:t>本部门在20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年度部门决算中反映“XXX</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XXXX</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“XXXXX”等</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个项目绩效目标实际完成情况。（本单位部门项目绩效目标个数在5个以上的，选取5个项目进行公开，目标个数在5个以下的，全部进行公开，公开内容包括完成情况综述和完成情况表）。</w:t>
      </w:r>
      <w:bookmarkEnd w:id="86"/>
    </w:p>
    <w:p>
      <w:pPr>
        <w:pStyle w:val="4"/>
        <w:pageBreakBefore w:val="0"/>
        <w:kinsoku/>
        <w:wordWrap/>
        <w:overflowPunct/>
        <w:topLinePunct w:val="0"/>
        <w:bidi w:val="0"/>
        <w:spacing w:before="0" w:after="0" w:line="560" w:lineRule="exact"/>
        <w:ind w:firstLine="643" w:firstLineChars="200"/>
        <w:textAlignment w:val="auto"/>
        <w:rPr>
          <w:rFonts w:ascii="仿宋" w:hAnsi="仿宋" w:eastAsia="仿宋" w:cs="仿宋_GB2312"/>
          <w:color w:val="auto"/>
          <w:sz w:val="32"/>
          <w:szCs w:val="32"/>
        </w:rPr>
      </w:pPr>
      <w:bookmarkStart w:id="87" w:name="_Toc6784"/>
      <w:r>
        <w:rPr>
          <w:rFonts w:hint="eastAsia" w:ascii="方正仿宋简体" w:hAnsi="方正仿宋简体" w:eastAsia="方正仿宋简体" w:cs="方正仿宋简体"/>
          <w:color w:val="auto"/>
          <w:lang w:eastAsia="zh-CN"/>
        </w:rPr>
        <w:t>（三）</w:t>
      </w:r>
      <w:r>
        <w:rPr>
          <w:rFonts w:hint="eastAsia" w:ascii="方正仿宋简体" w:hAnsi="方正仿宋简体" w:eastAsia="方正仿宋简体" w:cs="方正仿宋简体"/>
          <w:color w:val="auto"/>
        </w:rPr>
        <w:t>部门开展绩效评价结果</w:t>
      </w:r>
      <w:r>
        <w:rPr>
          <w:rFonts w:hint="eastAsia" w:ascii="仿宋" w:hAnsi="仿宋" w:eastAsia="仿宋" w:cs="楷体_GB2312"/>
          <w:b/>
          <w:bCs/>
          <w:color w:val="auto"/>
          <w:sz w:val="32"/>
          <w:szCs w:val="32"/>
        </w:rPr>
        <w:t>。</w:t>
      </w:r>
      <w:bookmarkEnd w:id="87"/>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本部门按要求对20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年部门整体支出绩效评价情况开展自评，《区团委部门20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年部门整体支出绩效评价报告》见附件。</w:t>
      </w:r>
    </w:p>
    <w:p>
      <w:pPr>
        <w:pageBreakBefore w:val="0"/>
        <w:kinsoku/>
        <w:wordWrap/>
        <w:overflowPunct/>
        <w:topLinePunct w:val="0"/>
        <w:bidi w:val="0"/>
        <w:spacing w:line="560" w:lineRule="exact"/>
        <w:ind w:firstLine="640" w:firstLineChars="200"/>
        <w:textAlignment w:val="auto"/>
        <w:rPr>
          <w:rFonts w:ascii="方正小标宋简体" w:hAnsi="方正小标宋简体" w:eastAsia="方正小标宋简体" w:cs="方正小标宋简体"/>
          <w:color w:val="auto"/>
          <w:sz w:val="44"/>
          <w:szCs w:val="44"/>
        </w:rPr>
      </w:pPr>
      <w:r>
        <w:rPr>
          <w:rFonts w:hint="eastAsia" w:ascii="仿宋_GB2312" w:hAnsi="仿宋_GB2312" w:eastAsia="仿宋_GB2312" w:cs="仿宋_GB2312"/>
          <w:color w:val="auto"/>
          <w:sz w:val="32"/>
          <w:szCs w:val="32"/>
        </w:rPr>
        <w:t>本部门自行组织对XXX项目、XXX项目开展了绩效评价，《XXX项目20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年绩效评价报告》见附件。（非涉密部门均需公开部门整体支出评价报告，部门自行组织的绩效评价情况根据部门实际公开）</w:t>
      </w:r>
    </w:p>
    <w:p>
      <w:pPr>
        <w:pageBreakBefore w:val="0"/>
        <w:widowControl/>
        <w:kinsoku/>
        <w:wordWrap/>
        <w:overflowPunct/>
        <w:topLinePunct w:val="0"/>
        <w:bidi w:val="0"/>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88" w:name="_Toc17103564"/>
      <w:bookmarkStart w:id="89" w:name="_Toc15377221"/>
      <w:bookmarkStart w:id="90" w:name="_Toc8458"/>
      <w:r>
        <w:rPr>
          <w:rStyle w:val="28"/>
          <w:rFonts w:hint="eastAsia" w:ascii="方正黑体简体" w:hAnsi="方正黑体简体" w:eastAsia="方正黑体简体" w:cs="方正黑体简体"/>
          <w:b w:val="0"/>
          <w:bCs w:val="0"/>
          <w:color w:val="auto"/>
        </w:rPr>
        <w:t>十一、其他重要事项的情况说明</w:t>
      </w:r>
      <w:bookmarkEnd w:id="88"/>
      <w:bookmarkEnd w:id="89"/>
    </w:p>
    <w:bookmarkEnd w:id="90"/>
    <w:p>
      <w:pPr>
        <w:pStyle w:val="4"/>
        <w:pageBreakBefore w:val="0"/>
        <w:kinsoku/>
        <w:wordWrap/>
        <w:overflowPunct/>
        <w:topLinePunct w:val="0"/>
        <w:bidi w:val="0"/>
        <w:spacing w:before="0" w:after="0" w:line="560" w:lineRule="exact"/>
        <w:ind w:firstLine="643" w:firstLineChars="200"/>
        <w:textAlignment w:val="auto"/>
        <w:rPr>
          <w:rFonts w:hint="eastAsia" w:ascii="方正仿宋简体" w:hAnsi="方正仿宋简体" w:eastAsia="方正仿宋简体" w:cs="方正仿宋简体"/>
          <w:color w:val="auto"/>
        </w:rPr>
      </w:pPr>
      <w:bookmarkStart w:id="91" w:name="_Toc17949"/>
      <w:bookmarkStart w:id="92" w:name="_Toc15377222"/>
      <w:r>
        <w:rPr>
          <w:rFonts w:hint="eastAsia" w:ascii="方正仿宋简体" w:hAnsi="方正仿宋简体" w:eastAsia="方正仿宋简体" w:cs="方正仿宋简体"/>
          <w:color w:val="auto"/>
        </w:rPr>
        <w:t>（一）机关运行经费支出情况</w:t>
      </w:r>
      <w:bookmarkEnd w:id="91"/>
      <w:bookmarkEnd w:id="92"/>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年，团委机关运行经费支出6.</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1万元，比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w:t>
      </w:r>
      <w:r>
        <w:rPr>
          <w:rFonts w:hint="eastAsia" w:ascii="仿宋_GB2312" w:eastAsia="仿宋_GB2312"/>
          <w:color w:val="auto"/>
          <w:sz w:val="32"/>
          <w:szCs w:val="32"/>
          <w:lang w:eastAsia="zh-CN"/>
        </w:rPr>
        <w:t>增加</w:t>
      </w:r>
      <w:r>
        <w:rPr>
          <w:rFonts w:hint="eastAsia" w:ascii="仿宋_GB2312" w:eastAsia="仿宋_GB2312"/>
          <w:color w:val="auto"/>
          <w:sz w:val="32"/>
          <w:szCs w:val="32"/>
          <w:lang w:val="en-US" w:eastAsia="zh-CN"/>
        </w:rPr>
        <w:t>0.9</w:t>
      </w:r>
      <w:r>
        <w:rPr>
          <w:rFonts w:hint="eastAsia" w:ascii="仿宋_GB2312" w:eastAsia="仿宋_GB2312"/>
          <w:color w:val="auto"/>
          <w:sz w:val="32"/>
          <w:szCs w:val="32"/>
        </w:rPr>
        <w:t>万元，</w:t>
      </w:r>
      <w:r>
        <w:rPr>
          <w:rFonts w:hint="eastAsia" w:ascii="仿宋_GB2312" w:eastAsia="仿宋_GB2312"/>
          <w:color w:val="auto"/>
          <w:sz w:val="32"/>
          <w:szCs w:val="32"/>
          <w:lang w:eastAsia="zh-CN"/>
        </w:rPr>
        <w:t>增加</w:t>
      </w:r>
      <w:r>
        <w:rPr>
          <w:rFonts w:hint="eastAsia" w:ascii="仿宋_GB2312" w:eastAsia="仿宋_GB2312"/>
          <w:color w:val="auto"/>
          <w:sz w:val="32"/>
          <w:szCs w:val="32"/>
          <w:lang w:val="en-US" w:eastAsia="zh-CN"/>
        </w:rPr>
        <w:t>15</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人员变动造成</w:t>
      </w:r>
      <w:r>
        <w:rPr>
          <w:rFonts w:hint="eastAsia" w:ascii="仿宋_GB2312" w:eastAsia="仿宋_GB2312"/>
          <w:color w:val="auto"/>
          <w:sz w:val="32"/>
          <w:szCs w:val="32"/>
        </w:rPr>
        <w:t>。</w:t>
      </w:r>
    </w:p>
    <w:p>
      <w:pPr>
        <w:pageBreakBefore w:val="0"/>
        <w:kinsoku/>
        <w:wordWrap/>
        <w:overflowPunct/>
        <w:topLinePunct w:val="0"/>
        <w:bidi w:val="0"/>
        <w:spacing w:line="560" w:lineRule="exact"/>
        <w:ind w:firstLine="640"/>
        <w:textAlignment w:val="auto"/>
        <w:rPr>
          <w:rFonts w:ascii="仿宋" w:hAnsi="仿宋" w:eastAsia="仿宋"/>
          <w:b/>
          <w:color w:val="auto"/>
          <w:sz w:val="32"/>
          <w:szCs w:val="32"/>
        </w:rPr>
      </w:pPr>
      <w:r>
        <w:rPr>
          <w:rFonts w:hint="eastAsia" w:ascii="仿宋" w:hAnsi="仿宋" w:eastAsia="仿宋"/>
          <w:b/>
          <w:color w:val="auto"/>
          <w:sz w:val="32"/>
          <w:szCs w:val="32"/>
        </w:rPr>
        <w:t>（数据来源财决</w:t>
      </w:r>
      <w:r>
        <w:rPr>
          <w:rFonts w:ascii="仿宋" w:hAnsi="仿宋" w:eastAsia="仿宋"/>
          <w:b/>
          <w:color w:val="auto"/>
          <w:sz w:val="32"/>
          <w:szCs w:val="32"/>
        </w:rPr>
        <w:t>CS05</w:t>
      </w:r>
      <w:r>
        <w:rPr>
          <w:rFonts w:hint="eastAsia" w:ascii="仿宋" w:hAnsi="仿宋" w:eastAsia="仿宋"/>
          <w:b/>
          <w:color w:val="auto"/>
          <w:sz w:val="32"/>
          <w:szCs w:val="32"/>
        </w:rPr>
        <w:t>表）</w:t>
      </w:r>
    </w:p>
    <w:p>
      <w:pPr>
        <w:pStyle w:val="4"/>
        <w:pageBreakBefore w:val="0"/>
        <w:kinsoku/>
        <w:wordWrap/>
        <w:overflowPunct/>
        <w:topLinePunct w:val="0"/>
        <w:bidi w:val="0"/>
        <w:spacing w:before="0" w:after="0" w:line="560" w:lineRule="exact"/>
        <w:ind w:firstLine="643" w:firstLineChars="200"/>
        <w:textAlignment w:val="auto"/>
        <w:rPr>
          <w:rFonts w:hint="eastAsia" w:ascii="方正仿宋简体" w:hAnsi="方正仿宋简体" w:eastAsia="方正仿宋简体" w:cs="方正仿宋简体"/>
          <w:color w:val="auto"/>
        </w:rPr>
      </w:pPr>
      <w:bookmarkStart w:id="93" w:name="_Toc15377223"/>
      <w:bookmarkStart w:id="94" w:name="_Toc26557"/>
      <w:r>
        <w:rPr>
          <w:rFonts w:hint="eastAsia" w:ascii="方正仿宋简体" w:hAnsi="方正仿宋简体" w:eastAsia="方正仿宋简体" w:cs="方正仿宋简体"/>
          <w:color w:val="auto"/>
        </w:rPr>
        <w:t>（二）政府采购支出情况</w:t>
      </w:r>
      <w:bookmarkEnd w:id="93"/>
      <w:bookmarkEnd w:id="94"/>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年，团区委政府采购支出总额0万元，其中：政府采购货物支出0万元、政府采购工程支出0万元、政府采购服务支出0万元。主要用于</w:t>
      </w:r>
      <w:r>
        <w:rPr>
          <w:rFonts w:ascii="仿宋_GB2312" w:eastAsia="仿宋_GB2312"/>
          <w:color w:val="auto"/>
          <w:sz w:val="32"/>
          <w:szCs w:val="32"/>
        </w:rPr>
        <w:t>…</w:t>
      </w:r>
      <w:r>
        <w:rPr>
          <w:rFonts w:hint="eastAsia" w:ascii="仿宋_GB2312" w:eastAsia="仿宋_GB2312"/>
          <w:color w:val="auto"/>
          <w:sz w:val="32"/>
          <w:szCs w:val="32"/>
        </w:rPr>
        <w:t>（具体工作）。授予中小企业合同金额0万元，占政府采购支出总额的0</w:t>
      </w:r>
      <w:r>
        <w:rPr>
          <w:rFonts w:ascii="仿宋_GB2312" w:eastAsia="仿宋_GB2312"/>
          <w:color w:val="auto"/>
          <w:sz w:val="32"/>
          <w:szCs w:val="32"/>
        </w:rPr>
        <w:t>%</w:t>
      </w:r>
      <w:r>
        <w:rPr>
          <w:rFonts w:hint="eastAsia" w:ascii="仿宋_GB2312" w:eastAsia="仿宋_GB2312"/>
          <w:color w:val="auto"/>
          <w:sz w:val="32"/>
          <w:szCs w:val="32"/>
        </w:rPr>
        <w:t>，其中：授予小微企业合同金额0万元，占政府采购支出总额的0</w:t>
      </w:r>
      <w:r>
        <w:rPr>
          <w:rFonts w:ascii="仿宋_GB2312" w:eastAsia="仿宋_GB2312"/>
          <w:color w:val="auto"/>
          <w:sz w:val="32"/>
          <w:szCs w:val="32"/>
        </w:rPr>
        <w:t>%</w:t>
      </w:r>
      <w:r>
        <w:rPr>
          <w:rFonts w:hint="eastAsia" w:ascii="仿宋_GB2312" w:eastAsia="仿宋_GB2312"/>
          <w:color w:val="auto"/>
          <w:sz w:val="32"/>
          <w:szCs w:val="32"/>
        </w:rPr>
        <w:t>。</w:t>
      </w:r>
    </w:p>
    <w:p>
      <w:pPr>
        <w:pageBreakBefore w:val="0"/>
        <w:kinsoku/>
        <w:wordWrap/>
        <w:overflowPunct/>
        <w:topLinePunct w:val="0"/>
        <w:autoSpaceDE w:val="0"/>
        <w:autoSpaceDN w:val="0"/>
        <w:bidi w:val="0"/>
        <w:adjustRightInd w:val="0"/>
        <w:spacing w:line="560" w:lineRule="exact"/>
        <w:ind w:firstLine="643" w:firstLineChars="200"/>
        <w:jc w:val="left"/>
        <w:textAlignment w:val="auto"/>
        <w:outlineLvl w:val="2"/>
        <w:rPr>
          <w:rFonts w:ascii="仿宋" w:hAnsi="仿宋" w:eastAsia="仿宋"/>
          <w:b/>
          <w:color w:val="auto"/>
          <w:sz w:val="32"/>
          <w:szCs w:val="32"/>
        </w:rPr>
      </w:pPr>
      <w:bookmarkStart w:id="95" w:name="_Toc24448"/>
      <w:r>
        <w:rPr>
          <w:rFonts w:hint="eastAsia" w:ascii="仿宋" w:hAnsi="仿宋" w:eastAsia="仿宋"/>
          <w:b/>
          <w:color w:val="auto"/>
          <w:sz w:val="32"/>
          <w:szCs w:val="32"/>
        </w:rPr>
        <w:t>（数据来源财决</w:t>
      </w:r>
      <w:r>
        <w:rPr>
          <w:rFonts w:ascii="仿宋" w:hAnsi="仿宋" w:eastAsia="仿宋"/>
          <w:b/>
          <w:color w:val="auto"/>
          <w:sz w:val="32"/>
          <w:szCs w:val="32"/>
        </w:rPr>
        <w:t>CS06</w:t>
      </w:r>
      <w:r>
        <w:rPr>
          <w:rFonts w:hint="eastAsia" w:ascii="仿宋" w:hAnsi="仿宋" w:eastAsia="仿宋"/>
          <w:b/>
          <w:color w:val="auto"/>
          <w:sz w:val="32"/>
          <w:szCs w:val="32"/>
        </w:rPr>
        <w:t>表）</w:t>
      </w:r>
      <w:bookmarkEnd w:id="95"/>
    </w:p>
    <w:p>
      <w:pPr>
        <w:pStyle w:val="4"/>
        <w:pageBreakBefore w:val="0"/>
        <w:kinsoku/>
        <w:wordWrap/>
        <w:overflowPunct/>
        <w:topLinePunct w:val="0"/>
        <w:bidi w:val="0"/>
        <w:spacing w:before="0" w:after="0" w:line="560" w:lineRule="exact"/>
        <w:ind w:firstLine="643" w:firstLineChars="200"/>
        <w:textAlignment w:val="auto"/>
        <w:rPr>
          <w:rFonts w:hint="eastAsia" w:ascii="方正仿宋简体" w:hAnsi="方正仿宋简体" w:eastAsia="方正仿宋简体" w:cs="方正仿宋简体"/>
          <w:color w:val="auto"/>
        </w:rPr>
      </w:pPr>
      <w:bookmarkStart w:id="96" w:name="_Toc29890"/>
      <w:bookmarkStart w:id="97" w:name="_Toc15377224"/>
      <w:r>
        <w:rPr>
          <w:rFonts w:hint="eastAsia" w:ascii="方正仿宋简体" w:hAnsi="方正仿宋简体" w:eastAsia="方正仿宋简体" w:cs="方正仿宋简体"/>
          <w:color w:val="auto"/>
        </w:rPr>
        <w:t>（三）国有资产占有使用情况</w:t>
      </w:r>
      <w:bookmarkEnd w:id="96"/>
      <w:bookmarkEnd w:id="97"/>
    </w:p>
    <w:p>
      <w:pPr>
        <w:pageBreakBefore w:val="0"/>
        <w:kinsoku/>
        <w:wordWrap/>
        <w:overflowPunct/>
        <w:topLinePunct w:val="0"/>
        <w:autoSpaceDE w:val="0"/>
        <w:autoSpaceDN w:val="0"/>
        <w:bidi w:val="0"/>
        <w:adjustRightInd w:val="0"/>
        <w:spacing w:line="560" w:lineRule="exact"/>
        <w:ind w:firstLine="640" w:firstLineChars="200"/>
        <w:jc w:val="left"/>
        <w:textAlignment w:val="auto"/>
        <w:rPr>
          <w:rFonts w:ascii="仿宋_GB2312" w:eastAsia="仿宋_GB2312"/>
          <w:color w:val="auto"/>
          <w:sz w:val="32"/>
          <w:szCs w:val="32"/>
        </w:rPr>
      </w:pP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日，团区委共有车辆0辆，其中：部级领导干部用车0辆、一般公务用车0辆、一般执法执勤用车0辆、特种专业技术用车0辆、其他用车0辆，其他用车主要是用于单价</w:t>
      </w:r>
      <w:r>
        <w:rPr>
          <w:rFonts w:ascii="仿宋_GB2312" w:eastAsia="仿宋_GB2312"/>
          <w:color w:val="auto"/>
          <w:sz w:val="32"/>
          <w:szCs w:val="32"/>
        </w:rPr>
        <w:t>50</w:t>
      </w:r>
      <w:r>
        <w:rPr>
          <w:rFonts w:hint="eastAsia" w:ascii="仿宋_GB2312" w:eastAsia="仿宋_GB2312"/>
          <w:color w:val="auto"/>
          <w:sz w:val="32"/>
          <w:szCs w:val="32"/>
        </w:rPr>
        <w:t>万元以上通用设备0台（套），单价</w:t>
      </w:r>
      <w:r>
        <w:rPr>
          <w:rFonts w:ascii="仿宋_GB2312" w:eastAsia="仿宋_GB2312"/>
          <w:color w:val="auto"/>
          <w:sz w:val="32"/>
          <w:szCs w:val="32"/>
        </w:rPr>
        <w:t>100</w:t>
      </w:r>
      <w:r>
        <w:rPr>
          <w:rFonts w:hint="eastAsia" w:ascii="仿宋_GB2312" w:eastAsia="仿宋_GB2312"/>
          <w:color w:val="auto"/>
          <w:sz w:val="32"/>
          <w:szCs w:val="32"/>
        </w:rPr>
        <w:t>万元以上专用设备0台（套）。</w:t>
      </w:r>
    </w:p>
    <w:p>
      <w:pPr>
        <w:pageBreakBefore w:val="0"/>
        <w:kinsoku/>
        <w:wordWrap/>
        <w:overflowPunct/>
        <w:topLinePunct w:val="0"/>
        <w:autoSpaceDE w:val="0"/>
        <w:autoSpaceDN w:val="0"/>
        <w:bidi w:val="0"/>
        <w:adjustRightInd w:val="0"/>
        <w:spacing w:line="560" w:lineRule="exact"/>
        <w:ind w:firstLine="643" w:firstLineChars="200"/>
        <w:jc w:val="left"/>
        <w:textAlignment w:val="auto"/>
        <w:outlineLvl w:val="2"/>
        <w:rPr>
          <w:rFonts w:ascii="仿宋" w:hAnsi="仿宋" w:eastAsia="仿宋"/>
          <w:b/>
          <w:color w:val="auto"/>
          <w:sz w:val="32"/>
          <w:szCs w:val="32"/>
        </w:rPr>
      </w:pPr>
      <w:bookmarkStart w:id="98" w:name="_Toc18445"/>
      <w:r>
        <w:rPr>
          <w:rFonts w:hint="eastAsia" w:ascii="仿宋" w:hAnsi="仿宋" w:eastAsia="仿宋"/>
          <w:b/>
          <w:color w:val="auto"/>
          <w:sz w:val="32"/>
          <w:szCs w:val="32"/>
        </w:rPr>
        <w:t>（数据来源财决</w:t>
      </w:r>
      <w:r>
        <w:rPr>
          <w:rFonts w:ascii="仿宋" w:hAnsi="仿宋" w:eastAsia="仿宋"/>
          <w:b/>
          <w:color w:val="auto"/>
          <w:sz w:val="32"/>
          <w:szCs w:val="32"/>
        </w:rPr>
        <w:t>CS05</w:t>
      </w:r>
      <w:r>
        <w:rPr>
          <w:rFonts w:hint="eastAsia" w:ascii="仿宋" w:hAnsi="仿宋" w:eastAsia="仿宋"/>
          <w:b/>
          <w:color w:val="auto"/>
          <w:sz w:val="32"/>
          <w:szCs w:val="32"/>
        </w:rPr>
        <w:t>表，按部门决算报表填报数据罗列车辆情况。）</w:t>
      </w:r>
      <w:bookmarkEnd w:id="98"/>
    </w:p>
    <w:p>
      <w:pPr>
        <w:pageBreakBefore w:val="0"/>
        <w:kinsoku/>
        <w:wordWrap/>
        <w:overflowPunct/>
        <w:topLinePunct w:val="0"/>
        <w:bidi w:val="0"/>
        <w:spacing w:line="560" w:lineRule="exact"/>
        <w:ind w:firstLine="643" w:firstLineChars="200"/>
        <w:textAlignment w:val="auto"/>
        <w:rPr>
          <w:rFonts w:ascii="仿宋_GB2312" w:eastAsia="仿宋_GB2312"/>
          <w:b/>
          <w:color w:val="auto"/>
          <w:sz w:val="32"/>
          <w:szCs w:val="32"/>
        </w:rPr>
      </w:pPr>
    </w:p>
    <w:p>
      <w:pPr>
        <w:pageBreakBefore w:val="0"/>
        <w:widowControl/>
        <w:kinsoku/>
        <w:wordWrap/>
        <w:overflowPunct/>
        <w:topLinePunct w:val="0"/>
        <w:bidi w:val="0"/>
        <w:spacing w:line="560" w:lineRule="exact"/>
        <w:jc w:val="left"/>
        <w:textAlignment w:val="auto"/>
        <w:rPr>
          <w:rFonts w:ascii="仿宋_GB2312" w:eastAsia="仿宋_GB2312"/>
          <w:b/>
          <w:color w:val="auto"/>
          <w:sz w:val="32"/>
          <w:szCs w:val="32"/>
        </w:rPr>
      </w:pPr>
      <w:r>
        <w:rPr>
          <w:rFonts w:ascii="仿宋_GB2312" w:eastAsia="仿宋_GB2312"/>
          <w:b/>
          <w:color w:val="auto"/>
          <w:sz w:val="32"/>
          <w:szCs w:val="32"/>
        </w:rPr>
        <w:br w:type="page"/>
      </w:r>
    </w:p>
    <w:p>
      <w:pPr>
        <w:pageBreakBefore w:val="0"/>
        <w:widowControl/>
        <w:kinsoku/>
        <w:wordWrap/>
        <w:overflowPunct/>
        <w:topLinePunct w:val="0"/>
        <w:bidi w:val="0"/>
        <w:spacing w:line="560" w:lineRule="exact"/>
        <w:jc w:val="center"/>
        <w:textAlignment w:val="auto"/>
        <w:rPr>
          <w:rStyle w:val="27"/>
          <w:rFonts w:hint="eastAsia" w:ascii="黑体" w:hAnsi="黑体"/>
          <w:color w:val="auto"/>
        </w:rPr>
      </w:pPr>
      <w:bookmarkStart w:id="99" w:name="_Toc15377225"/>
      <w:bookmarkStart w:id="100" w:name="_Toc17103565"/>
      <w:bookmarkStart w:id="101" w:name="_Toc15080"/>
      <w:r>
        <w:rPr>
          <w:rStyle w:val="27"/>
          <w:rFonts w:hint="eastAsia" w:ascii="黑体" w:hAnsi="黑体"/>
          <w:color w:val="auto"/>
          <w:lang w:eastAsia="zh-CN"/>
        </w:rPr>
        <w:t>第三部分</w:t>
      </w:r>
      <w:r>
        <w:rPr>
          <w:rStyle w:val="27"/>
          <w:rFonts w:hint="eastAsia" w:ascii="黑体" w:hAnsi="黑体"/>
          <w:color w:val="auto"/>
          <w:lang w:val="en-US" w:eastAsia="zh-CN"/>
        </w:rPr>
        <w:t xml:space="preserve">  </w:t>
      </w:r>
      <w:r>
        <w:rPr>
          <w:rStyle w:val="27"/>
          <w:rFonts w:hint="eastAsia" w:ascii="黑体" w:hAnsi="黑体"/>
          <w:color w:val="auto"/>
        </w:rPr>
        <w:t>名词解释</w:t>
      </w:r>
      <w:bookmarkEnd w:id="99"/>
      <w:bookmarkEnd w:id="100"/>
    </w:p>
    <w:bookmarkEnd w:id="101"/>
    <w:p>
      <w:pPr>
        <w:pageBreakBefore w:val="0"/>
        <w:kinsoku/>
        <w:wordWrap/>
        <w:overflowPunct/>
        <w:topLinePunct w:val="0"/>
        <w:bidi w:val="0"/>
        <w:spacing w:line="560" w:lineRule="exact"/>
        <w:jc w:val="left"/>
        <w:textAlignment w:val="auto"/>
        <w:rPr>
          <w:rFonts w:ascii="宋体"/>
          <w:b/>
          <w:color w:val="auto"/>
          <w:sz w:val="44"/>
          <w:szCs w:val="44"/>
        </w:rPr>
      </w:pPr>
    </w:p>
    <w:p>
      <w:pPr>
        <w:pStyle w:val="25"/>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5"/>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事业收入：指事业单位开展专业业务活动及辅助活动取得的收入。（二级预算单位事业收入情况）等。</w:t>
      </w:r>
    </w:p>
    <w:p>
      <w:pPr>
        <w:pStyle w:val="25"/>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经营收入：指事业单位在专业业务活动及其辅助活动之外开展非独立核算经营活动取得的收入。（二级预算单位经营收入情况）等。</w:t>
      </w:r>
    </w:p>
    <w:p>
      <w:pPr>
        <w:pStyle w:val="25"/>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其他收入：指单位取得的除上述收入以外的各项收入。（收入类型）等。</w:t>
      </w:r>
      <w:r>
        <w:rPr>
          <w:rFonts w:ascii="仿宋_GB2312" w:eastAsia="仿宋_GB2312"/>
          <w:color w:val="auto"/>
          <w:sz w:val="32"/>
          <w:szCs w:val="32"/>
        </w:rPr>
        <w:t xml:space="preserve"> </w:t>
      </w:r>
    </w:p>
    <w:p>
      <w:pPr>
        <w:pStyle w:val="25"/>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color w:val="auto"/>
          <w:sz w:val="32"/>
          <w:szCs w:val="32"/>
        </w:rPr>
        <w:t xml:space="preserve"> </w:t>
      </w:r>
    </w:p>
    <w:p>
      <w:pPr>
        <w:pStyle w:val="25"/>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5"/>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结余分配：指事业单位按照事业单位会计制度的规定从非财政补助结余中分配的事业基金和职工福利基金等。</w:t>
      </w:r>
    </w:p>
    <w:p>
      <w:pPr>
        <w:pStyle w:val="25"/>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9.</w:t>
      </w:r>
      <w:r>
        <w:rPr>
          <w:rFonts w:hint="eastAsia" w:ascii="仿宋_GB2312" w:eastAsia="仿宋_GB2312"/>
          <w:color w:val="auto"/>
          <w:sz w:val="32"/>
          <w:szCs w:val="32"/>
        </w:rPr>
        <w:t>一般公共服务：其中2012901一般公共服务支出中群众团体事务支出中的行政运行指的是各级人员团体、社会团体、群众团体以及工会、妇联、共青团组织等行政单位的基本支出；2012902一般公共服务支出中群众团体事务支出中的一般行政管理事务指的是各级人员团体、社会团体、群众团体以及工会、妇联、共青团组织等行政单位未单独设置项级科目的其他项目支出；2012999一般公共服务支出中群众团体事务支出中的其他群众团体事务指的是各级人员团体、社会团体、群众团体以及工会、妇联、共青团组织等其他用于群众团体事务方面的支出。</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10.</w:t>
      </w:r>
      <w:r>
        <w:rPr>
          <w:rFonts w:hint="eastAsia" w:ascii="仿宋_GB2312" w:eastAsia="仿宋_GB2312"/>
          <w:color w:val="auto"/>
          <w:sz w:val="32"/>
          <w:szCs w:val="32"/>
        </w:rPr>
        <w:t>社会保障和就业：2080505社会保障和就业中的机关事业单位基本养老保险缴费支出指的是机关事业单位实施养老保险制度由单位缴纳的基本养老保险费支出。</w:t>
      </w:r>
      <w:r>
        <w:rPr>
          <w:rFonts w:hint="eastAsia" w:ascii="仿宋_GB2312" w:eastAsia="仿宋_GB2312"/>
          <w:color w:val="auto"/>
          <w:sz w:val="32"/>
          <w:szCs w:val="32"/>
          <w:lang w:val="en-US" w:eastAsia="zh-CN"/>
        </w:rPr>
        <w:t>2080506社会保障和就业中的机关事业单位职业年金缴费支出指的是反映机关事业单位实施养老保险制度由单位实际缴费的职业年金支出。</w:t>
      </w:r>
      <w:r>
        <w:rPr>
          <w:rFonts w:hint="eastAsia" w:ascii="仿宋_GB2312" w:eastAsia="仿宋_GB2312"/>
          <w:color w:val="auto"/>
          <w:sz w:val="32"/>
          <w:szCs w:val="32"/>
        </w:rPr>
        <w:t>2089901其他社会就业支出指的是反映除社会保障和就业支出以外其他用于社会保障和就业方面的支出。</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lang w:val="en-US" w:eastAsia="zh-CN"/>
        </w:rPr>
        <w:t>1</w:t>
      </w:r>
      <w:r>
        <w:rPr>
          <w:rFonts w:ascii="仿宋_GB2312" w:eastAsia="仿宋_GB2312"/>
          <w:color w:val="auto"/>
          <w:sz w:val="32"/>
          <w:szCs w:val="32"/>
        </w:rPr>
        <w:t>.</w:t>
      </w:r>
      <w:r>
        <w:rPr>
          <w:rFonts w:hint="eastAsia" w:ascii="仿宋_GB2312" w:eastAsia="仿宋_GB2312"/>
          <w:color w:val="auto"/>
          <w:sz w:val="32"/>
          <w:szCs w:val="32"/>
        </w:rPr>
        <w:t>医疗卫生与计划生育：2101101行政单位医疗指反映财政部门集中安排的行政单位基本医疗保险缴费经费，未参加医疗保险的行政单位的公费医疗经费，按国家规定享受离休人员、红军老战士待遇人员的医疗经费。2101103公务医疗补助指反映财政部门集中安排的公务员医疗补助经费。</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12</w:t>
      </w:r>
      <w:r>
        <w:rPr>
          <w:rFonts w:ascii="仿宋_GB2312" w:eastAsia="仿宋_GB2312"/>
          <w:color w:val="auto"/>
          <w:sz w:val="32"/>
          <w:szCs w:val="32"/>
        </w:rPr>
        <w:t>.</w:t>
      </w:r>
      <w:r>
        <w:rPr>
          <w:rFonts w:hint="eastAsia" w:ascii="仿宋_GB2312" w:eastAsia="仿宋_GB2312"/>
          <w:color w:val="auto"/>
          <w:sz w:val="32"/>
          <w:szCs w:val="32"/>
        </w:rPr>
        <w:t>住房保障：2210201住房保障支出中的住房公积金支出指的是行政事业单位按人力资源和社会保障部、财政部规定的基本工资和津贴补贴以及规定比例为职工缴纳的住房公积金。</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13</w:t>
      </w:r>
      <w:r>
        <w:rPr>
          <w:rFonts w:ascii="仿宋_GB2312" w:eastAsia="仿宋_GB2312"/>
          <w:color w:val="auto"/>
          <w:sz w:val="32"/>
          <w:szCs w:val="32"/>
        </w:rPr>
        <w:t>.</w:t>
      </w:r>
      <w:r>
        <w:rPr>
          <w:rFonts w:hint="eastAsia" w:ascii="仿宋_GB2312" w:eastAsia="仿宋_GB2312"/>
          <w:color w:val="auto"/>
          <w:sz w:val="32"/>
          <w:szCs w:val="32"/>
        </w:rPr>
        <w:t>基本支出：指为保障机构正常运转、完成日常工作任务而发生的人员支出和公用支出。</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14</w:t>
      </w:r>
      <w:r>
        <w:rPr>
          <w:rFonts w:ascii="仿宋_GB2312" w:eastAsia="仿宋_GB2312"/>
          <w:color w:val="auto"/>
          <w:sz w:val="32"/>
          <w:szCs w:val="32"/>
        </w:rPr>
        <w:t>.</w:t>
      </w:r>
      <w:r>
        <w:rPr>
          <w:rFonts w:hint="eastAsia" w:ascii="仿宋_GB2312" w:eastAsia="仿宋_GB2312"/>
          <w:color w:val="auto"/>
          <w:sz w:val="32"/>
          <w:szCs w:val="32"/>
        </w:rPr>
        <w:t>项目支出：指在基本支出之外为完成特定行政任务和事业发展目标所发生的支出。</w:t>
      </w:r>
      <w:r>
        <w:rPr>
          <w:rFonts w:ascii="仿宋_GB2312" w:eastAsia="仿宋_GB2312"/>
          <w:color w:val="auto"/>
          <w:sz w:val="32"/>
          <w:szCs w:val="32"/>
        </w:rPr>
        <w:t xml:space="preserve"> </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15</w:t>
      </w:r>
      <w:r>
        <w:rPr>
          <w:rFonts w:ascii="仿宋_GB2312" w:eastAsia="仿宋_GB2312"/>
          <w:color w:val="auto"/>
          <w:sz w:val="32"/>
          <w:szCs w:val="32"/>
        </w:rPr>
        <w:t>.</w:t>
      </w:r>
      <w:r>
        <w:rPr>
          <w:rFonts w:hint="eastAsia" w:ascii="仿宋_GB2312" w:eastAsia="仿宋_GB2312"/>
          <w:color w:val="auto"/>
          <w:sz w:val="32"/>
          <w:szCs w:val="32"/>
        </w:rPr>
        <w:t>经营支出：指事业单位在专业业务活动及其辅助活动之外开展非独立核算经营活动发生的支出。</w:t>
      </w:r>
    </w:p>
    <w:p>
      <w:pPr>
        <w:pStyle w:val="25"/>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16</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17</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pageBreakBefore w:val="0"/>
        <w:kinsoku/>
        <w:wordWrap/>
        <w:overflowPunct/>
        <w:topLinePunct w:val="0"/>
        <w:bidi w:val="0"/>
        <w:spacing w:line="560" w:lineRule="exact"/>
        <w:ind w:firstLine="640" w:firstLineChars="200"/>
        <w:textAlignment w:val="auto"/>
        <w:rPr>
          <w:rFonts w:ascii="仿宋_GB2312" w:eastAsia="仿宋_GB2312" w:cs="黑体"/>
          <w:color w:val="auto"/>
          <w:sz w:val="32"/>
          <w:szCs w:val="32"/>
        </w:rPr>
      </w:pPr>
    </w:p>
    <w:p>
      <w:pPr>
        <w:pageBreakBefore w:val="0"/>
        <w:kinsoku/>
        <w:wordWrap/>
        <w:overflowPunct/>
        <w:topLinePunct w:val="0"/>
        <w:bidi w:val="0"/>
        <w:spacing w:line="560" w:lineRule="exact"/>
        <w:ind w:firstLine="643" w:firstLineChars="200"/>
        <w:textAlignment w:val="auto"/>
        <w:rPr>
          <w:rFonts w:ascii="仿宋" w:hAnsi="仿宋" w:eastAsia="仿宋"/>
          <w:b/>
          <w:color w:val="auto"/>
          <w:sz w:val="32"/>
          <w:szCs w:val="32"/>
        </w:rPr>
      </w:pPr>
      <w:r>
        <w:rPr>
          <w:rFonts w:hint="eastAsia" w:ascii="仿宋" w:hAnsi="仿宋" w:eastAsia="仿宋"/>
          <w:b/>
          <w:color w:val="auto"/>
          <w:sz w:val="32"/>
          <w:szCs w:val="32"/>
        </w:rPr>
        <w:t>（名词解释部分请根据各部门实际列支情况罗列，并根据本部门职责职能增减名词解释内容。）</w:t>
      </w:r>
    </w:p>
    <w:p>
      <w:pPr>
        <w:pageBreakBefore w:val="0"/>
        <w:kinsoku/>
        <w:wordWrap/>
        <w:overflowPunct/>
        <w:topLinePunct w:val="0"/>
        <w:bidi w:val="0"/>
        <w:spacing w:line="560" w:lineRule="exact"/>
        <w:jc w:val="center"/>
        <w:textAlignment w:val="auto"/>
        <w:outlineLvl w:val="0"/>
        <w:rPr>
          <w:rStyle w:val="27"/>
          <w:rFonts w:ascii="黑体" w:hAnsi="黑体" w:eastAsia="黑体"/>
          <w:b w:val="0"/>
          <w:color w:val="auto"/>
        </w:rPr>
      </w:pPr>
      <w:bookmarkStart w:id="102" w:name="_Toc15377226"/>
      <w:r>
        <w:rPr>
          <w:rFonts w:ascii="宋体"/>
          <w:b/>
          <w:color w:val="auto"/>
          <w:sz w:val="44"/>
          <w:szCs w:val="44"/>
        </w:rPr>
        <w:br w:type="page"/>
      </w:r>
      <w:bookmarkStart w:id="103" w:name="_Toc27214"/>
      <w:bookmarkStart w:id="104" w:name="_Toc17103566"/>
      <w:r>
        <w:rPr>
          <w:rStyle w:val="27"/>
          <w:rFonts w:hint="eastAsia" w:ascii="黑体" w:hAnsi="黑体"/>
          <w:color w:val="auto"/>
        </w:rPr>
        <w:t>第四部分 附件</w:t>
      </w:r>
      <w:bookmarkEnd w:id="103"/>
      <w:bookmarkEnd w:id="104"/>
    </w:p>
    <w:p>
      <w:pPr>
        <w:pageBreakBefore w:val="0"/>
        <w:kinsoku/>
        <w:wordWrap/>
        <w:overflowPunct/>
        <w:topLinePunct w:val="0"/>
        <w:bidi w:val="0"/>
        <w:spacing w:line="560" w:lineRule="exact"/>
        <w:jc w:val="center"/>
        <w:textAlignment w:val="auto"/>
        <w:outlineLvl w:val="0"/>
        <w:rPr>
          <w:rStyle w:val="27"/>
          <w:color w:val="auto"/>
        </w:rPr>
      </w:pPr>
    </w:p>
    <w:p>
      <w:pPr>
        <w:pageBreakBefore w:val="0"/>
        <w:widowControl/>
        <w:kinsoku/>
        <w:wordWrap/>
        <w:overflowPunct/>
        <w:topLinePunct w:val="0"/>
        <w:bidi w:val="0"/>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105" w:name="_Toc17103567"/>
      <w:bookmarkStart w:id="106" w:name="_Toc6569"/>
      <w:r>
        <w:rPr>
          <w:rStyle w:val="28"/>
          <w:rFonts w:hint="eastAsia" w:ascii="方正黑体简体" w:hAnsi="方正黑体简体" w:eastAsia="方正黑体简体" w:cs="方正黑体简体"/>
          <w:b w:val="0"/>
          <w:bCs w:val="0"/>
          <w:color w:val="auto"/>
        </w:rPr>
        <w:t>附件1</w:t>
      </w:r>
      <w:bookmarkEnd w:id="105"/>
    </w:p>
    <w:bookmarkEnd w:id="106"/>
    <w:p>
      <w:pPr>
        <w:pageBreakBefore w:val="0"/>
        <w:widowControl/>
        <w:kinsoku/>
        <w:wordWrap/>
        <w:overflowPunct/>
        <w:topLinePunct w:val="0"/>
        <w:bidi w:val="0"/>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p>
    <w:p>
      <w:pPr>
        <w:pageBreakBefore w:val="0"/>
        <w:kinsoku/>
        <w:wordWrap/>
        <w:overflowPunct/>
        <w:topLinePunct w:val="0"/>
        <w:bidi w:val="0"/>
        <w:spacing w:line="560" w:lineRule="exact"/>
        <w:jc w:val="center"/>
        <w:textAlignment w:val="auto"/>
        <w:outlineLvl w:val="0"/>
        <w:rPr>
          <w:rFonts w:ascii="黑体" w:hAnsi="黑体" w:eastAsia="黑体" w:cs="方正小标宋简体"/>
          <w:color w:val="auto"/>
          <w:sz w:val="36"/>
          <w:szCs w:val="36"/>
        </w:rPr>
      </w:pPr>
      <w:bookmarkStart w:id="107" w:name="_Toc4772"/>
      <w:bookmarkStart w:id="108" w:name="_Toc15396616"/>
      <w:bookmarkStart w:id="109" w:name="_Toc17103568"/>
      <w:r>
        <w:rPr>
          <w:rFonts w:hint="eastAsia" w:ascii="黑体" w:hAnsi="黑体" w:eastAsia="黑体" w:cs="方正小标宋简体"/>
          <w:color w:val="auto"/>
          <w:sz w:val="36"/>
          <w:szCs w:val="36"/>
        </w:rPr>
        <w:t>团区委部门20</w:t>
      </w:r>
      <w:r>
        <w:rPr>
          <w:rFonts w:hint="eastAsia" w:ascii="黑体" w:hAnsi="黑体" w:eastAsia="黑体" w:cs="方正小标宋简体"/>
          <w:color w:val="auto"/>
          <w:sz w:val="36"/>
          <w:szCs w:val="36"/>
          <w:lang w:val="en-US" w:eastAsia="zh-CN"/>
        </w:rPr>
        <w:t>20</w:t>
      </w:r>
      <w:r>
        <w:rPr>
          <w:rFonts w:hint="eastAsia" w:ascii="黑体" w:hAnsi="黑体" w:eastAsia="黑体" w:cs="方正小标宋简体"/>
          <w:color w:val="auto"/>
          <w:sz w:val="36"/>
          <w:szCs w:val="36"/>
        </w:rPr>
        <w:t>年部门整体支出绩效评价报告</w:t>
      </w:r>
      <w:bookmarkEnd w:id="107"/>
      <w:bookmarkEnd w:id="108"/>
      <w:bookmarkEnd w:id="109"/>
    </w:p>
    <w:p>
      <w:pPr>
        <w:pageBreakBefore w:val="0"/>
        <w:kinsoku/>
        <w:wordWrap/>
        <w:overflowPunct/>
        <w:topLinePunct w:val="0"/>
        <w:bidi w:val="0"/>
        <w:spacing w:line="560" w:lineRule="exact"/>
        <w:ind w:firstLine="640" w:firstLineChars="200"/>
        <w:textAlignment w:val="auto"/>
        <w:rPr>
          <w:rFonts w:ascii="黑体" w:hAnsi="黑体" w:eastAsia="黑体" w:cs="黑体"/>
          <w:color w:val="auto"/>
          <w:sz w:val="32"/>
          <w:szCs w:val="32"/>
        </w:rPr>
      </w:pPr>
    </w:p>
    <w:p>
      <w:pPr>
        <w:pageBreakBefore w:val="0"/>
        <w:kinsoku/>
        <w:wordWrap/>
        <w:overflowPunct/>
        <w:topLinePunct w:val="0"/>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一、部门（单位）概况</w:t>
      </w:r>
    </w:p>
    <w:p>
      <w:pPr>
        <w:pageBreakBefore w:val="0"/>
        <w:kinsoku/>
        <w:wordWrap/>
        <w:overflowPunct/>
        <w:topLinePunct w:val="0"/>
        <w:bidi w:val="0"/>
        <w:adjustRightInd w:val="0"/>
        <w:snapToGrid w:val="0"/>
        <w:spacing w:line="560" w:lineRule="exact"/>
        <w:ind w:firstLine="640" w:firstLineChars="200"/>
        <w:textAlignment w:val="auto"/>
        <w:rPr>
          <w:rFonts w:ascii="仿宋" w:hAnsi="仿宋" w:eastAsia="仿宋"/>
          <w:color w:val="auto"/>
          <w:sz w:val="32"/>
          <w:szCs w:val="32"/>
        </w:rPr>
      </w:pPr>
      <w:r>
        <w:rPr>
          <w:rFonts w:ascii="仿宋" w:hAnsi="仿宋" w:eastAsia="仿宋" w:cs="仿宋_GB2312"/>
          <w:color w:val="auto"/>
          <w:sz w:val="32"/>
          <w:szCs w:val="32"/>
        </w:rPr>
        <w:t>（一）机构组成。</w:t>
      </w:r>
      <w:r>
        <w:rPr>
          <w:rFonts w:hint="eastAsia" w:ascii="方正仿宋简体" w:hAnsi="仿宋" w:eastAsia="方正仿宋简体"/>
          <w:color w:val="auto"/>
          <w:sz w:val="32"/>
          <w:szCs w:val="32"/>
        </w:rPr>
        <w:t>团区委具有法人资格的一级预算单位。</w:t>
      </w:r>
    </w:p>
    <w:p>
      <w:pPr>
        <w:pageBreakBefore w:val="0"/>
        <w:kinsoku/>
        <w:wordWrap/>
        <w:overflowPunct/>
        <w:topLinePunct w:val="0"/>
        <w:bidi w:val="0"/>
        <w:snapToGrid w:val="0"/>
        <w:spacing w:line="560" w:lineRule="exact"/>
        <w:ind w:firstLine="640" w:firstLineChars="200"/>
        <w:textAlignment w:val="auto"/>
        <w:rPr>
          <w:rFonts w:ascii="方正仿宋简体" w:hAnsi="仿宋" w:eastAsia="方正仿宋简体"/>
          <w:color w:val="auto"/>
          <w:sz w:val="32"/>
          <w:szCs w:val="32"/>
        </w:rPr>
      </w:pPr>
      <w:r>
        <w:rPr>
          <w:rFonts w:ascii="仿宋" w:hAnsi="仿宋" w:eastAsia="仿宋" w:cs="仿宋_GB2312"/>
          <w:color w:val="auto"/>
          <w:sz w:val="32"/>
          <w:szCs w:val="32"/>
        </w:rPr>
        <w:t>（二）机构职能。</w:t>
      </w:r>
      <w:r>
        <w:rPr>
          <w:rFonts w:hint="eastAsia" w:ascii="方正仿宋简体" w:hAnsi="仿宋" w:eastAsia="方正仿宋简体"/>
          <w:color w:val="auto"/>
          <w:sz w:val="32"/>
          <w:szCs w:val="32"/>
        </w:rPr>
        <w:t>雁江区团委是中国共产党领导的</w:t>
      </w:r>
      <w:r>
        <w:rPr>
          <w:rFonts w:hint="eastAsia" w:ascii="方正仿宋简体" w:hAnsi="仿宋" w:eastAsia="方正仿宋简体"/>
          <w:color w:val="auto"/>
          <w:sz w:val="32"/>
          <w:szCs w:val="32"/>
          <w:lang w:eastAsia="zh-CN"/>
        </w:rPr>
        <w:t>先进青年的群团组织</w:t>
      </w:r>
      <w:bookmarkStart w:id="140" w:name="_GoBack"/>
      <w:bookmarkEnd w:id="140"/>
      <w:r>
        <w:rPr>
          <w:rFonts w:hint="eastAsia" w:ascii="方正仿宋简体" w:hAnsi="仿宋" w:eastAsia="方正仿宋简体"/>
          <w:color w:val="auto"/>
          <w:sz w:val="32"/>
          <w:szCs w:val="32"/>
        </w:rPr>
        <w:t>，承担联系青年的桥梁和纽带，负责共青团、青少年事业发展组织和带领青年发挥生力军和突击队作用的群团部门。</w:t>
      </w:r>
    </w:p>
    <w:p>
      <w:pPr>
        <w:pageBreakBefore w:val="0"/>
        <w:kinsoku/>
        <w:wordWrap/>
        <w:overflowPunct/>
        <w:topLinePunct w:val="0"/>
        <w:bidi w:val="0"/>
        <w:spacing w:line="560" w:lineRule="exact"/>
        <w:ind w:firstLine="640" w:firstLineChars="200"/>
        <w:textAlignment w:val="auto"/>
        <w:rPr>
          <w:rFonts w:ascii="仿宋" w:hAnsi="仿宋" w:eastAsia="仿宋" w:cs="仿宋_GB2312"/>
          <w:color w:val="auto"/>
          <w:sz w:val="32"/>
          <w:szCs w:val="32"/>
        </w:rPr>
      </w:pPr>
      <w:r>
        <w:rPr>
          <w:rFonts w:ascii="仿宋" w:hAnsi="仿宋" w:eastAsia="仿宋" w:cs="仿宋_GB2312"/>
          <w:color w:val="auto"/>
          <w:sz w:val="32"/>
          <w:szCs w:val="32"/>
        </w:rPr>
        <w:t>（三）人员概况。</w:t>
      </w:r>
      <w:r>
        <w:rPr>
          <w:rFonts w:hint="eastAsia" w:ascii="仿宋" w:hAnsi="仿宋" w:eastAsia="仿宋" w:cs="仿宋_GB2312"/>
          <w:color w:val="auto"/>
          <w:sz w:val="32"/>
          <w:szCs w:val="32"/>
        </w:rPr>
        <w:t>团区委编制数6人，实有人数4人。</w:t>
      </w:r>
    </w:p>
    <w:p>
      <w:pPr>
        <w:pageBreakBefore w:val="0"/>
        <w:kinsoku/>
        <w:wordWrap/>
        <w:overflowPunct/>
        <w:topLinePunct w:val="0"/>
        <w:bidi w:val="0"/>
        <w:spacing w:line="560" w:lineRule="exact"/>
        <w:ind w:firstLine="640" w:firstLineChars="200"/>
        <w:textAlignment w:val="auto"/>
        <w:rPr>
          <w:rFonts w:ascii="黑体" w:hAnsi="黑体" w:eastAsia="黑体" w:cs="黑体"/>
          <w:color w:val="auto"/>
          <w:sz w:val="32"/>
          <w:szCs w:val="32"/>
        </w:rPr>
      </w:pPr>
      <w:r>
        <w:rPr>
          <w:rFonts w:ascii="黑体" w:hAnsi="黑体" w:eastAsia="黑体" w:cs="黑体"/>
          <w:color w:val="auto"/>
          <w:sz w:val="32"/>
          <w:szCs w:val="32"/>
        </w:rPr>
        <w:t>二、部门财政资金收支情况</w:t>
      </w:r>
    </w:p>
    <w:p>
      <w:pPr>
        <w:pageBreakBefore w:val="0"/>
        <w:kinsoku/>
        <w:wordWrap/>
        <w:overflowPunct/>
        <w:topLinePunct w:val="0"/>
        <w:bidi w:val="0"/>
        <w:spacing w:line="560" w:lineRule="exact"/>
        <w:ind w:firstLine="640" w:firstLineChars="200"/>
        <w:textAlignment w:val="auto"/>
        <w:rPr>
          <w:rFonts w:ascii="仿宋" w:hAnsi="仿宋" w:eastAsia="仿宋" w:cs="仿宋_GB2312"/>
          <w:color w:val="auto"/>
          <w:sz w:val="32"/>
          <w:szCs w:val="32"/>
        </w:rPr>
      </w:pPr>
      <w:r>
        <w:rPr>
          <w:rFonts w:ascii="仿宋" w:hAnsi="仿宋" w:eastAsia="仿宋" w:cs="仿宋_GB2312"/>
          <w:color w:val="auto"/>
          <w:sz w:val="32"/>
          <w:szCs w:val="32"/>
        </w:rPr>
        <w:t>（一）部门财政资金收入情况。</w:t>
      </w:r>
      <w:r>
        <w:rPr>
          <w:rFonts w:hint="eastAsia" w:ascii="仿宋" w:hAnsi="仿宋" w:eastAsia="仿宋"/>
          <w:color w:val="auto"/>
          <w:sz w:val="32"/>
          <w:szCs w:val="32"/>
        </w:rPr>
        <w:t>本年收入全部为一般公共预算财政拨款收入，合计</w:t>
      </w:r>
      <w:r>
        <w:rPr>
          <w:rFonts w:hint="eastAsia" w:ascii="仿宋" w:hAnsi="仿宋" w:eastAsia="仿宋"/>
          <w:color w:val="auto"/>
          <w:sz w:val="32"/>
          <w:szCs w:val="32"/>
          <w:lang w:val="en-US" w:eastAsia="zh-CN"/>
        </w:rPr>
        <w:t>183.21</w:t>
      </w:r>
      <w:r>
        <w:rPr>
          <w:rFonts w:hint="eastAsia" w:ascii="仿宋" w:hAnsi="仿宋" w:eastAsia="仿宋"/>
          <w:color w:val="auto"/>
          <w:sz w:val="32"/>
          <w:szCs w:val="32"/>
        </w:rPr>
        <w:t>万元。</w:t>
      </w:r>
    </w:p>
    <w:p>
      <w:pPr>
        <w:pageBreakBefore w:val="0"/>
        <w:kinsoku/>
        <w:wordWrap/>
        <w:overflowPunct/>
        <w:topLinePunct w:val="0"/>
        <w:bidi w:val="0"/>
        <w:spacing w:line="560" w:lineRule="exact"/>
        <w:ind w:firstLine="640" w:firstLineChars="200"/>
        <w:textAlignment w:val="auto"/>
        <w:rPr>
          <w:rFonts w:ascii="仿宋" w:hAnsi="仿宋" w:eastAsia="仿宋" w:cs="仿宋_GB2312"/>
          <w:color w:val="auto"/>
          <w:sz w:val="32"/>
          <w:szCs w:val="32"/>
        </w:rPr>
      </w:pPr>
      <w:r>
        <w:rPr>
          <w:rFonts w:ascii="仿宋" w:hAnsi="仿宋" w:eastAsia="仿宋" w:cs="仿宋_GB2312"/>
          <w:color w:val="auto"/>
          <w:sz w:val="32"/>
          <w:szCs w:val="32"/>
        </w:rPr>
        <w:t>（二）部门财政资金支出情况。</w:t>
      </w:r>
      <w:r>
        <w:rPr>
          <w:rFonts w:hint="eastAsia" w:ascii="仿宋" w:hAnsi="仿宋" w:eastAsia="仿宋"/>
          <w:color w:val="auto"/>
          <w:sz w:val="32"/>
          <w:szCs w:val="32"/>
        </w:rPr>
        <w:t>本年支出全部为一般公共预算财政拨款支出，合计</w:t>
      </w:r>
      <w:r>
        <w:rPr>
          <w:rFonts w:hint="eastAsia" w:ascii="仿宋" w:hAnsi="仿宋" w:eastAsia="仿宋"/>
          <w:color w:val="auto"/>
          <w:sz w:val="32"/>
          <w:szCs w:val="32"/>
          <w:lang w:val="en-US" w:eastAsia="zh-CN"/>
        </w:rPr>
        <w:t>153</w:t>
      </w:r>
      <w:r>
        <w:rPr>
          <w:rFonts w:hint="eastAsia" w:ascii="仿宋" w:hAnsi="仿宋" w:eastAsia="仿宋"/>
          <w:color w:val="auto"/>
          <w:sz w:val="32"/>
          <w:szCs w:val="32"/>
        </w:rPr>
        <w:t>万元。</w:t>
      </w:r>
    </w:p>
    <w:p>
      <w:pPr>
        <w:pageBreakBefore w:val="0"/>
        <w:kinsoku/>
        <w:wordWrap/>
        <w:overflowPunct/>
        <w:topLinePunct w:val="0"/>
        <w:bidi w:val="0"/>
        <w:spacing w:line="560" w:lineRule="exact"/>
        <w:ind w:firstLine="640" w:firstLineChars="200"/>
        <w:textAlignment w:val="auto"/>
        <w:rPr>
          <w:rFonts w:ascii="黑体" w:hAnsi="黑体" w:eastAsia="黑体" w:cs="黑体"/>
          <w:color w:val="auto"/>
          <w:sz w:val="32"/>
          <w:szCs w:val="32"/>
        </w:rPr>
      </w:pPr>
      <w:r>
        <w:rPr>
          <w:rFonts w:ascii="黑体" w:hAnsi="黑体" w:eastAsia="黑体" w:cs="黑体"/>
          <w:color w:val="auto"/>
          <w:sz w:val="32"/>
          <w:szCs w:val="32"/>
        </w:rPr>
        <w:t>三、部门整体预算绩效管理情况（根据适用指标体系进行调整）</w:t>
      </w:r>
    </w:p>
    <w:p>
      <w:pPr>
        <w:pageBreakBefore w:val="0"/>
        <w:kinsoku/>
        <w:wordWrap/>
        <w:overflowPunct/>
        <w:topLinePunct w:val="0"/>
        <w:bidi w:val="0"/>
        <w:spacing w:line="560" w:lineRule="exact"/>
        <w:ind w:firstLine="640" w:firstLineChars="200"/>
        <w:textAlignment w:val="auto"/>
        <w:rPr>
          <w:rFonts w:ascii="仿宋" w:hAnsi="仿宋" w:eastAsia="仿宋" w:cs="仿宋_GB2312"/>
          <w:color w:val="auto"/>
          <w:sz w:val="32"/>
          <w:szCs w:val="32"/>
        </w:rPr>
      </w:pPr>
      <w:r>
        <w:rPr>
          <w:rFonts w:ascii="仿宋" w:hAnsi="仿宋" w:eastAsia="仿宋" w:cs="仿宋_GB2312"/>
          <w:color w:val="auto"/>
          <w:sz w:val="32"/>
          <w:szCs w:val="32"/>
        </w:rPr>
        <w:t>（一）部门预算管理。</w:t>
      </w:r>
    </w:p>
    <w:p>
      <w:pPr>
        <w:pageBreakBefore w:val="0"/>
        <w:kinsoku/>
        <w:wordWrap/>
        <w:overflowPunct/>
        <w:topLinePunct w:val="0"/>
        <w:bidi w:val="0"/>
        <w:spacing w:line="560" w:lineRule="exact"/>
        <w:ind w:firstLine="640" w:firstLineChars="200"/>
        <w:textAlignment w:val="auto"/>
        <w:rPr>
          <w:rFonts w:ascii="仿宋" w:hAnsi="仿宋" w:eastAsia="仿宋" w:cs="仿宋_GB2312"/>
          <w:color w:val="auto"/>
          <w:sz w:val="32"/>
          <w:szCs w:val="32"/>
        </w:rPr>
      </w:pPr>
      <w:r>
        <w:rPr>
          <w:rFonts w:hint="eastAsia" w:ascii="仿宋" w:hAnsi="仿宋" w:eastAsia="仿宋" w:cs="仿宋_GB2312"/>
          <w:color w:val="auto"/>
          <w:sz w:val="32"/>
          <w:szCs w:val="32"/>
        </w:rPr>
        <w:t>团区委</w:t>
      </w:r>
      <w:r>
        <w:rPr>
          <w:rFonts w:ascii="仿宋" w:hAnsi="仿宋" w:eastAsia="仿宋" w:cs="仿宋_GB2312"/>
          <w:color w:val="auto"/>
          <w:sz w:val="32"/>
          <w:szCs w:val="32"/>
        </w:rPr>
        <w:t>绩效目标制定</w:t>
      </w:r>
      <w:r>
        <w:rPr>
          <w:rFonts w:hint="eastAsia" w:ascii="仿宋" w:hAnsi="仿宋" w:eastAsia="仿宋" w:cs="仿宋_GB2312"/>
          <w:color w:val="auto"/>
          <w:sz w:val="32"/>
          <w:szCs w:val="32"/>
        </w:rPr>
        <w:t>清楚，</w:t>
      </w:r>
      <w:r>
        <w:rPr>
          <w:rFonts w:ascii="仿宋" w:hAnsi="仿宋" w:eastAsia="仿宋" w:cs="仿宋_GB2312"/>
          <w:color w:val="auto"/>
          <w:sz w:val="32"/>
          <w:szCs w:val="32"/>
        </w:rPr>
        <w:t>目标完成</w:t>
      </w:r>
      <w:r>
        <w:rPr>
          <w:rFonts w:hint="eastAsia" w:ascii="仿宋" w:hAnsi="仿宋" w:eastAsia="仿宋" w:cs="仿宋_GB2312"/>
          <w:color w:val="auto"/>
          <w:sz w:val="32"/>
          <w:szCs w:val="32"/>
        </w:rPr>
        <w:t>良好，</w:t>
      </w:r>
      <w:r>
        <w:rPr>
          <w:rFonts w:ascii="仿宋" w:hAnsi="仿宋" w:eastAsia="仿宋" w:cs="仿宋_GB2312"/>
          <w:color w:val="auto"/>
          <w:sz w:val="32"/>
          <w:szCs w:val="32"/>
        </w:rPr>
        <w:t>预算编制准确</w:t>
      </w:r>
      <w:r>
        <w:rPr>
          <w:rFonts w:hint="eastAsia" w:ascii="仿宋" w:hAnsi="仿宋" w:eastAsia="仿宋" w:cs="仿宋_GB2312"/>
          <w:color w:val="auto"/>
          <w:sz w:val="32"/>
          <w:szCs w:val="32"/>
        </w:rPr>
        <w:t>，</w:t>
      </w:r>
      <w:r>
        <w:rPr>
          <w:rFonts w:ascii="仿宋" w:hAnsi="仿宋" w:eastAsia="仿宋" w:cs="仿宋_GB2312"/>
          <w:color w:val="auto"/>
          <w:sz w:val="32"/>
          <w:szCs w:val="32"/>
        </w:rPr>
        <w:t>支出控制</w:t>
      </w:r>
      <w:r>
        <w:rPr>
          <w:rFonts w:hint="eastAsia" w:ascii="仿宋" w:hAnsi="仿宋" w:eastAsia="仿宋" w:cs="仿宋_GB2312"/>
          <w:color w:val="auto"/>
          <w:sz w:val="32"/>
          <w:szCs w:val="32"/>
        </w:rPr>
        <w:t>严格，</w:t>
      </w:r>
      <w:r>
        <w:rPr>
          <w:rFonts w:ascii="仿宋" w:hAnsi="仿宋" w:eastAsia="仿宋" w:cs="仿宋_GB2312"/>
          <w:color w:val="auto"/>
          <w:sz w:val="32"/>
          <w:szCs w:val="32"/>
        </w:rPr>
        <w:t>预算动态调整</w:t>
      </w:r>
      <w:r>
        <w:rPr>
          <w:rFonts w:hint="eastAsia" w:ascii="仿宋" w:hAnsi="仿宋" w:eastAsia="仿宋" w:cs="仿宋_GB2312"/>
          <w:color w:val="auto"/>
          <w:sz w:val="32"/>
          <w:szCs w:val="32"/>
        </w:rPr>
        <w:t>到位</w:t>
      </w:r>
      <w:r>
        <w:rPr>
          <w:rFonts w:ascii="仿宋" w:hAnsi="仿宋" w:eastAsia="仿宋" w:cs="仿宋_GB2312"/>
          <w:color w:val="auto"/>
          <w:sz w:val="32"/>
          <w:szCs w:val="32"/>
        </w:rPr>
        <w:t>、执行进度</w:t>
      </w:r>
      <w:r>
        <w:rPr>
          <w:rFonts w:hint="eastAsia" w:ascii="仿宋" w:hAnsi="仿宋" w:eastAsia="仿宋" w:cs="仿宋_GB2312"/>
          <w:color w:val="auto"/>
          <w:sz w:val="32"/>
          <w:szCs w:val="32"/>
        </w:rPr>
        <w:t>按照财政拨付资金进行执行，</w:t>
      </w:r>
      <w:r>
        <w:rPr>
          <w:rFonts w:ascii="仿宋" w:hAnsi="仿宋" w:eastAsia="仿宋" w:cs="仿宋_GB2312"/>
          <w:color w:val="auto"/>
          <w:sz w:val="32"/>
          <w:szCs w:val="32"/>
        </w:rPr>
        <w:t>预算完成情况</w:t>
      </w:r>
      <w:r>
        <w:rPr>
          <w:rFonts w:hint="eastAsia" w:ascii="仿宋" w:hAnsi="仿宋" w:eastAsia="仿宋" w:cs="仿宋_GB2312"/>
          <w:color w:val="auto"/>
          <w:sz w:val="32"/>
          <w:szCs w:val="32"/>
        </w:rPr>
        <w:t>良好，无</w:t>
      </w:r>
      <w:r>
        <w:rPr>
          <w:rFonts w:ascii="仿宋" w:hAnsi="仿宋" w:eastAsia="仿宋" w:cs="仿宋_GB2312"/>
          <w:color w:val="auto"/>
          <w:sz w:val="32"/>
          <w:szCs w:val="32"/>
        </w:rPr>
        <w:t>违规记录等情况。</w:t>
      </w:r>
    </w:p>
    <w:p>
      <w:pPr>
        <w:pageBreakBefore w:val="0"/>
        <w:kinsoku/>
        <w:wordWrap/>
        <w:overflowPunct/>
        <w:topLinePunct w:val="0"/>
        <w:bidi w:val="0"/>
        <w:spacing w:line="560" w:lineRule="exact"/>
        <w:ind w:firstLine="640" w:firstLineChars="200"/>
        <w:textAlignment w:val="auto"/>
        <w:rPr>
          <w:rFonts w:ascii="仿宋" w:hAnsi="仿宋" w:eastAsia="仿宋" w:cs="仿宋_GB2312"/>
          <w:color w:val="auto"/>
          <w:sz w:val="32"/>
          <w:szCs w:val="32"/>
        </w:rPr>
      </w:pPr>
      <w:r>
        <w:rPr>
          <w:rFonts w:ascii="仿宋" w:hAnsi="仿宋" w:eastAsia="仿宋" w:cs="仿宋_GB2312"/>
          <w:color w:val="auto"/>
          <w:sz w:val="32"/>
          <w:szCs w:val="32"/>
        </w:rPr>
        <w:t>（二）专项预算管理。</w:t>
      </w:r>
    </w:p>
    <w:p>
      <w:pPr>
        <w:pageBreakBefore w:val="0"/>
        <w:kinsoku/>
        <w:wordWrap/>
        <w:overflowPunct/>
        <w:topLinePunct w:val="0"/>
        <w:bidi w:val="0"/>
        <w:spacing w:line="560" w:lineRule="exact"/>
        <w:ind w:firstLine="640" w:firstLineChars="200"/>
        <w:textAlignment w:val="auto"/>
        <w:rPr>
          <w:rFonts w:ascii="仿宋" w:hAnsi="仿宋" w:eastAsia="仿宋" w:cs="仿宋_GB2312"/>
          <w:color w:val="auto"/>
          <w:sz w:val="32"/>
          <w:szCs w:val="32"/>
        </w:rPr>
      </w:pPr>
      <w:r>
        <w:rPr>
          <w:rFonts w:ascii="仿宋" w:hAnsi="仿宋" w:eastAsia="仿宋" w:cs="仿宋_GB2312"/>
          <w:color w:val="auto"/>
          <w:sz w:val="32"/>
          <w:szCs w:val="32"/>
        </w:rPr>
        <w:t>专项预算项目程序严密、规划合理、结果符合</w:t>
      </w:r>
      <w:r>
        <w:rPr>
          <w:rFonts w:hint="eastAsia" w:ascii="仿宋" w:hAnsi="仿宋" w:eastAsia="仿宋" w:cs="仿宋_GB2312"/>
          <w:color w:val="auto"/>
          <w:sz w:val="32"/>
          <w:szCs w:val="32"/>
        </w:rPr>
        <w:t>要求，专项预算</w:t>
      </w:r>
      <w:r>
        <w:rPr>
          <w:rFonts w:ascii="仿宋" w:hAnsi="仿宋" w:eastAsia="仿宋" w:cs="仿宋_GB2312"/>
          <w:color w:val="auto"/>
          <w:sz w:val="32"/>
          <w:szCs w:val="32"/>
        </w:rPr>
        <w:t>分配科学、分配及时</w:t>
      </w:r>
      <w:r>
        <w:rPr>
          <w:rFonts w:hint="eastAsia" w:ascii="仿宋" w:hAnsi="仿宋" w:eastAsia="仿宋" w:cs="仿宋_GB2312"/>
          <w:color w:val="auto"/>
          <w:sz w:val="32"/>
          <w:szCs w:val="32"/>
        </w:rPr>
        <w:t>，</w:t>
      </w:r>
      <w:r>
        <w:rPr>
          <w:rFonts w:ascii="仿宋" w:hAnsi="仿宋" w:eastAsia="仿宋" w:cs="仿宋_GB2312"/>
          <w:color w:val="auto"/>
          <w:sz w:val="32"/>
          <w:szCs w:val="32"/>
        </w:rPr>
        <w:t>专项预算绩效目标完成</w:t>
      </w:r>
      <w:r>
        <w:rPr>
          <w:rFonts w:hint="eastAsia" w:ascii="仿宋" w:hAnsi="仿宋" w:eastAsia="仿宋" w:cs="仿宋_GB2312"/>
          <w:color w:val="auto"/>
          <w:sz w:val="32"/>
          <w:szCs w:val="32"/>
        </w:rPr>
        <w:t>达到63%，</w:t>
      </w:r>
      <w:r>
        <w:rPr>
          <w:rFonts w:ascii="仿宋" w:hAnsi="仿宋" w:eastAsia="仿宋" w:cs="仿宋_GB2312"/>
          <w:color w:val="auto"/>
          <w:sz w:val="32"/>
          <w:szCs w:val="32"/>
        </w:rPr>
        <w:t>实施绩效</w:t>
      </w:r>
      <w:r>
        <w:rPr>
          <w:rFonts w:hint="eastAsia" w:ascii="仿宋" w:hAnsi="仿宋" w:eastAsia="仿宋" w:cs="仿宋_GB2312"/>
          <w:color w:val="auto"/>
          <w:sz w:val="32"/>
          <w:szCs w:val="32"/>
        </w:rPr>
        <w:t>情况良好，无</w:t>
      </w:r>
      <w:r>
        <w:rPr>
          <w:rFonts w:ascii="仿宋" w:hAnsi="仿宋" w:eastAsia="仿宋" w:cs="仿宋_GB2312"/>
          <w:color w:val="auto"/>
          <w:sz w:val="32"/>
          <w:szCs w:val="32"/>
        </w:rPr>
        <w:t>违规记录等情况。</w:t>
      </w:r>
    </w:p>
    <w:p>
      <w:pPr>
        <w:pageBreakBefore w:val="0"/>
        <w:kinsoku/>
        <w:wordWrap/>
        <w:overflowPunct/>
        <w:topLinePunct w:val="0"/>
        <w:bidi w:val="0"/>
        <w:spacing w:line="560" w:lineRule="exact"/>
        <w:ind w:firstLine="640" w:firstLineChars="200"/>
        <w:textAlignment w:val="auto"/>
        <w:rPr>
          <w:rFonts w:ascii="仿宋" w:hAnsi="仿宋" w:eastAsia="仿宋" w:cs="仿宋_GB2312"/>
          <w:color w:val="auto"/>
          <w:sz w:val="32"/>
          <w:szCs w:val="32"/>
        </w:rPr>
      </w:pPr>
      <w:r>
        <w:rPr>
          <w:rFonts w:ascii="仿宋" w:hAnsi="仿宋" w:eastAsia="仿宋" w:cs="仿宋_GB2312"/>
          <w:color w:val="auto"/>
          <w:sz w:val="32"/>
          <w:szCs w:val="32"/>
        </w:rPr>
        <w:t>（三）结果应用情况。</w:t>
      </w:r>
    </w:p>
    <w:p>
      <w:pPr>
        <w:pageBreakBefore w:val="0"/>
        <w:kinsoku/>
        <w:wordWrap/>
        <w:overflowPunct/>
        <w:topLinePunct w:val="0"/>
        <w:bidi w:val="0"/>
        <w:spacing w:line="560" w:lineRule="exact"/>
        <w:ind w:firstLine="640" w:firstLineChars="200"/>
        <w:textAlignment w:val="auto"/>
        <w:rPr>
          <w:rFonts w:ascii="仿宋" w:hAnsi="仿宋" w:eastAsia="仿宋" w:cs="仿宋_GB2312"/>
          <w:color w:val="auto"/>
          <w:sz w:val="32"/>
          <w:szCs w:val="32"/>
        </w:rPr>
      </w:pPr>
      <w:r>
        <w:rPr>
          <w:rFonts w:hint="eastAsia" w:ascii="仿宋" w:hAnsi="仿宋" w:eastAsia="仿宋" w:cs="仿宋_GB2312"/>
          <w:color w:val="auto"/>
          <w:sz w:val="32"/>
          <w:szCs w:val="32"/>
        </w:rPr>
        <w:t>团区委</w:t>
      </w:r>
      <w:r>
        <w:rPr>
          <w:rFonts w:ascii="仿宋" w:hAnsi="仿宋" w:eastAsia="仿宋" w:cs="仿宋_GB2312"/>
          <w:color w:val="auto"/>
          <w:sz w:val="32"/>
          <w:szCs w:val="32"/>
        </w:rPr>
        <w:t>部门</w:t>
      </w:r>
      <w:r>
        <w:rPr>
          <w:rFonts w:hint="eastAsia" w:ascii="仿宋" w:hAnsi="仿宋" w:eastAsia="仿宋" w:cs="仿宋_GB2312"/>
          <w:color w:val="auto"/>
          <w:sz w:val="32"/>
          <w:szCs w:val="32"/>
        </w:rPr>
        <w:t>整体绩效目标</w:t>
      </w:r>
      <w:r>
        <w:rPr>
          <w:rFonts w:ascii="仿宋" w:hAnsi="仿宋" w:eastAsia="仿宋" w:cs="仿宋_GB2312"/>
          <w:color w:val="auto"/>
          <w:sz w:val="32"/>
          <w:szCs w:val="32"/>
        </w:rPr>
        <w:t>自评质量</w:t>
      </w:r>
      <w:r>
        <w:rPr>
          <w:rFonts w:hint="eastAsia" w:ascii="仿宋" w:hAnsi="仿宋" w:eastAsia="仿宋" w:cs="仿宋_GB2312"/>
          <w:color w:val="auto"/>
          <w:sz w:val="32"/>
          <w:szCs w:val="32"/>
        </w:rPr>
        <w:t>较好，无专门项目</w:t>
      </w:r>
      <w:r>
        <w:rPr>
          <w:rFonts w:ascii="仿宋" w:hAnsi="仿宋" w:eastAsia="仿宋" w:cs="仿宋_GB2312"/>
          <w:color w:val="auto"/>
          <w:sz w:val="32"/>
          <w:szCs w:val="32"/>
        </w:rPr>
        <w:t>绩效目标。</w:t>
      </w:r>
    </w:p>
    <w:p>
      <w:pPr>
        <w:pageBreakBefore w:val="0"/>
        <w:kinsoku/>
        <w:wordWrap/>
        <w:overflowPunct/>
        <w:topLinePunct w:val="0"/>
        <w:bidi w:val="0"/>
        <w:spacing w:line="560" w:lineRule="exact"/>
        <w:ind w:firstLine="640" w:firstLineChars="200"/>
        <w:textAlignment w:val="auto"/>
        <w:rPr>
          <w:rFonts w:ascii="黑体" w:hAnsi="黑体" w:eastAsia="黑体" w:cs="黑体"/>
          <w:color w:val="auto"/>
          <w:sz w:val="32"/>
          <w:szCs w:val="32"/>
        </w:rPr>
      </w:pPr>
      <w:r>
        <w:rPr>
          <w:rFonts w:ascii="黑体" w:hAnsi="黑体" w:eastAsia="黑体" w:cs="黑体"/>
          <w:color w:val="auto"/>
          <w:sz w:val="32"/>
          <w:szCs w:val="32"/>
        </w:rPr>
        <w:t>四、评价结论及建议</w:t>
      </w:r>
    </w:p>
    <w:p>
      <w:pPr>
        <w:pageBreakBefore w:val="0"/>
        <w:kinsoku/>
        <w:wordWrap/>
        <w:overflowPunct/>
        <w:topLinePunct w:val="0"/>
        <w:bidi w:val="0"/>
        <w:spacing w:line="560" w:lineRule="exact"/>
        <w:ind w:firstLine="640" w:firstLineChars="200"/>
        <w:textAlignment w:val="auto"/>
        <w:rPr>
          <w:rFonts w:ascii="仿宋" w:hAnsi="仿宋" w:eastAsia="仿宋" w:cs="仿宋_GB2312"/>
          <w:color w:val="auto"/>
          <w:sz w:val="32"/>
          <w:szCs w:val="32"/>
        </w:rPr>
      </w:pPr>
      <w:r>
        <w:rPr>
          <w:rFonts w:ascii="仿宋" w:hAnsi="仿宋" w:eastAsia="仿宋" w:cs="仿宋_GB2312"/>
          <w:color w:val="auto"/>
          <w:sz w:val="32"/>
          <w:szCs w:val="32"/>
        </w:rPr>
        <w:t>（一）评价结论。</w:t>
      </w:r>
      <w:r>
        <w:rPr>
          <w:rFonts w:hint="eastAsia" w:ascii="仿宋" w:hAnsi="仿宋" w:eastAsia="仿宋" w:cs="仿宋_GB2312"/>
          <w:color w:val="auto"/>
          <w:sz w:val="32"/>
          <w:szCs w:val="32"/>
        </w:rPr>
        <w:t>本单位除专项经费未全部到位，基本性支出均已经全部列支。</w:t>
      </w:r>
    </w:p>
    <w:p>
      <w:pPr>
        <w:pageBreakBefore w:val="0"/>
        <w:kinsoku/>
        <w:wordWrap/>
        <w:overflowPunct/>
        <w:topLinePunct w:val="0"/>
        <w:bidi w:val="0"/>
        <w:spacing w:line="560" w:lineRule="exact"/>
        <w:ind w:firstLine="640" w:firstLineChars="200"/>
        <w:textAlignment w:val="auto"/>
        <w:rPr>
          <w:rFonts w:ascii="仿宋" w:hAnsi="仿宋" w:eastAsia="仿宋" w:cs="仿宋_GB2312"/>
          <w:color w:val="auto"/>
          <w:sz w:val="32"/>
          <w:szCs w:val="32"/>
        </w:rPr>
      </w:pPr>
      <w:r>
        <w:rPr>
          <w:rFonts w:ascii="仿宋" w:hAnsi="仿宋" w:eastAsia="仿宋" w:cs="仿宋_GB2312"/>
          <w:color w:val="auto"/>
          <w:sz w:val="32"/>
          <w:szCs w:val="32"/>
        </w:rPr>
        <w:t>（二）存在问题。</w:t>
      </w:r>
      <w:r>
        <w:rPr>
          <w:rFonts w:hint="eastAsia" w:ascii="仿宋" w:hAnsi="仿宋" w:eastAsia="仿宋" w:cs="仿宋_GB2312"/>
          <w:color w:val="auto"/>
          <w:sz w:val="32"/>
          <w:szCs w:val="32"/>
        </w:rPr>
        <w:t>专项经费未及时支付。</w:t>
      </w:r>
    </w:p>
    <w:p>
      <w:pPr>
        <w:pageBreakBefore w:val="0"/>
        <w:kinsoku/>
        <w:wordWrap/>
        <w:overflowPunct/>
        <w:topLinePunct w:val="0"/>
        <w:bidi w:val="0"/>
        <w:spacing w:line="560" w:lineRule="exact"/>
        <w:ind w:firstLine="640" w:firstLineChars="200"/>
        <w:textAlignment w:val="auto"/>
        <w:rPr>
          <w:rFonts w:ascii="仿宋" w:hAnsi="仿宋" w:eastAsia="仿宋" w:cs="仿宋_GB2312"/>
          <w:color w:val="auto"/>
          <w:sz w:val="32"/>
          <w:szCs w:val="32"/>
        </w:rPr>
      </w:pPr>
      <w:r>
        <w:rPr>
          <w:rFonts w:ascii="仿宋" w:hAnsi="仿宋" w:eastAsia="仿宋" w:cs="仿宋_GB2312"/>
          <w:color w:val="auto"/>
          <w:sz w:val="32"/>
          <w:szCs w:val="32"/>
        </w:rPr>
        <w:t>（三）改进建议。</w:t>
      </w:r>
      <w:r>
        <w:rPr>
          <w:rFonts w:hint="eastAsia" w:ascii="仿宋" w:hAnsi="仿宋" w:eastAsia="仿宋" w:cs="仿宋_GB2312"/>
          <w:color w:val="auto"/>
          <w:sz w:val="32"/>
          <w:szCs w:val="32"/>
        </w:rPr>
        <w:t>按照专项经费进度进行支付。</w:t>
      </w:r>
    </w:p>
    <w:p>
      <w:pPr>
        <w:pageBreakBefore w:val="0"/>
        <w:kinsoku/>
        <w:wordWrap/>
        <w:overflowPunct/>
        <w:topLinePunct w:val="0"/>
        <w:bidi w:val="0"/>
        <w:spacing w:line="560" w:lineRule="exact"/>
        <w:ind w:firstLine="640" w:firstLineChars="200"/>
        <w:textAlignment w:val="auto"/>
        <w:rPr>
          <w:rFonts w:ascii="仿宋" w:hAnsi="仿宋" w:eastAsia="仿宋" w:cs="仿宋_GB2312"/>
          <w:color w:val="auto"/>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color w:val="auto"/>
          <w:sz w:val="32"/>
          <w:szCs w:val="32"/>
        </w:rPr>
      </w:pPr>
    </w:p>
    <w:p>
      <w:pPr>
        <w:pageBreakBefore w:val="0"/>
        <w:widowControl/>
        <w:kinsoku/>
        <w:wordWrap/>
        <w:overflowPunct/>
        <w:topLinePunct w:val="0"/>
        <w:bidi w:val="0"/>
        <w:spacing w:line="560" w:lineRule="exact"/>
        <w:jc w:val="left"/>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br w:type="page"/>
      </w:r>
    </w:p>
    <w:p>
      <w:pPr>
        <w:rPr>
          <w:rStyle w:val="27"/>
          <w:rFonts w:hint="eastAsia" w:ascii="黑体" w:hAnsi="黑体"/>
          <w:color w:val="auto"/>
        </w:rPr>
      </w:pPr>
      <w:bookmarkStart w:id="110" w:name="_Toc17103570"/>
      <w:bookmarkStart w:id="111" w:name="_Toc2736"/>
    </w:p>
    <w:p>
      <w:pPr>
        <w:pageBreakBefore w:val="0"/>
        <w:widowControl/>
        <w:kinsoku/>
        <w:wordWrap/>
        <w:overflowPunct/>
        <w:topLinePunct w:val="0"/>
        <w:bidi w:val="0"/>
        <w:spacing w:line="560" w:lineRule="exact"/>
        <w:jc w:val="center"/>
        <w:textAlignment w:val="auto"/>
        <w:rPr>
          <w:rStyle w:val="27"/>
          <w:rFonts w:hint="eastAsia" w:ascii="黑体" w:hAnsi="黑体"/>
          <w:color w:val="auto"/>
        </w:rPr>
      </w:pPr>
      <w:r>
        <w:rPr>
          <w:rStyle w:val="27"/>
          <w:rFonts w:hint="eastAsia" w:ascii="黑体" w:hAnsi="黑体"/>
          <w:color w:val="auto"/>
        </w:rPr>
        <w:t>第五部分 附表</w:t>
      </w:r>
      <w:bookmarkEnd w:id="102"/>
      <w:bookmarkEnd w:id="110"/>
    </w:p>
    <w:bookmarkEnd w:id="111"/>
    <w:p>
      <w:pPr>
        <w:pageBreakBefore w:val="0"/>
        <w:kinsoku/>
        <w:wordWrap/>
        <w:overflowPunct/>
        <w:topLinePunct w:val="0"/>
        <w:bidi w:val="0"/>
        <w:spacing w:line="560" w:lineRule="exact"/>
        <w:jc w:val="center"/>
        <w:textAlignment w:val="auto"/>
        <w:outlineLvl w:val="0"/>
        <w:rPr>
          <w:rStyle w:val="27"/>
          <w:rFonts w:hint="eastAsia" w:ascii="黑体" w:hAnsi="黑体" w:eastAsia="黑体"/>
          <w:b w:val="0"/>
          <w:color w:val="auto"/>
        </w:rPr>
      </w:pPr>
    </w:p>
    <w:p>
      <w:pPr>
        <w:pageBreakBefore w:val="0"/>
        <w:widowControl/>
        <w:kinsoku/>
        <w:wordWrap/>
        <w:overflowPunct/>
        <w:topLinePunct w:val="0"/>
        <w:bidi w:val="0"/>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112" w:name="_Toc20409"/>
      <w:bookmarkStart w:id="113" w:name="_Toc16447"/>
      <w:r>
        <w:rPr>
          <w:rStyle w:val="28"/>
          <w:rFonts w:hint="eastAsia" w:ascii="方正黑体简体" w:hAnsi="方正黑体简体" w:eastAsia="方正黑体简体" w:cs="方正黑体简体"/>
          <w:b w:val="0"/>
          <w:bCs w:val="0"/>
          <w:color w:val="auto"/>
        </w:rPr>
        <w:t>一、收入支出决算总表</w:t>
      </w:r>
      <w:bookmarkEnd w:id="112"/>
    </w:p>
    <w:bookmarkEnd w:id="113"/>
    <w:p>
      <w:pPr>
        <w:pageBreakBefore w:val="0"/>
        <w:widowControl/>
        <w:kinsoku/>
        <w:wordWrap/>
        <w:overflowPunct/>
        <w:topLinePunct w:val="0"/>
        <w:bidi w:val="0"/>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114" w:name="_Toc27337"/>
      <w:bookmarkStart w:id="115" w:name="_Toc29940"/>
      <w:r>
        <w:rPr>
          <w:rStyle w:val="28"/>
          <w:rFonts w:hint="eastAsia" w:ascii="方正黑体简体" w:hAnsi="方正黑体简体" w:eastAsia="方正黑体简体" w:cs="方正黑体简体"/>
          <w:b w:val="0"/>
          <w:bCs w:val="0"/>
          <w:color w:val="auto"/>
        </w:rPr>
        <w:t>二、收入决算表</w:t>
      </w:r>
      <w:bookmarkEnd w:id="114"/>
    </w:p>
    <w:bookmarkEnd w:id="115"/>
    <w:p>
      <w:pPr>
        <w:pageBreakBefore w:val="0"/>
        <w:widowControl/>
        <w:kinsoku/>
        <w:wordWrap/>
        <w:overflowPunct/>
        <w:topLinePunct w:val="0"/>
        <w:bidi w:val="0"/>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116" w:name="_Toc23666"/>
      <w:bookmarkStart w:id="117" w:name="_Toc8862"/>
      <w:r>
        <w:rPr>
          <w:rStyle w:val="28"/>
          <w:rFonts w:hint="eastAsia" w:ascii="方正黑体简体" w:hAnsi="方正黑体简体" w:eastAsia="方正黑体简体" w:cs="方正黑体简体"/>
          <w:b w:val="0"/>
          <w:bCs w:val="0"/>
          <w:color w:val="auto"/>
        </w:rPr>
        <w:t>三、支出决算表</w:t>
      </w:r>
      <w:bookmarkEnd w:id="116"/>
    </w:p>
    <w:bookmarkEnd w:id="117"/>
    <w:p>
      <w:pPr>
        <w:pageBreakBefore w:val="0"/>
        <w:widowControl/>
        <w:kinsoku/>
        <w:wordWrap/>
        <w:overflowPunct/>
        <w:topLinePunct w:val="0"/>
        <w:bidi w:val="0"/>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118" w:name="_Toc31382"/>
      <w:bookmarkStart w:id="119" w:name="_Toc4723"/>
      <w:r>
        <w:rPr>
          <w:rStyle w:val="28"/>
          <w:rFonts w:hint="eastAsia" w:ascii="方正黑体简体" w:hAnsi="方正黑体简体" w:eastAsia="方正黑体简体" w:cs="方正黑体简体"/>
          <w:b w:val="0"/>
          <w:bCs w:val="0"/>
          <w:color w:val="auto"/>
        </w:rPr>
        <w:t>四、财政拨款收入支出决算总表</w:t>
      </w:r>
      <w:bookmarkEnd w:id="118"/>
    </w:p>
    <w:bookmarkEnd w:id="119"/>
    <w:p>
      <w:pPr>
        <w:pageBreakBefore w:val="0"/>
        <w:widowControl/>
        <w:kinsoku/>
        <w:wordWrap/>
        <w:overflowPunct/>
        <w:topLinePunct w:val="0"/>
        <w:bidi w:val="0"/>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120" w:name="_Toc21439"/>
      <w:bookmarkStart w:id="121" w:name="_Toc1001"/>
      <w:r>
        <w:rPr>
          <w:rStyle w:val="28"/>
          <w:rFonts w:hint="eastAsia" w:ascii="方正黑体简体" w:hAnsi="方正黑体简体" w:eastAsia="方正黑体简体" w:cs="方正黑体简体"/>
          <w:b w:val="0"/>
          <w:bCs w:val="0"/>
          <w:color w:val="auto"/>
        </w:rPr>
        <w:t>五、财政拨款支出决算明细表</w:t>
      </w:r>
      <w:bookmarkEnd w:id="120"/>
    </w:p>
    <w:bookmarkEnd w:id="121"/>
    <w:p>
      <w:pPr>
        <w:pageBreakBefore w:val="0"/>
        <w:widowControl/>
        <w:kinsoku/>
        <w:wordWrap/>
        <w:overflowPunct/>
        <w:topLinePunct w:val="0"/>
        <w:bidi w:val="0"/>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122" w:name="_Toc18103"/>
      <w:bookmarkStart w:id="123" w:name="_Toc10843"/>
      <w:r>
        <w:rPr>
          <w:rStyle w:val="28"/>
          <w:rFonts w:hint="eastAsia" w:ascii="方正黑体简体" w:hAnsi="方正黑体简体" w:eastAsia="方正黑体简体" w:cs="方正黑体简体"/>
          <w:b w:val="0"/>
          <w:bCs w:val="0"/>
          <w:color w:val="auto"/>
        </w:rPr>
        <w:t>六、一般公共预算财政拨款支出决算表</w:t>
      </w:r>
      <w:bookmarkEnd w:id="122"/>
    </w:p>
    <w:bookmarkEnd w:id="123"/>
    <w:p>
      <w:pPr>
        <w:pageBreakBefore w:val="0"/>
        <w:widowControl/>
        <w:kinsoku/>
        <w:wordWrap/>
        <w:overflowPunct/>
        <w:topLinePunct w:val="0"/>
        <w:bidi w:val="0"/>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124" w:name="_Toc26344"/>
      <w:bookmarkStart w:id="125" w:name="_Toc19830"/>
      <w:r>
        <w:rPr>
          <w:rStyle w:val="28"/>
          <w:rFonts w:hint="eastAsia" w:ascii="方正黑体简体" w:hAnsi="方正黑体简体" w:eastAsia="方正黑体简体" w:cs="方正黑体简体"/>
          <w:b w:val="0"/>
          <w:bCs w:val="0"/>
          <w:color w:val="auto"/>
        </w:rPr>
        <w:t>七、一般公共预算财政拨款支出决算明细表</w:t>
      </w:r>
      <w:bookmarkEnd w:id="124"/>
    </w:p>
    <w:bookmarkEnd w:id="125"/>
    <w:p>
      <w:pPr>
        <w:pageBreakBefore w:val="0"/>
        <w:widowControl/>
        <w:kinsoku/>
        <w:wordWrap/>
        <w:overflowPunct/>
        <w:topLinePunct w:val="0"/>
        <w:bidi w:val="0"/>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126" w:name="_Toc32184"/>
      <w:bookmarkStart w:id="127" w:name="_Toc19457"/>
      <w:r>
        <w:rPr>
          <w:rStyle w:val="28"/>
          <w:rFonts w:hint="eastAsia" w:ascii="方正黑体简体" w:hAnsi="方正黑体简体" w:eastAsia="方正黑体简体" w:cs="方正黑体简体"/>
          <w:b w:val="0"/>
          <w:bCs w:val="0"/>
          <w:color w:val="auto"/>
        </w:rPr>
        <w:t>八、一般公共预算财政拨款基本支出决算表</w:t>
      </w:r>
      <w:bookmarkEnd w:id="126"/>
    </w:p>
    <w:bookmarkEnd w:id="127"/>
    <w:p>
      <w:pPr>
        <w:pageBreakBefore w:val="0"/>
        <w:widowControl/>
        <w:kinsoku/>
        <w:wordWrap/>
        <w:overflowPunct/>
        <w:topLinePunct w:val="0"/>
        <w:bidi w:val="0"/>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128" w:name="_Toc27401"/>
      <w:bookmarkStart w:id="129" w:name="_Toc22329"/>
      <w:r>
        <w:rPr>
          <w:rStyle w:val="28"/>
          <w:rFonts w:hint="eastAsia" w:ascii="方正黑体简体" w:hAnsi="方正黑体简体" w:eastAsia="方正黑体简体" w:cs="方正黑体简体"/>
          <w:b w:val="0"/>
          <w:bCs w:val="0"/>
          <w:color w:val="auto"/>
        </w:rPr>
        <w:t>九、一般公共预算财政拨款项目支出决算表</w:t>
      </w:r>
      <w:bookmarkEnd w:id="128"/>
    </w:p>
    <w:bookmarkEnd w:id="129"/>
    <w:p>
      <w:pPr>
        <w:pageBreakBefore w:val="0"/>
        <w:widowControl/>
        <w:kinsoku/>
        <w:wordWrap/>
        <w:overflowPunct/>
        <w:topLinePunct w:val="0"/>
        <w:bidi w:val="0"/>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130" w:name="_Toc1543"/>
      <w:bookmarkStart w:id="131" w:name="_Toc9653"/>
      <w:r>
        <w:rPr>
          <w:rStyle w:val="28"/>
          <w:rFonts w:hint="eastAsia" w:ascii="方正黑体简体" w:hAnsi="方正黑体简体" w:eastAsia="方正黑体简体" w:cs="方正黑体简体"/>
          <w:b w:val="0"/>
          <w:bCs w:val="0"/>
          <w:color w:val="auto"/>
        </w:rPr>
        <w:t>十、一般公共预算财政拨款“三公”经费支出决算表</w:t>
      </w:r>
      <w:bookmarkEnd w:id="130"/>
    </w:p>
    <w:bookmarkEnd w:id="131"/>
    <w:p>
      <w:pPr>
        <w:pageBreakBefore w:val="0"/>
        <w:widowControl/>
        <w:kinsoku/>
        <w:wordWrap/>
        <w:overflowPunct/>
        <w:topLinePunct w:val="0"/>
        <w:bidi w:val="0"/>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132" w:name="_Toc25519"/>
      <w:bookmarkStart w:id="133" w:name="_Toc7110"/>
      <w:r>
        <w:rPr>
          <w:rStyle w:val="28"/>
          <w:rFonts w:hint="eastAsia" w:ascii="方正黑体简体" w:hAnsi="方正黑体简体" w:eastAsia="方正黑体简体" w:cs="方正黑体简体"/>
          <w:b w:val="0"/>
          <w:bCs w:val="0"/>
          <w:color w:val="auto"/>
        </w:rPr>
        <w:t>十一、政府性基金预算财政拨款收入支出决算表</w:t>
      </w:r>
      <w:bookmarkEnd w:id="132"/>
    </w:p>
    <w:bookmarkEnd w:id="133"/>
    <w:p>
      <w:pPr>
        <w:pageBreakBefore w:val="0"/>
        <w:widowControl/>
        <w:kinsoku/>
        <w:wordWrap/>
        <w:overflowPunct/>
        <w:topLinePunct w:val="0"/>
        <w:bidi w:val="0"/>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134" w:name="_Toc30846"/>
      <w:bookmarkStart w:id="135" w:name="_Toc16182"/>
      <w:r>
        <w:rPr>
          <w:rStyle w:val="28"/>
          <w:rFonts w:hint="eastAsia" w:ascii="方正黑体简体" w:hAnsi="方正黑体简体" w:eastAsia="方正黑体简体" w:cs="方正黑体简体"/>
          <w:b w:val="0"/>
          <w:bCs w:val="0"/>
          <w:color w:val="auto"/>
        </w:rPr>
        <w:t>十二、政府性基金预算财政拨款“三公”经费支出决算表</w:t>
      </w:r>
      <w:bookmarkEnd w:id="134"/>
    </w:p>
    <w:bookmarkEnd w:id="135"/>
    <w:p>
      <w:pPr>
        <w:pageBreakBefore w:val="0"/>
        <w:widowControl/>
        <w:kinsoku/>
        <w:wordWrap/>
        <w:overflowPunct/>
        <w:topLinePunct w:val="0"/>
        <w:bidi w:val="0"/>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136" w:name="_Toc17322"/>
      <w:bookmarkStart w:id="137" w:name="_Toc1392"/>
      <w:r>
        <w:rPr>
          <w:rStyle w:val="28"/>
          <w:rFonts w:hint="eastAsia" w:ascii="方正黑体简体" w:hAnsi="方正黑体简体" w:eastAsia="方正黑体简体" w:cs="方正黑体简体"/>
          <w:b w:val="0"/>
          <w:bCs w:val="0"/>
          <w:color w:val="auto"/>
        </w:rPr>
        <w:t>十三、国有资本经营预算财政拨款收入支出决算表</w:t>
      </w:r>
      <w:bookmarkEnd w:id="136"/>
    </w:p>
    <w:bookmarkEnd w:id="137"/>
    <w:p>
      <w:pPr>
        <w:pageBreakBefore w:val="0"/>
        <w:widowControl/>
        <w:kinsoku/>
        <w:wordWrap/>
        <w:overflowPunct/>
        <w:topLinePunct w:val="0"/>
        <w:bidi w:val="0"/>
        <w:spacing w:line="560" w:lineRule="exact"/>
        <w:ind w:firstLine="640" w:firstLineChars="200"/>
        <w:jc w:val="left"/>
        <w:textAlignment w:val="auto"/>
        <w:rPr>
          <w:rStyle w:val="28"/>
          <w:rFonts w:hint="eastAsia" w:ascii="方正黑体简体" w:hAnsi="方正黑体简体" w:eastAsia="方正黑体简体" w:cs="方正黑体简体"/>
          <w:b w:val="0"/>
          <w:bCs w:val="0"/>
          <w:color w:val="auto"/>
        </w:rPr>
      </w:pPr>
      <w:bookmarkStart w:id="138" w:name="_Toc19597"/>
      <w:bookmarkStart w:id="139" w:name="_Toc7377"/>
      <w:r>
        <w:rPr>
          <w:rStyle w:val="28"/>
          <w:rFonts w:hint="eastAsia" w:ascii="方正黑体简体" w:hAnsi="方正黑体简体" w:eastAsia="方正黑体简体" w:cs="方正黑体简体"/>
          <w:b w:val="0"/>
          <w:bCs w:val="0"/>
          <w:color w:val="auto"/>
        </w:rPr>
        <w:t>十四、国有资本经营预算财政拨款支出决算表</w:t>
      </w:r>
      <w:bookmarkEnd w:id="138"/>
    </w:p>
    <w:bookmarkEnd w:id="139"/>
    <w:p>
      <w:pPr>
        <w:pageBreakBefore w:val="0"/>
        <w:kinsoku/>
        <w:wordWrap/>
        <w:overflowPunct/>
        <w:topLinePunct w:val="0"/>
        <w:bidi w:val="0"/>
        <w:spacing w:line="560" w:lineRule="exact"/>
        <w:jc w:val="center"/>
        <w:textAlignment w:val="auto"/>
        <w:outlineLvl w:val="0"/>
        <w:rPr>
          <w:rFonts w:ascii="仿宋" w:hAnsi="仿宋" w:eastAsia="仿宋"/>
          <w:b/>
          <w:color w:val="auto"/>
          <w:sz w:val="44"/>
          <w:szCs w:val="44"/>
        </w:rPr>
      </w:pPr>
    </w:p>
    <w:sectPr>
      <w:headerReference r:id="rId3" w:type="default"/>
      <w:footerReference r:id="rId4" w:type="default"/>
      <w:pgSz w:w="11906" w:h="16838"/>
      <w:pgMar w:top="1440" w:right="1080" w:bottom="1440" w:left="108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9"/>
          <w:jc w:val="center"/>
        </w:pPr>
        <w:r>
          <w:fldChar w:fldCharType="begin"/>
        </w:r>
        <w:r>
          <w:instrText xml:space="preserve">PAGE   \* MERGEFORMAT</w:instrText>
        </w:r>
        <w:r>
          <w:fldChar w:fldCharType="separate"/>
        </w:r>
        <w:r>
          <w:rPr>
            <w:lang w:val="zh-CN"/>
          </w:rPr>
          <w:t>29</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M2E1ZGVlNzgyNzY2MGQyMTI0MGQ0ZjhiZDgwZTUifQ=="/>
  </w:docVars>
  <w:rsids>
    <w:rsidRoot w:val="00F1361C"/>
    <w:rsid w:val="00002624"/>
    <w:rsid w:val="000222C6"/>
    <w:rsid w:val="0002549F"/>
    <w:rsid w:val="0003385C"/>
    <w:rsid w:val="00046DB1"/>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03AC"/>
    <w:rsid w:val="000E6613"/>
    <w:rsid w:val="000E7119"/>
    <w:rsid w:val="000F23D3"/>
    <w:rsid w:val="00114E9B"/>
    <w:rsid w:val="0014729F"/>
    <w:rsid w:val="00157BAB"/>
    <w:rsid w:val="001654D1"/>
    <w:rsid w:val="0018106D"/>
    <w:rsid w:val="001877A7"/>
    <w:rsid w:val="00191536"/>
    <w:rsid w:val="00196687"/>
    <w:rsid w:val="001A7127"/>
    <w:rsid w:val="001C0962"/>
    <w:rsid w:val="001D7531"/>
    <w:rsid w:val="001E737D"/>
    <w:rsid w:val="001F0336"/>
    <w:rsid w:val="001F0592"/>
    <w:rsid w:val="001F7506"/>
    <w:rsid w:val="002006CD"/>
    <w:rsid w:val="00202B36"/>
    <w:rsid w:val="00204B7A"/>
    <w:rsid w:val="0021101A"/>
    <w:rsid w:val="00220536"/>
    <w:rsid w:val="00235629"/>
    <w:rsid w:val="00260C38"/>
    <w:rsid w:val="002616C0"/>
    <w:rsid w:val="002662AA"/>
    <w:rsid w:val="00280496"/>
    <w:rsid w:val="0028453E"/>
    <w:rsid w:val="00295495"/>
    <w:rsid w:val="002B0764"/>
    <w:rsid w:val="002B2613"/>
    <w:rsid w:val="002C4E4C"/>
    <w:rsid w:val="002F1818"/>
    <w:rsid w:val="002F567B"/>
    <w:rsid w:val="002F7FD3"/>
    <w:rsid w:val="00300DD7"/>
    <w:rsid w:val="00303BB0"/>
    <w:rsid w:val="003216A9"/>
    <w:rsid w:val="00335C97"/>
    <w:rsid w:val="0037013F"/>
    <w:rsid w:val="00370E28"/>
    <w:rsid w:val="00380C92"/>
    <w:rsid w:val="003A484F"/>
    <w:rsid w:val="003B0BE0"/>
    <w:rsid w:val="003B0C1B"/>
    <w:rsid w:val="003B0F0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75FC9"/>
    <w:rsid w:val="0048263A"/>
    <w:rsid w:val="00487E5D"/>
    <w:rsid w:val="004A711F"/>
    <w:rsid w:val="004B199D"/>
    <w:rsid w:val="004B4690"/>
    <w:rsid w:val="004C12F5"/>
    <w:rsid w:val="004E0A2D"/>
    <w:rsid w:val="004E206B"/>
    <w:rsid w:val="004E6DF7"/>
    <w:rsid w:val="004F0FBD"/>
    <w:rsid w:val="00505A47"/>
    <w:rsid w:val="005112A5"/>
    <w:rsid w:val="00512FDA"/>
    <w:rsid w:val="00520DA0"/>
    <w:rsid w:val="0053173C"/>
    <w:rsid w:val="005664BB"/>
    <w:rsid w:val="0057481D"/>
    <w:rsid w:val="0058203D"/>
    <w:rsid w:val="0058486E"/>
    <w:rsid w:val="00586226"/>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059CF"/>
    <w:rsid w:val="007127B7"/>
    <w:rsid w:val="007416B6"/>
    <w:rsid w:val="00746F48"/>
    <w:rsid w:val="0075404D"/>
    <w:rsid w:val="0076182A"/>
    <w:rsid w:val="0076689A"/>
    <w:rsid w:val="00767B7E"/>
    <w:rsid w:val="007770C3"/>
    <w:rsid w:val="00784D24"/>
    <w:rsid w:val="00785FBA"/>
    <w:rsid w:val="00786E4A"/>
    <w:rsid w:val="007875EB"/>
    <w:rsid w:val="0079426B"/>
    <w:rsid w:val="007A40A1"/>
    <w:rsid w:val="007A4C4B"/>
    <w:rsid w:val="007D312A"/>
    <w:rsid w:val="007D3F19"/>
    <w:rsid w:val="007E23B0"/>
    <w:rsid w:val="007E6A10"/>
    <w:rsid w:val="007F1991"/>
    <w:rsid w:val="007F2C2F"/>
    <w:rsid w:val="007F55FC"/>
    <w:rsid w:val="007F5665"/>
    <w:rsid w:val="00800112"/>
    <w:rsid w:val="008076A0"/>
    <w:rsid w:val="008253BB"/>
    <w:rsid w:val="0083706E"/>
    <w:rsid w:val="008423A5"/>
    <w:rsid w:val="00850625"/>
    <w:rsid w:val="00853718"/>
    <w:rsid w:val="00855221"/>
    <w:rsid w:val="00860645"/>
    <w:rsid w:val="00871F71"/>
    <w:rsid w:val="00885AF4"/>
    <w:rsid w:val="008939CD"/>
    <w:rsid w:val="008A6214"/>
    <w:rsid w:val="008B768C"/>
    <w:rsid w:val="008C0FF5"/>
    <w:rsid w:val="008C4DB1"/>
    <w:rsid w:val="008C4EAF"/>
    <w:rsid w:val="008C5176"/>
    <w:rsid w:val="008C7FD0"/>
    <w:rsid w:val="008E1DE7"/>
    <w:rsid w:val="008E707C"/>
    <w:rsid w:val="00900B08"/>
    <w:rsid w:val="00902155"/>
    <w:rsid w:val="00902FA3"/>
    <w:rsid w:val="00923564"/>
    <w:rsid w:val="0092392E"/>
    <w:rsid w:val="00927BD1"/>
    <w:rsid w:val="009315F9"/>
    <w:rsid w:val="00946945"/>
    <w:rsid w:val="00947661"/>
    <w:rsid w:val="00951248"/>
    <w:rsid w:val="0095152F"/>
    <w:rsid w:val="00954C49"/>
    <w:rsid w:val="0096113B"/>
    <w:rsid w:val="0097099F"/>
    <w:rsid w:val="00971997"/>
    <w:rsid w:val="00971FFC"/>
    <w:rsid w:val="0098660A"/>
    <w:rsid w:val="009931C3"/>
    <w:rsid w:val="009B2C43"/>
    <w:rsid w:val="009B4EAE"/>
    <w:rsid w:val="009B7573"/>
    <w:rsid w:val="009C22F4"/>
    <w:rsid w:val="009C2E98"/>
    <w:rsid w:val="009C69CF"/>
    <w:rsid w:val="009D3447"/>
    <w:rsid w:val="009D4711"/>
    <w:rsid w:val="009F1185"/>
    <w:rsid w:val="009F18CD"/>
    <w:rsid w:val="009F2A13"/>
    <w:rsid w:val="00A04EB0"/>
    <w:rsid w:val="00A13CC1"/>
    <w:rsid w:val="00A16847"/>
    <w:rsid w:val="00A237D8"/>
    <w:rsid w:val="00A268C4"/>
    <w:rsid w:val="00A307CD"/>
    <w:rsid w:val="00A40A00"/>
    <w:rsid w:val="00A4142F"/>
    <w:rsid w:val="00A4772C"/>
    <w:rsid w:val="00A56DF2"/>
    <w:rsid w:val="00A67AB5"/>
    <w:rsid w:val="00A91760"/>
    <w:rsid w:val="00A93B00"/>
    <w:rsid w:val="00A93C21"/>
    <w:rsid w:val="00AC3C6A"/>
    <w:rsid w:val="00AD5620"/>
    <w:rsid w:val="00AD7C1B"/>
    <w:rsid w:val="00AE16BA"/>
    <w:rsid w:val="00AE1EBE"/>
    <w:rsid w:val="00AF5B3D"/>
    <w:rsid w:val="00B03C9D"/>
    <w:rsid w:val="00B060AE"/>
    <w:rsid w:val="00B10517"/>
    <w:rsid w:val="00B14E76"/>
    <w:rsid w:val="00B161B8"/>
    <w:rsid w:val="00B2048C"/>
    <w:rsid w:val="00B231D8"/>
    <w:rsid w:val="00B310B9"/>
    <w:rsid w:val="00B35F3F"/>
    <w:rsid w:val="00B36CBB"/>
    <w:rsid w:val="00B425E0"/>
    <w:rsid w:val="00B440AA"/>
    <w:rsid w:val="00B44B70"/>
    <w:rsid w:val="00B53C56"/>
    <w:rsid w:val="00B6345D"/>
    <w:rsid w:val="00B77EA6"/>
    <w:rsid w:val="00B81598"/>
    <w:rsid w:val="00B841F1"/>
    <w:rsid w:val="00B944D6"/>
    <w:rsid w:val="00BB4DF0"/>
    <w:rsid w:val="00BC289F"/>
    <w:rsid w:val="00BC5361"/>
    <w:rsid w:val="00BC5460"/>
    <w:rsid w:val="00BC6B50"/>
    <w:rsid w:val="00BC6CDF"/>
    <w:rsid w:val="00BD0E25"/>
    <w:rsid w:val="00BF5BD6"/>
    <w:rsid w:val="00C01FD3"/>
    <w:rsid w:val="00C03E31"/>
    <w:rsid w:val="00C33E72"/>
    <w:rsid w:val="00C354B2"/>
    <w:rsid w:val="00C35554"/>
    <w:rsid w:val="00C42709"/>
    <w:rsid w:val="00C533CC"/>
    <w:rsid w:val="00C5751C"/>
    <w:rsid w:val="00C61BFC"/>
    <w:rsid w:val="00C62B85"/>
    <w:rsid w:val="00C65438"/>
    <w:rsid w:val="00C71AF3"/>
    <w:rsid w:val="00C77603"/>
    <w:rsid w:val="00C91CBB"/>
    <w:rsid w:val="00CC09B6"/>
    <w:rsid w:val="00CC666F"/>
    <w:rsid w:val="00CD1E3F"/>
    <w:rsid w:val="00CE44F6"/>
    <w:rsid w:val="00CE49DA"/>
    <w:rsid w:val="00CE7B61"/>
    <w:rsid w:val="00CF2103"/>
    <w:rsid w:val="00CF73F9"/>
    <w:rsid w:val="00D00095"/>
    <w:rsid w:val="00D20620"/>
    <w:rsid w:val="00D26091"/>
    <w:rsid w:val="00D34E7C"/>
    <w:rsid w:val="00D35489"/>
    <w:rsid w:val="00D51276"/>
    <w:rsid w:val="00D7035F"/>
    <w:rsid w:val="00DA65AC"/>
    <w:rsid w:val="00DB1913"/>
    <w:rsid w:val="00DB283C"/>
    <w:rsid w:val="00DC410D"/>
    <w:rsid w:val="00DC68CA"/>
    <w:rsid w:val="00DC7CBA"/>
    <w:rsid w:val="00DD73B7"/>
    <w:rsid w:val="00DF28BC"/>
    <w:rsid w:val="00DF34B9"/>
    <w:rsid w:val="00E01053"/>
    <w:rsid w:val="00E07ACF"/>
    <w:rsid w:val="00E32315"/>
    <w:rsid w:val="00E331A1"/>
    <w:rsid w:val="00E33202"/>
    <w:rsid w:val="00E336A9"/>
    <w:rsid w:val="00E41BAE"/>
    <w:rsid w:val="00E50624"/>
    <w:rsid w:val="00E568DF"/>
    <w:rsid w:val="00E64269"/>
    <w:rsid w:val="00E82267"/>
    <w:rsid w:val="00EA010F"/>
    <w:rsid w:val="00EB1BDB"/>
    <w:rsid w:val="00ED1B63"/>
    <w:rsid w:val="00ED3C1F"/>
    <w:rsid w:val="00ED4085"/>
    <w:rsid w:val="00ED420E"/>
    <w:rsid w:val="00EE2F57"/>
    <w:rsid w:val="00EE7854"/>
    <w:rsid w:val="00EF4C34"/>
    <w:rsid w:val="00EF77C6"/>
    <w:rsid w:val="00F05438"/>
    <w:rsid w:val="00F11EB9"/>
    <w:rsid w:val="00F1361C"/>
    <w:rsid w:val="00F13C32"/>
    <w:rsid w:val="00F160C7"/>
    <w:rsid w:val="00F17C65"/>
    <w:rsid w:val="00F36D8F"/>
    <w:rsid w:val="00F417B1"/>
    <w:rsid w:val="00F602DF"/>
    <w:rsid w:val="00F81FD9"/>
    <w:rsid w:val="00F841AA"/>
    <w:rsid w:val="00FA23E8"/>
    <w:rsid w:val="00FB6361"/>
    <w:rsid w:val="00FD3CC1"/>
    <w:rsid w:val="00FE2E08"/>
    <w:rsid w:val="00FF1E02"/>
    <w:rsid w:val="00FF30B4"/>
    <w:rsid w:val="08742D2C"/>
    <w:rsid w:val="10C055FF"/>
    <w:rsid w:val="16BB723D"/>
    <w:rsid w:val="240371BF"/>
    <w:rsid w:val="29FD04D3"/>
    <w:rsid w:val="2EC55455"/>
    <w:rsid w:val="319F7F4E"/>
    <w:rsid w:val="3C790CE4"/>
    <w:rsid w:val="40E83C3F"/>
    <w:rsid w:val="57D4477C"/>
    <w:rsid w:val="651450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firstLineChars="200"/>
    </w:pPr>
    <w:rPr>
      <w:rFonts w:ascii="Calibri" w:hAnsi="Calibri"/>
      <w:szCs w:val="20"/>
    </w:rPr>
  </w:style>
  <w:style w:type="paragraph" w:styleId="6">
    <w:name w:val="Body Text"/>
    <w:basedOn w:val="1"/>
    <w:link w:val="24"/>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4">
    <w:name w:val="Body Text First Indent"/>
    <w:basedOn w:val="6"/>
    <w:unhideWhenUsed/>
    <w:qFormat/>
    <w:uiPriority w:val="0"/>
    <w:pPr>
      <w:ind w:firstLine="420" w:firstLineChars="100"/>
    </w:pPr>
    <w:rPr>
      <w:rFonts w:ascii="Times New Roman" w:hAnsi="Times New Roman" w:eastAsia="宋体" w:cs="Times New Roman"/>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uiPriority w:val="99"/>
    <w:rPr>
      <w:rFonts w:ascii="Times New Roman" w:hAnsi="Times New Roman"/>
      <w:sz w:val="18"/>
      <w:szCs w:val="18"/>
    </w:rPr>
  </w:style>
  <w:style w:type="character" w:customStyle="1" w:styleId="20">
    <w:name w:val="页眉 Char"/>
    <w:link w:val="10"/>
    <w:semiHidden/>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9"/>
    <w:locked/>
    <w:uiPriority w:val="99"/>
    <w:rPr>
      <w:sz w:val="18"/>
    </w:rPr>
  </w:style>
  <w:style w:type="character" w:customStyle="1" w:styleId="23">
    <w:name w:val="Body Text Char"/>
    <w:basedOn w:val="16"/>
    <w:semiHidden/>
    <w:uiPriority w:val="99"/>
    <w:rPr>
      <w:rFonts w:ascii="Times New Roman" w:hAnsi="Times New Roman"/>
      <w:szCs w:val="24"/>
    </w:rPr>
  </w:style>
  <w:style w:type="character" w:customStyle="1" w:styleId="24">
    <w:name w:val="正文文本 Char"/>
    <w:link w:val="6"/>
    <w:qFormat/>
    <w:locked/>
    <w:uiPriority w:val="99"/>
    <w:rPr>
      <w:rFonts w:ascii="仿宋_GB2312" w:hAnsi="Times New Roman" w:eastAsia="仿宋_GB2312"/>
      <w:sz w:val="24"/>
    </w:rPr>
  </w:style>
  <w:style w:type="paragraph" w:customStyle="1" w:styleId="25">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2"/>
    <w:qFormat/>
    <w:uiPriority w:val="9"/>
    <w:rPr>
      <w:rFonts w:ascii="Times New Roman" w:hAnsi="Times New Roman"/>
      <w:b/>
      <w:bCs/>
      <w:kern w:val="44"/>
      <w:sz w:val="44"/>
      <w:szCs w:val="44"/>
    </w:rPr>
  </w:style>
  <w:style w:type="character" w:customStyle="1" w:styleId="28">
    <w:name w:val="标题 2 Char"/>
    <w:basedOn w:val="16"/>
    <w:link w:val="3"/>
    <w:uiPriority w:val="9"/>
    <w:rPr>
      <w:rFonts w:asciiTheme="majorHAnsi" w:hAnsiTheme="majorHAnsi" w:eastAsiaTheme="majorEastAsia" w:cstheme="majorBidi"/>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8"/>
    <w:semiHidden/>
    <w:qFormat/>
    <w:uiPriority w:val="99"/>
    <w:rPr>
      <w:rFonts w:ascii="Times New Roman" w:hAnsi="Times New Roman"/>
      <w:kern w:val="2"/>
      <w:sz w:val="18"/>
      <w:szCs w:val="18"/>
    </w:rPr>
  </w:style>
  <w:style w:type="character" w:customStyle="1" w:styleId="31">
    <w:name w:val="标题 3 Char"/>
    <w:basedOn w:val="16"/>
    <w:link w:val="4"/>
    <w:qFormat/>
    <w:uiPriority w:val="9"/>
    <w:rPr>
      <w:rFonts w:ascii="Times New Roman" w:hAnsi="Times New Roman"/>
      <w:b/>
      <w:bCs/>
      <w:kern w:val="2"/>
      <w:sz w:val="32"/>
      <w:szCs w:val="32"/>
    </w:rPr>
  </w:style>
  <w:style w:type="paragraph" w:customStyle="1" w:styleId="32">
    <w:name w:val="Normal_0"/>
    <w:qFormat/>
    <w:uiPriority w:val="0"/>
    <w:pPr>
      <w:widowControl w:val="0"/>
      <w:jc w:val="both"/>
    </w:pPr>
    <w:rPr>
      <w:rFonts w:ascii="宋体" w:hAnsi="宋体" w:eastAsia="宋体"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invertIfNegative val="0"/>
          <c:dLbls>
            <c:delete val="1"/>
          </c:dLbls>
          <c:cat>
            <c:strRef>
              <c:f>Sheet1!$A$2:$A$3</c:f>
              <c:strCache>
                <c:ptCount val="2"/>
                <c:pt idx="0">
                  <c:v>2019年</c:v>
                </c:pt>
                <c:pt idx="1">
                  <c:v>2020年</c:v>
                </c:pt>
              </c:strCache>
            </c:strRef>
          </c:cat>
          <c:val>
            <c:numRef>
              <c:f>Sheet1!$B$2:$B$3</c:f>
              <c:numCache>
                <c:formatCode>General</c:formatCode>
                <c:ptCount val="2"/>
                <c:pt idx="0">
                  <c:v>215.69</c:v>
                </c:pt>
                <c:pt idx="1">
                  <c:v>219.56</c:v>
                </c:pt>
              </c:numCache>
            </c:numRef>
          </c:val>
        </c:ser>
        <c:ser>
          <c:idx val="1"/>
          <c:order val="1"/>
          <c:tx>
            <c:strRef>
              <c:f>Sheet1!$C$1</c:f>
              <c:strCache>
                <c:ptCount val="1"/>
                <c:pt idx="0">
                  <c:v>支出</c:v>
                </c:pt>
              </c:strCache>
            </c:strRef>
          </c:tx>
          <c:invertIfNegative val="0"/>
          <c:dLbls>
            <c:delete val="1"/>
          </c:dLbls>
          <c:cat>
            <c:strRef>
              <c:f>Sheet1!$A$2:$A$3</c:f>
              <c:strCache>
                <c:ptCount val="2"/>
                <c:pt idx="0">
                  <c:v>2019年</c:v>
                </c:pt>
                <c:pt idx="1">
                  <c:v>2020年</c:v>
                </c:pt>
              </c:strCache>
            </c:strRef>
          </c:cat>
          <c:val>
            <c:numRef>
              <c:f>Sheet1!$C$2:$C$3</c:f>
              <c:numCache>
                <c:formatCode>General</c:formatCode>
                <c:ptCount val="2"/>
                <c:pt idx="0">
                  <c:v>215.69</c:v>
                </c:pt>
                <c:pt idx="1">
                  <c:v>219.56</c:v>
                </c:pt>
              </c:numCache>
            </c:numRef>
          </c:val>
        </c:ser>
        <c:dLbls>
          <c:showLegendKey val="0"/>
          <c:showVal val="0"/>
          <c:showCatName val="0"/>
          <c:showSerName val="0"/>
          <c:showPercent val="0"/>
          <c:showBubbleSize val="0"/>
        </c:dLbls>
        <c:gapWidth val="150"/>
        <c:axId val="102610432"/>
        <c:axId val="103655296"/>
      </c:barChart>
      <c:catAx>
        <c:axId val="1026104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3655296"/>
        <c:crosses val="autoZero"/>
        <c:auto val="1"/>
        <c:lblAlgn val="ctr"/>
        <c:lblOffset val="100"/>
        <c:noMultiLvlLbl val="0"/>
      </c:catAx>
      <c:valAx>
        <c:axId val="1036552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261043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本年收入</c:v>
                </c:pt>
              </c:strCache>
            </c:strRef>
          </c:tx>
          <c:explosion val="0"/>
          <c:dPt>
            <c:idx val="0"/>
            <c:bubble3D val="0"/>
          </c:dPt>
          <c:dLbls>
            <c:delete val="1"/>
          </c:dLbls>
          <c:cat>
            <c:strRef>
              <c:f>Sheet1!$A$2</c:f>
              <c:strCache>
                <c:ptCount val="1"/>
                <c:pt idx="0">
                  <c:v>一般公共预算财政拨款收入</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本年支出</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0%</c:formatCode>
                <c:ptCount val="2"/>
                <c:pt idx="0">
                  <c:v>0.49</c:v>
                </c:pt>
                <c:pt idx="1">
                  <c:v>0.51</c:v>
                </c:pt>
              </c:numCache>
            </c:numRef>
          </c:val>
        </c:ser>
        <c:dLbls>
          <c:showLegendKey val="0"/>
          <c:showVal val="0"/>
          <c:showCatName val="0"/>
          <c:showSerName val="0"/>
          <c:showPercent val="0"/>
          <c:showBubbleSize val="0"/>
          <c:showLeaderLines val="1"/>
        </c:dLbls>
        <c:firstSliceAng val="0"/>
      </c:pie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财政拨款收入</c:v>
                </c:pt>
              </c:strCache>
            </c:strRef>
          </c:tx>
          <c:invertIfNegative val="0"/>
          <c:dLbls>
            <c:delete val="1"/>
          </c:dLbls>
          <c:cat>
            <c:strRef>
              <c:f>Sheet1!$A$2:$A$3</c:f>
              <c:strCache>
                <c:ptCount val="2"/>
                <c:pt idx="0">
                  <c:v>2020年</c:v>
                </c:pt>
                <c:pt idx="1">
                  <c:v>2019年</c:v>
                </c:pt>
              </c:strCache>
            </c:strRef>
          </c:cat>
          <c:val>
            <c:numRef>
              <c:f>Sheet1!$B$2:$B$3</c:f>
              <c:numCache>
                <c:formatCode>General</c:formatCode>
                <c:ptCount val="2"/>
                <c:pt idx="0">
                  <c:v>219.56</c:v>
                </c:pt>
                <c:pt idx="1">
                  <c:v>215.69</c:v>
                </c:pt>
              </c:numCache>
            </c:numRef>
          </c:val>
        </c:ser>
        <c:ser>
          <c:idx val="1"/>
          <c:order val="1"/>
          <c:tx>
            <c:strRef>
              <c:f>Sheet1!$C$1</c:f>
              <c:strCache>
                <c:ptCount val="1"/>
                <c:pt idx="0">
                  <c:v>财政拨款支出</c:v>
                </c:pt>
              </c:strCache>
            </c:strRef>
          </c:tx>
          <c:invertIfNegative val="0"/>
          <c:dLbls>
            <c:delete val="1"/>
          </c:dLbls>
          <c:cat>
            <c:strRef>
              <c:f>Sheet1!$A$2:$A$3</c:f>
              <c:strCache>
                <c:ptCount val="2"/>
                <c:pt idx="0">
                  <c:v>2020年</c:v>
                </c:pt>
                <c:pt idx="1">
                  <c:v>2019年</c:v>
                </c:pt>
              </c:strCache>
            </c:strRef>
          </c:cat>
          <c:val>
            <c:numRef>
              <c:f>Sheet1!$C$2:$C$3</c:f>
              <c:numCache>
                <c:formatCode>General</c:formatCode>
                <c:ptCount val="2"/>
                <c:pt idx="0">
                  <c:v>219.56</c:v>
                </c:pt>
                <c:pt idx="1">
                  <c:v>215.69</c:v>
                </c:pt>
              </c:numCache>
            </c:numRef>
          </c:val>
        </c:ser>
        <c:dLbls>
          <c:showLegendKey val="0"/>
          <c:showVal val="0"/>
          <c:showCatName val="0"/>
          <c:showSerName val="0"/>
          <c:showPercent val="0"/>
          <c:showBubbleSize val="0"/>
        </c:dLbls>
        <c:gapWidth val="150"/>
        <c:axId val="204207232"/>
        <c:axId val="205677312"/>
      </c:barChart>
      <c:catAx>
        <c:axId val="2042072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5677312"/>
        <c:crosses val="autoZero"/>
        <c:auto val="1"/>
        <c:lblAlgn val="ctr"/>
        <c:lblOffset val="100"/>
        <c:noMultiLvlLbl val="0"/>
      </c:catAx>
      <c:valAx>
        <c:axId val="2056773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4207232"/>
        <c:crosses val="autoZero"/>
        <c:crossBetween val="between"/>
      </c:valAx>
    </c:plotArea>
    <c:legend>
      <c:legendPos val="r"/>
      <c:layout/>
      <c:overlay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sz="1000" baseline="0"/>
              <a:t>一般公共预算财政拨款支出</a:t>
            </a:r>
            <a:endParaRPr lang="zh-CN" altLang="en-US" sz="1000" baseline="0"/>
          </a:p>
        </c:rich>
      </c:tx>
      <c:layout/>
      <c:overlay val="0"/>
    </c:title>
    <c:autoTitleDeleted val="0"/>
    <c:plotArea>
      <c:layout/>
      <c:barChart>
        <c:barDir val="col"/>
        <c:grouping val="clustered"/>
        <c:varyColors val="0"/>
        <c:ser>
          <c:idx val="0"/>
          <c:order val="0"/>
          <c:tx>
            <c:strRef>
              <c:f>Sheet1!$B$1</c:f>
              <c:strCache>
                <c:ptCount val="1"/>
                <c:pt idx="0">
                  <c:v>一般公共预算财政拨款支出</c:v>
                </c:pt>
              </c:strCache>
            </c:strRef>
          </c:tx>
          <c:invertIfNegative val="0"/>
          <c:dLbls>
            <c:delete val="1"/>
          </c:dLbls>
          <c:cat>
            <c:strRef>
              <c:f>Sheet1!$A$2:$A$3</c:f>
              <c:strCache>
                <c:ptCount val="2"/>
                <c:pt idx="0">
                  <c:v>2019年</c:v>
                </c:pt>
                <c:pt idx="1">
                  <c:v>2020年</c:v>
                </c:pt>
              </c:strCache>
            </c:strRef>
          </c:cat>
          <c:val>
            <c:numRef>
              <c:f>Sheet1!$B$2:$B$3</c:f>
              <c:numCache>
                <c:formatCode>General</c:formatCode>
                <c:ptCount val="2"/>
                <c:pt idx="0">
                  <c:v>105.01</c:v>
                </c:pt>
                <c:pt idx="1">
                  <c:v>153</c:v>
                </c:pt>
              </c:numCache>
            </c:numRef>
          </c:val>
        </c:ser>
        <c:dLbls>
          <c:showLegendKey val="0"/>
          <c:showVal val="0"/>
          <c:showCatName val="0"/>
          <c:showSerName val="0"/>
          <c:showPercent val="0"/>
          <c:showBubbleSize val="0"/>
        </c:dLbls>
        <c:gapWidth val="150"/>
        <c:axId val="207087488"/>
        <c:axId val="210255872"/>
      </c:barChart>
      <c:catAx>
        <c:axId val="2070874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0255872"/>
        <c:crosses val="autoZero"/>
        <c:auto val="1"/>
        <c:lblAlgn val="ctr"/>
        <c:lblOffset val="100"/>
        <c:noMultiLvlLbl val="0"/>
      </c:catAx>
      <c:valAx>
        <c:axId val="2102558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708748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一般公共预算财政拨款支出</c:v>
                </c:pt>
              </c:strCache>
            </c:strRef>
          </c:tx>
          <c:explosion val="0"/>
          <c:dPt>
            <c:idx val="0"/>
            <c:bubble3D val="0"/>
          </c:dPt>
          <c:dPt>
            <c:idx val="1"/>
            <c:bubble3D val="0"/>
          </c:dPt>
          <c:dPt>
            <c:idx val="2"/>
            <c:bubble3D val="0"/>
          </c:dPt>
          <c:dPt>
            <c:idx val="3"/>
            <c:bubble3D val="0"/>
          </c:dPt>
          <c:dLbls>
            <c:delete val="1"/>
          </c:dLbls>
          <c:cat>
            <c:strRef>
              <c:f>Sheet1!$A$2:$A$5</c:f>
              <c:strCache>
                <c:ptCount val="4"/>
                <c:pt idx="0">
                  <c:v>一般公共服务类</c:v>
                </c:pt>
                <c:pt idx="1">
                  <c:v>社会保障就业类</c:v>
                </c:pt>
                <c:pt idx="2">
                  <c:v>医疗卫生支出</c:v>
                </c:pt>
                <c:pt idx="3">
                  <c:v>住房保障支出</c:v>
                </c:pt>
              </c:strCache>
            </c:strRef>
          </c:cat>
          <c:val>
            <c:numRef>
              <c:f>Sheet1!$B$2:$B$5</c:f>
              <c:numCache>
                <c:formatCode>0.0%</c:formatCode>
                <c:ptCount val="4"/>
                <c:pt idx="0">
                  <c:v>0.93</c:v>
                </c:pt>
                <c:pt idx="1">
                  <c:v>0.035</c:v>
                </c:pt>
                <c:pt idx="2">
                  <c:v>0.01</c:v>
                </c:pt>
                <c:pt idx="3">
                  <c:v>0.025</c:v>
                </c:pt>
              </c:numCache>
            </c:numRef>
          </c:val>
        </c:ser>
        <c:dLbls>
          <c:showLegendKey val="0"/>
          <c:showVal val="0"/>
          <c:showCatName val="0"/>
          <c:showSerName val="0"/>
          <c:showPercent val="0"/>
          <c:showBubbleSize val="0"/>
          <c:showLeaderLines val="1"/>
        </c:dLbls>
        <c:firstSliceAng val="0"/>
      </c:pie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D4D8-4FE3-46D8-B315-C6B8E11E2252}">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10475</Words>
  <Characters>11058</Characters>
  <Lines>84</Lines>
  <Paragraphs>23</Paragraphs>
  <TotalTime>0</TotalTime>
  <ScaleCrop>false</ScaleCrop>
  <LinksUpToDate>false</LinksUpToDate>
  <CharactersWithSpaces>11232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2020-08-19T03:14:00Z</dcterms:created>
  <dc:creator>张彬茜</dc:creator>
  <cp:lastModifiedBy>糖糖</cp:lastModifiedBy>
  <cp:lastPrinted>2019-08-01T00:48:00Z</cp:lastPrinted>
  <dcterms:modified xsi:type="dcterms:W3CDTF">2022-10-17T03:06:24Z</dcterms:modified>
  <dc:title>四川省***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ECE6A495294947E581F50D624797DEED</vt:lpwstr>
  </property>
</Properties>
</file>