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77425"/>
      <w:bookmarkStart w:id="3" w:name="_Toc15378441"/>
      <w:bookmarkStart w:id="4" w:name="_Toc15396475"/>
      <w:bookmarkStart w:id="5" w:name="_Toc15396597"/>
      <w:bookmarkStart w:id="6" w:name="_Toc17103546"/>
      <w:r>
        <w:rPr>
          <w:rFonts w:ascii="黑体" w:hAnsi="黑体" w:eastAsia="黑体"/>
          <w:color w:val="000000"/>
          <w:sz w:val="72"/>
          <w:szCs w:val="72"/>
        </w:rPr>
        <w:t>2019</w:t>
      </w:r>
      <w:r>
        <w:rPr>
          <w:rFonts w:hint="eastAsia" w:ascii="方正小标宋简体" w:hAnsi="宋体" w:eastAsia="方正小标宋简体"/>
          <w:color w:val="000000"/>
          <w:sz w:val="72"/>
          <w:szCs w:val="72"/>
        </w:rPr>
        <w:t>年度</w:t>
      </w:r>
      <w:bookmarkEnd w:id="1"/>
      <w:bookmarkEnd w:id="2"/>
      <w:bookmarkEnd w:id="3"/>
      <w:bookmarkEnd w:id="4"/>
      <w:bookmarkEnd w:id="5"/>
      <w:bookmarkEnd w:id="6"/>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7" w:name="_Toc15377194"/>
      <w:bookmarkStart w:id="8" w:name="_Toc15377426"/>
      <w:bookmarkStart w:id="9" w:name="_Toc15378442"/>
      <w:bookmarkStart w:id="10" w:name="_Toc15396476"/>
      <w:bookmarkStart w:id="11" w:name="_Toc15396598"/>
      <w:bookmarkStart w:id="12" w:name="_Toc17103547"/>
      <w:bookmarkStart w:id="13" w:name="_Toc15306268"/>
      <w:r>
        <w:rPr>
          <w:rFonts w:hint="eastAsia" w:ascii="方正小标宋简体" w:hAnsi="宋体" w:eastAsia="方正小标宋简体"/>
          <w:color w:val="000000"/>
          <w:sz w:val="72"/>
          <w:szCs w:val="72"/>
        </w:rPr>
        <w:t>四川省资阳市雁江区团委部门决算</w:t>
      </w:r>
      <w:bookmarkEnd w:id="7"/>
      <w:bookmarkEnd w:id="8"/>
      <w:bookmarkEnd w:id="9"/>
      <w:bookmarkEnd w:id="10"/>
      <w:bookmarkEnd w:id="11"/>
      <w:bookmarkEnd w:id="12"/>
      <w:bookmarkEnd w:id="13"/>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b/>
          <w:sz w:val="28"/>
          <w:szCs w:val="28"/>
        </w:rPr>
      </w:pPr>
      <w:bookmarkStart w:id="14" w:name="_Toc15377196"/>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rPr>
          <w:b/>
        </w:rPr>
      </w:pPr>
      <w:r>
        <w:rPr>
          <w:rFonts w:hint="eastAsia"/>
          <w:b/>
        </w:rPr>
        <w:t>公开时</w:t>
      </w:r>
      <w:r>
        <w:rPr>
          <w:rStyle w:val="16"/>
          <w:rFonts w:hint="eastAsia" w:ascii="仿宋" w:hAnsi="仿宋" w:eastAsia="仿宋" w:cs="Times New Roman"/>
          <w:b/>
          <w:kern w:val="2"/>
          <w:sz w:val="28"/>
          <w:szCs w:val="28"/>
          <w:lang w:val="en-US" w:eastAsia="zh-CN" w:bidi="ar-SA"/>
        </w:rPr>
        <w:t>间：2020年9月2日</w:t>
      </w:r>
    </w:p>
    <w:p>
      <w:pPr>
        <w:rPr>
          <w:b/>
        </w:rPr>
      </w:pPr>
    </w:p>
    <w:p>
      <w:pPr>
        <w:pStyle w:val="10"/>
        <w:rPr>
          <w:rFonts w:cstheme="minorBidi"/>
          <w:b/>
        </w:rPr>
      </w:pPr>
      <w:r>
        <w:fldChar w:fldCharType="begin"/>
      </w:r>
      <w:r>
        <w:instrText xml:space="preserve"> HYPERLINK \l "_Toc15396599" </w:instrText>
      </w:r>
      <w:r>
        <w:fldChar w:fldCharType="separate"/>
      </w:r>
      <w:r>
        <w:rPr>
          <w:rStyle w:val="16"/>
          <w:rFonts w:hint="eastAsia"/>
          <w:b/>
        </w:rPr>
        <w:t>第一部分</w:t>
      </w:r>
      <w:r>
        <w:rPr>
          <w:rStyle w:val="16"/>
          <w:b/>
        </w:rPr>
        <w:t xml:space="preserve"> </w:t>
      </w:r>
      <w:r>
        <w:rPr>
          <w:rStyle w:val="16"/>
          <w:rFonts w:hint="eastAsia"/>
          <w:b/>
        </w:rPr>
        <w:t>部门概况</w:t>
      </w:r>
      <w:r>
        <w:rPr>
          <w:b/>
        </w:rPr>
        <w:tab/>
      </w:r>
      <w:r>
        <w:rPr>
          <w:rFonts w:hint="eastAsia"/>
          <w:b/>
        </w:rPr>
        <w:t>4</w:t>
      </w:r>
      <w:r>
        <w:rPr>
          <w:rFonts w:hint="eastAsia"/>
          <w:b/>
        </w:rPr>
        <w:fldChar w:fldCharType="end"/>
      </w:r>
    </w:p>
    <w:p>
      <w:pPr>
        <w:pStyle w:val="11"/>
        <w:rPr>
          <w:rFonts w:ascii="仿宋" w:hAnsi="仿宋" w:eastAsia="仿宋" w:cstheme="minorBidi"/>
          <w:b/>
          <w:sz w:val="28"/>
          <w:szCs w:val="28"/>
        </w:rPr>
      </w:pPr>
      <w:r>
        <w:fldChar w:fldCharType="begin"/>
      </w:r>
      <w:r>
        <w:instrText xml:space="preserve"> HYPERLINK \l "_Toc15396600" </w:instrText>
      </w:r>
      <w:r>
        <w:fldChar w:fldCharType="separate"/>
      </w:r>
      <w:r>
        <w:rPr>
          <w:rStyle w:val="16"/>
          <w:rFonts w:hint="eastAsia" w:ascii="仿宋" w:hAnsi="仿宋" w:eastAsia="仿宋"/>
          <w:b/>
          <w:sz w:val="28"/>
          <w:szCs w:val="28"/>
        </w:rPr>
        <w:t>一、基本职能及主要工作</w:t>
      </w:r>
      <w:r>
        <w:rPr>
          <w:rFonts w:ascii="仿宋" w:hAnsi="仿宋" w:eastAsia="仿宋"/>
          <w:b/>
          <w:sz w:val="28"/>
          <w:szCs w:val="28"/>
        </w:rPr>
        <w:tab/>
      </w:r>
      <w:r>
        <w:rPr>
          <w:rFonts w:hint="eastAsia" w:ascii="仿宋" w:hAnsi="仿宋" w:eastAsia="仿宋"/>
          <w:b/>
          <w:sz w:val="28"/>
          <w:szCs w:val="28"/>
        </w:rPr>
        <w:t>23</w:t>
      </w:r>
      <w:r>
        <w:rPr>
          <w:rFonts w:hint="eastAsia" w:ascii="仿宋" w:hAnsi="仿宋" w:eastAsia="仿宋"/>
          <w:b/>
          <w:sz w:val="28"/>
          <w:szCs w:val="28"/>
        </w:rPr>
        <w:fldChar w:fldCharType="end"/>
      </w:r>
    </w:p>
    <w:p>
      <w:pPr>
        <w:pStyle w:val="10"/>
        <w:rPr>
          <w:b/>
        </w:rPr>
      </w:pPr>
      <w:r>
        <w:fldChar w:fldCharType="begin"/>
      </w:r>
      <w:r>
        <w:instrText xml:space="preserve"> HYPERLINK \l "_Toc15396602" </w:instrText>
      </w:r>
      <w:r>
        <w:fldChar w:fldCharType="separate"/>
      </w:r>
      <w:r>
        <w:rPr>
          <w:rStyle w:val="16"/>
          <w:rFonts w:hint="eastAsia"/>
          <w:b/>
        </w:rPr>
        <w:t>第二部分</w:t>
      </w:r>
      <w:r>
        <w:rPr>
          <w:rStyle w:val="16"/>
          <w:b/>
        </w:rPr>
        <w:t xml:space="preserve"> 201</w:t>
      </w:r>
      <w:r>
        <w:rPr>
          <w:rStyle w:val="16"/>
          <w:rFonts w:hint="eastAsia"/>
          <w:b/>
        </w:rPr>
        <w:t>9年度部门决算情况说明</w:t>
      </w:r>
      <w:r>
        <w:rPr>
          <w:b/>
        </w:rPr>
        <w:tab/>
      </w:r>
      <w:r>
        <w:rPr>
          <w:rFonts w:hint="eastAsia"/>
          <w:b/>
        </w:rPr>
        <w:t>24</w:t>
      </w:r>
      <w:r>
        <w:rPr>
          <w:rFonts w:hint="eastAsia"/>
          <w:b/>
        </w:rPr>
        <w:fldChar w:fldCharType="end"/>
      </w:r>
    </w:p>
    <w:p>
      <w:pPr>
        <w:pStyle w:val="11"/>
        <w:rPr>
          <w:rFonts w:ascii="仿宋" w:hAnsi="仿宋" w:eastAsia="仿宋" w:cstheme="minorBidi"/>
          <w:b/>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
          <w:bCs/>
          <w:sz w:val="28"/>
          <w:szCs w:val="28"/>
        </w:rPr>
        <w:t>一、</w:t>
      </w:r>
      <w:r>
        <w:rPr>
          <w:rStyle w:val="16"/>
          <w:rFonts w:hint="eastAsia" w:ascii="仿宋" w:hAnsi="仿宋" w:eastAsia="仿宋"/>
          <w:b/>
          <w:sz w:val="28"/>
          <w:szCs w:val="28"/>
        </w:rPr>
        <w:t>收</w:t>
      </w:r>
      <w:r>
        <w:rPr>
          <w:rStyle w:val="16"/>
          <w:rFonts w:hint="eastAsia" w:ascii="仿宋" w:hAnsi="仿宋" w:eastAsia="仿宋" w:cstheme="majorBidi"/>
          <w:b/>
          <w:bCs/>
          <w:sz w:val="28"/>
          <w:szCs w:val="28"/>
        </w:rPr>
        <w:t>入支出决算总体情况说明</w:t>
      </w:r>
      <w:r>
        <w:rPr>
          <w:rFonts w:ascii="仿宋" w:hAnsi="仿宋" w:eastAsia="仿宋"/>
          <w:b/>
          <w:sz w:val="28"/>
          <w:szCs w:val="28"/>
        </w:rPr>
        <w:tab/>
      </w:r>
      <w:r>
        <w:rPr>
          <w:rFonts w:hint="eastAsia" w:ascii="仿宋" w:hAnsi="仿宋" w:eastAsia="仿宋"/>
          <w:b/>
          <w:sz w:val="28"/>
          <w:szCs w:val="28"/>
        </w:rPr>
        <w:t>24</w:t>
      </w:r>
      <w:r>
        <w:rPr>
          <w:rFonts w:hint="eastAsia" w:ascii="仿宋" w:hAnsi="仿宋" w:eastAsia="仿宋"/>
          <w:b/>
          <w:sz w:val="28"/>
          <w:szCs w:val="28"/>
        </w:rPr>
        <w:fldChar w:fldCharType="end"/>
      </w:r>
    </w:p>
    <w:p>
      <w:pPr>
        <w:pStyle w:val="11"/>
        <w:rPr>
          <w:rFonts w:ascii="仿宋" w:hAnsi="仿宋" w:eastAsia="仿宋" w:cstheme="minorBidi"/>
          <w:b/>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
          <w:bCs/>
          <w:sz w:val="28"/>
          <w:szCs w:val="28"/>
        </w:rPr>
        <w:t>二、</w:t>
      </w:r>
      <w:r>
        <w:rPr>
          <w:rStyle w:val="16"/>
          <w:rFonts w:hint="eastAsia" w:ascii="仿宋" w:hAnsi="仿宋" w:eastAsia="仿宋"/>
          <w:b/>
          <w:sz w:val="28"/>
          <w:szCs w:val="28"/>
        </w:rPr>
        <w:t>收</w:t>
      </w:r>
      <w:r>
        <w:rPr>
          <w:rStyle w:val="16"/>
          <w:rFonts w:hint="eastAsia" w:ascii="仿宋" w:hAnsi="仿宋" w:eastAsia="仿宋" w:cstheme="majorBidi"/>
          <w:b/>
          <w:bCs/>
          <w:sz w:val="28"/>
          <w:szCs w:val="28"/>
        </w:rPr>
        <w:t>入决算情况说明</w:t>
      </w:r>
      <w:r>
        <w:rPr>
          <w:rFonts w:ascii="仿宋" w:hAnsi="仿宋" w:eastAsia="仿宋"/>
          <w:b/>
          <w:sz w:val="28"/>
          <w:szCs w:val="28"/>
        </w:rPr>
        <w:tab/>
      </w:r>
      <w:r>
        <w:rPr>
          <w:rFonts w:hint="eastAsia" w:ascii="仿宋" w:hAnsi="仿宋" w:eastAsia="仿宋"/>
          <w:b/>
          <w:sz w:val="28"/>
          <w:szCs w:val="28"/>
        </w:rPr>
        <w:t>24</w:t>
      </w:r>
      <w:r>
        <w:rPr>
          <w:rFonts w:hint="eastAsia" w:ascii="仿宋" w:hAnsi="仿宋" w:eastAsia="仿宋"/>
          <w:b/>
          <w:sz w:val="28"/>
          <w:szCs w:val="28"/>
        </w:rPr>
        <w:fldChar w:fldCharType="end"/>
      </w:r>
    </w:p>
    <w:p>
      <w:pPr>
        <w:pStyle w:val="11"/>
        <w:rPr>
          <w:rFonts w:ascii="仿宋" w:hAnsi="仿宋" w:eastAsia="仿宋" w:cstheme="minorBidi"/>
          <w:b/>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
          <w:bCs/>
          <w:sz w:val="28"/>
          <w:szCs w:val="28"/>
        </w:rPr>
        <w:t>三、</w:t>
      </w:r>
      <w:r>
        <w:rPr>
          <w:rStyle w:val="16"/>
          <w:rFonts w:hint="eastAsia" w:ascii="仿宋" w:hAnsi="仿宋" w:eastAsia="仿宋"/>
          <w:b/>
          <w:sz w:val="28"/>
          <w:szCs w:val="28"/>
        </w:rPr>
        <w:t>支</w:t>
      </w:r>
      <w:r>
        <w:rPr>
          <w:rStyle w:val="16"/>
          <w:rFonts w:hint="eastAsia" w:ascii="仿宋" w:hAnsi="仿宋" w:eastAsia="仿宋" w:cstheme="majorBidi"/>
          <w:b/>
          <w:bCs/>
          <w:sz w:val="28"/>
          <w:szCs w:val="28"/>
        </w:rPr>
        <w:t>出决算情况说明</w:t>
      </w:r>
      <w:r>
        <w:rPr>
          <w:rFonts w:ascii="仿宋" w:hAnsi="仿宋" w:eastAsia="仿宋"/>
          <w:b/>
          <w:sz w:val="28"/>
          <w:szCs w:val="28"/>
        </w:rPr>
        <w:tab/>
      </w:r>
      <w:r>
        <w:rPr>
          <w:rFonts w:hint="eastAsia" w:ascii="仿宋" w:hAnsi="仿宋" w:eastAsia="仿宋"/>
          <w:b/>
          <w:sz w:val="28"/>
          <w:szCs w:val="28"/>
        </w:rPr>
        <w:t>25</w:t>
      </w:r>
      <w:r>
        <w:rPr>
          <w:rFonts w:hint="eastAsia" w:ascii="仿宋" w:hAnsi="仿宋" w:eastAsia="仿宋"/>
          <w:b/>
          <w:sz w:val="28"/>
          <w:szCs w:val="28"/>
        </w:rPr>
        <w:fldChar w:fldCharType="end"/>
      </w:r>
    </w:p>
    <w:p>
      <w:pPr>
        <w:pStyle w:val="11"/>
        <w:rPr>
          <w:rFonts w:ascii="仿宋" w:hAnsi="仿宋" w:eastAsia="仿宋" w:cstheme="minorBidi"/>
          <w:b/>
          <w:sz w:val="28"/>
          <w:szCs w:val="28"/>
        </w:rPr>
      </w:pPr>
      <w:r>
        <w:fldChar w:fldCharType="begin"/>
      </w:r>
      <w:r>
        <w:instrText xml:space="preserve"> HYPERLINK \l "_Toc15396606" </w:instrText>
      </w:r>
      <w:r>
        <w:fldChar w:fldCharType="separate"/>
      </w:r>
      <w:r>
        <w:rPr>
          <w:rStyle w:val="16"/>
          <w:rFonts w:hint="eastAsia" w:ascii="仿宋" w:hAnsi="仿宋" w:eastAsia="仿宋"/>
          <w:b/>
          <w:sz w:val="28"/>
          <w:szCs w:val="28"/>
        </w:rPr>
        <w:t>四、财</w:t>
      </w:r>
      <w:r>
        <w:rPr>
          <w:rStyle w:val="16"/>
          <w:rFonts w:hint="eastAsia" w:ascii="仿宋" w:hAnsi="仿宋" w:eastAsia="仿宋" w:cstheme="majorBidi"/>
          <w:b/>
          <w:bCs/>
          <w:sz w:val="28"/>
          <w:szCs w:val="28"/>
        </w:rPr>
        <w:t>政拨款收入支出决算总体情况说明</w:t>
      </w:r>
      <w:r>
        <w:rPr>
          <w:rFonts w:ascii="仿宋" w:hAnsi="仿宋" w:eastAsia="仿宋"/>
          <w:b/>
          <w:sz w:val="28"/>
          <w:szCs w:val="28"/>
        </w:rPr>
        <w:tab/>
      </w:r>
      <w:r>
        <w:rPr>
          <w:rFonts w:hint="eastAsia" w:ascii="仿宋" w:hAnsi="仿宋" w:eastAsia="仿宋"/>
          <w:b/>
          <w:sz w:val="28"/>
          <w:szCs w:val="28"/>
        </w:rPr>
        <w:t>25</w:t>
      </w:r>
      <w:r>
        <w:rPr>
          <w:rFonts w:hint="eastAsia" w:ascii="仿宋" w:hAnsi="仿宋" w:eastAsia="仿宋"/>
          <w:b/>
          <w:sz w:val="28"/>
          <w:szCs w:val="28"/>
        </w:rPr>
        <w:fldChar w:fldCharType="end"/>
      </w:r>
    </w:p>
    <w:p>
      <w:pPr>
        <w:pStyle w:val="11"/>
        <w:rPr>
          <w:rFonts w:ascii="仿宋" w:hAnsi="仿宋" w:eastAsia="仿宋" w:cstheme="minorBidi"/>
          <w:b/>
          <w:sz w:val="28"/>
          <w:szCs w:val="28"/>
        </w:rPr>
      </w:pPr>
      <w:r>
        <w:fldChar w:fldCharType="begin"/>
      </w:r>
      <w:r>
        <w:instrText xml:space="preserve"> HYPERLINK \l "_Toc15396607" </w:instrText>
      </w:r>
      <w:r>
        <w:fldChar w:fldCharType="separate"/>
      </w:r>
      <w:r>
        <w:rPr>
          <w:rStyle w:val="16"/>
          <w:rFonts w:hint="eastAsia" w:ascii="仿宋" w:hAnsi="仿宋" w:eastAsia="仿宋"/>
          <w:b/>
          <w:sz w:val="28"/>
          <w:szCs w:val="28"/>
        </w:rPr>
        <w:t>五、一</w:t>
      </w:r>
      <w:r>
        <w:rPr>
          <w:rStyle w:val="16"/>
          <w:rFonts w:hint="eastAsia" w:ascii="仿宋" w:hAnsi="仿宋" w:eastAsia="仿宋" w:cstheme="majorBidi"/>
          <w:b/>
          <w:bCs/>
          <w:sz w:val="28"/>
          <w:szCs w:val="28"/>
        </w:rPr>
        <w:t>般公共预算财政拨款支出决算情况说明</w:t>
      </w:r>
      <w:r>
        <w:rPr>
          <w:rFonts w:ascii="仿宋" w:hAnsi="仿宋" w:eastAsia="仿宋"/>
          <w:b/>
          <w:sz w:val="28"/>
          <w:szCs w:val="28"/>
        </w:rPr>
        <w:tab/>
      </w:r>
      <w:r>
        <w:rPr>
          <w:rFonts w:hint="eastAsia" w:ascii="仿宋" w:hAnsi="仿宋" w:eastAsia="仿宋"/>
          <w:b/>
          <w:sz w:val="28"/>
          <w:szCs w:val="28"/>
        </w:rPr>
        <w:t>26</w:t>
      </w:r>
      <w:r>
        <w:rPr>
          <w:rFonts w:hint="eastAsia" w:ascii="仿宋" w:hAnsi="仿宋" w:eastAsia="仿宋"/>
          <w:b/>
          <w:sz w:val="28"/>
          <w:szCs w:val="28"/>
        </w:rPr>
        <w:fldChar w:fldCharType="end"/>
      </w:r>
    </w:p>
    <w:p>
      <w:pPr>
        <w:pStyle w:val="11"/>
        <w:ind w:left="630" w:leftChars="300"/>
        <w:rPr>
          <w:rFonts w:ascii="仿宋" w:hAnsi="仿宋" w:eastAsia="仿宋" w:cstheme="minorBidi"/>
          <w:b/>
          <w:sz w:val="28"/>
          <w:szCs w:val="28"/>
        </w:rPr>
      </w:pPr>
      <w:r>
        <w:fldChar w:fldCharType="begin"/>
      </w:r>
      <w:r>
        <w:instrText xml:space="preserve"> HYPERLINK \l "_Toc15396608" </w:instrText>
      </w:r>
      <w:r>
        <w:fldChar w:fldCharType="separate"/>
      </w:r>
      <w:r>
        <w:rPr>
          <w:rStyle w:val="16"/>
          <w:rFonts w:hint="eastAsia" w:ascii="仿宋" w:hAnsi="仿宋" w:eastAsia="仿宋"/>
          <w:b/>
          <w:sz w:val="28"/>
          <w:szCs w:val="28"/>
        </w:rPr>
        <w:t>六、一</w:t>
      </w:r>
      <w:r>
        <w:rPr>
          <w:rStyle w:val="16"/>
          <w:rFonts w:hint="eastAsia" w:ascii="仿宋" w:hAnsi="仿宋" w:eastAsia="仿宋" w:cstheme="majorBidi"/>
          <w:b/>
          <w:bCs/>
          <w:sz w:val="28"/>
          <w:szCs w:val="28"/>
        </w:rPr>
        <w:t>般公共预算财政拨款基本支出决算情况说明</w:t>
      </w:r>
      <w:r>
        <w:rPr>
          <w:rFonts w:ascii="仿宋" w:hAnsi="仿宋" w:eastAsia="仿宋"/>
          <w:b/>
          <w:sz w:val="28"/>
          <w:szCs w:val="28"/>
        </w:rPr>
        <w:tab/>
      </w:r>
      <w:r>
        <w:rPr>
          <w:rFonts w:ascii="仿宋" w:hAnsi="仿宋" w:eastAsia="仿宋"/>
          <w:b/>
          <w:sz w:val="28"/>
          <w:szCs w:val="28"/>
        </w:rPr>
        <w:fldChar w:fldCharType="begin"/>
      </w:r>
      <w:r>
        <w:rPr>
          <w:rFonts w:ascii="仿宋" w:hAnsi="仿宋" w:eastAsia="仿宋"/>
          <w:b/>
          <w:sz w:val="28"/>
          <w:szCs w:val="28"/>
        </w:rPr>
        <w:instrText xml:space="preserve"> PAGEREF _Toc15396608 \h </w:instrText>
      </w:r>
      <w:r>
        <w:rPr>
          <w:rFonts w:ascii="仿宋" w:hAnsi="仿宋" w:eastAsia="仿宋"/>
          <w:b/>
          <w:sz w:val="28"/>
          <w:szCs w:val="28"/>
        </w:rPr>
        <w:fldChar w:fldCharType="separate"/>
      </w:r>
      <w:r>
        <w:rPr>
          <w:rFonts w:hint="eastAsia" w:ascii="仿宋" w:hAnsi="仿宋" w:eastAsia="仿宋"/>
          <w:bCs/>
          <w:sz w:val="28"/>
          <w:szCs w:val="28"/>
        </w:rPr>
        <w:t>29</w:t>
      </w:r>
      <w:r>
        <w:rPr>
          <w:rFonts w:ascii="仿宋" w:hAnsi="仿宋" w:eastAsia="仿宋"/>
          <w:b/>
          <w:sz w:val="28"/>
          <w:szCs w:val="28"/>
        </w:rPr>
        <w:fldChar w:fldCharType="end"/>
      </w:r>
      <w:r>
        <w:rPr>
          <w:rFonts w:ascii="仿宋" w:hAnsi="仿宋" w:eastAsia="仿宋"/>
          <w:b/>
          <w:sz w:val="28"/>
          <w:szCs w:val="28"/>
        </w:rPr>
        <w:fldChar w:fldCharType="end"/>
      </w:r>
    </w:p>
    <w:p>
      <w:pPr>
        <w:pStyle w:val="11"/>
        <w:rPr>
          <w:rFonts w:ascii="仿宋" w:hAnsi="仿宋" w:eastAsia="仿宋" w:cstheme="minorBidi"/>
          <w:b/>
          <w:sz w:val="28"/>
          <w:szCs w:val="28"/>
        </w:rPr>
      </w:pPr>
      <w:r>
        <w:fldChar w:fldCharType="begin"/>
      </w:r>
      <w:r>
        <w:instrText xml:space="preserve"> HYPERLINK \l "_Toc15396609" </w:instrText>
      </w:r>
      <w:r>
        <w:fldChar w:fldCharType="separate"/>
      </w:r>
      <w:r>
        <w:rPr>
          <w:rStyle w:val="16"/>
          <w:rFonts w:hint="eastAsia" w:ascii="仿宋" w:hAnsi="仿宋" w:eastAsia="仿宋"/>
          <w:b/>
          <w:sz w:val="28"/>
          <w:szCs w:val="28"/>
        </w:rPr>
        <w:t>七、</w:t>
      </w:r>
      <w:r>
        <w:rPr>
          <w:rStyle w:val="16"/>
          <w:rFonts w:ascii="仿宋" w:hAnsi="仿宋" w:eastAsia="仿宋"/>
          <w:b/>
          <w:sz w:val="28"/>
          <w:szCs w:val="28"/>
        </w:rPr>
        <w:t>“</w:t>
      </w:r>
      <w:r>
        <w:rPr>
          <w:rStyle w:val="16"/>
          <w:rFonts w:hint="eastAsia" w:ascii="仿宋" w:hAnsi="仿宋" w:eastAsia="仿宋" w:cstheme="majorBidi"/>
          <w:b/>
          <w:bCs/>
          <w:sz w:val="28"/>
          <w:szCs w:val="28"/>
        </w:rPr>
        <w:t>三公”经费财政拨款支出决算情况说明</w:t>
      </w:r>
      <w:r>
        <w:rPr>
          <w:rFonts w:ascii="仿宋" w:hAnsi="仿宋" w:eastAsia="仿宋"/>
          <w:b/>
          <w:sz w:val="28"/>
          <w:szCs w:val="28"/>
        </w:rPr>
        <w:tab/>
      </w:r>
      <w:r>
        <w:rPr>
          <w:rFonts w:hint="eastAsia" w:ascii="仿宋" w:hAnsi="仿宋" w:eastAsia="仿宋"/>
          <w:b/>
          <w:sz w:val="28"/>
          <w:szCs w:val="28"/>
        </w:rPr>
        <w:t>30</w:t>
      </w:r>
      <w:r>
        <w:rPr>
          <w:rFonts w:hint="eastAsia" w:ascii="仿宋" w:hAnsi="仿宋" w:eastAsia="仿宋"/>
          <w:b/>
          <w:sz w:val="28"/>
          <w:szCs w:val="28"/>
        </w:rPr>
        <w:fldChar w:fldCharType="end"/>
      </w:r>
    </w:p>
    <w:p>
      <w:pPr>
        <w:pStyle w:val="11"/>
        <w:rPr>
          <w:rFonts w:ascii="仿宋" w:hAnsi="仿宋" w:eastAsia="仿宋" w:cstheme="minorBidi"/>
          <w:b/>
          <w:sz w:val="28"/>
          <w:szCs w:val="28"/>
        </w:rPr>
      </w:pPr>
      <w:r>
        <w:fldChar w:fldCharType="begin"/>
      </w:r>
      <w:r>
        <w:instrText xml:space="preserve"> HYPERLINK \l "_Toc15396610" </w:instrText>
      </w:r>
      <w:r>
        <w:fldChar w:fldCharType="separate"/>
      </w:r>
      <w:r>
        <w:rPr>
          <w:rStyle w:val="16"/>
          <w:rFonts w:hint="eastAsia" w:ascii="仿宋" w:hAnsi="仿宋" w:eastAsia="仿宋"/>
          <w:b/>
          <w:sz w:val="28"/>
          <w:szCs w:val="28"/>
        </w:rPr>
        <w:t>八、</w:t>
      </w:r>
      <w:r>
        <w:rPr>
          <w:rStyle w:val="16"/>
          <w:rFonts w:hint="eastAsia" w:ascii="仿宋" w:hAnsi="仿宋" w:eastAsia="仿宋" w:cstheme="majorBidi"/>
          <w:b/>
          <w:bCs/>
          <w:sz w:val="28"/>
          <w:szCs w:val="28"/>
        </w:rPr>
        <w:t>政府性基金预算支出决算情况说明</w:t>
      </w:r>
      <w:r>
        <w:rPr>
          <w:rFonts w:ascii="仿宋" w:hAnsi="仿宋" w:eastAsia="仿宋"/>
          <w:b/>
          <w:sz w:val="28"/>
          <w:szCs w:val="28"/>
        </w:rPr>
        <w:tab/>
      </w:r>
      <w:r>
        <w:rPr>
          <w:rFonts w:hint="eastAsia" w:ascii="仿宋" w:hAnsi="仿宋" w:eastAsia="仿宋"/>
          <w:b/>
          <w:sz w:val="28"/>
          <w:szCs w:val="28"/>
        </w:rPr>
        <w:t>32</w:t>
      </w:r>
      <w:r>
        <w:rPr>
          <w:rFonts w:hint="eastAsia" w:ascii="仿宋" w:hAnsi="仿宋" w:eastAsia="仿宋"/>
          <w:b/>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6"/>
          <w:rFonts w:hint="eastAsia"/>
          <w:bCs/>
          <w:kern w:val="44"/>
        </w:rPr>
        <w:t>第三部分</w:t>
      </w:r>
      <w:r>
        <w:rPr>
          <w:rStyle w:val="16"/>
          <w:rFonts w:hint="eastAsia"/>
        </w:rPr>
        <w:t xml:space="preserve"> 名</w:t>
      </w:r>
      <w:r>
        <w:rPr>
          <w:rStyle w:val="16"/>
          <w:rFonts w:hint="eastAsia"/>
          <w:bCs/>
          <w:kern w:val="44"/>
        </w:rPr>
        <w:t>词解释</w:t>
      </w:r>
      <w:r>
        <w:tab/>
      </w:r>
      <w:r>
        <w:rPr>
          <w:rFonts w:hint="eastAsia"/>
        </w:rPr>
        <w:t>41</w:t>
      </w:r>
      <w:r>
        <w:rPr>
          <w:rFonts w:hint="eastAsia"/>
        </w:rPr>
        <w:fldChar w:fldCharType="end"/>
      </w:r>
    </w:p>
    <w:p>
      <w:pPr>
        <w:pStyle w:val="10"/>
        <w:rPr>
          <w:rFonts w:cstheme="minorBidi"/>
        </w:rPr>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w:t>
      </w:r>
      <w:r>
        <w:rPr>
          <w:rStyle w:val="16"/>
          <w:bCs/>
          <w:kern w:val="44"/>
        </w:rPr>
        <w:t xml:space="preserve"> </w:t>
      </w:r>
      <w:r>
        <w:rPr>
          <w:rStyle w:val="16"/>
          <w:rFonts w:hint="eastAsia"/>
          <w:bCs/>
          <w:kern w:val="44"/>
        </w:rPr>
        <w:t>附件</w:t>
      </w:r>
      <w:r>
        <w:tab/>
      </w:r>
      <w:r>
        <w:rPr>
          <w:rFonts w:hint="eastAsia"/>
        </w:rPr>
        <w:t>45</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1</w:t>
      </w:r>
      <w:r>
        <w:rPr>
          <w:rFonts w:ascii="仿宋" w:hAnsi="仿宋" w:eastAsia="仿宋"/>
          <w:sz w:val="28"/>
          <w:szCs w:val="28"/>
        </w:rPr>
        <w:tab/>
      </w:r>
      <w:r>
        <w:rPr>
          <w:rFonts w:hint="eastAsia" w:ascii="仿宋" w:hAnsi="仿宋" w:eastAsia="仿宋"/>
          <w:sz w:val="28"/>
          <w:szCs w:val="28"/>
        </w:rPr>
        <w:t>45</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2</w:t>
      </w:r>
      <w:r>
        <w:rPr>
          <w:rFonts w:ascii="仿宋" w:hAnsi="仿宋" w:eastAsia="仿宋"/>
          <w:sz w:val="28"/>
          <w:szCs w:val="28"/>
        </w:rPr>
        <w:tab/>
      </w:r>
      <w:r>
        <w:rPr>
          <w:rFonts w:hint="eastAsia" w:ascii="仿宋" w:hAnsi="仿宋" w:eastAsia="仿宋"/>
          <w:sz w:val="28"/>
          <w:szCs w:val="28"/>
        </w:rPr>
        <w:t>49</w:t>
      </w:r>
      <w:r>
        <w:rPr>
          <w:rFonts w:hint="eastAsia"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6"/>
          <w:rFonts w:hint="eastAsia"/>
        </w:rPr>
        <w:t>第</w:t>
      </w:r>
      <w:r>
        <w:rPr>
          <w:rStyle w:val="16"/>
          <w:rFonts w:hint="eastAsia"/>
          <w:bCs/>
          <w:kern w:val="44"/>
        </w:rPr>
        <w:t>五部分</w:t>
      </w:r>
      <w:r>
        <w:rPr>
          <w:rStyle w:val="16"/>
          <w:bCs/>
          <w:kern w:val="44"/>
        </w:rPr>
        <w:t xml:space="preserve"> </w:t>
      </w:r>
      <w:r>
        <w:rPr>
          <w:rStyle w:val="16"/>
          <w:rFonts w:hint="eastAsia"/>
          <w:bCs/>
          <w:kern w:val="44"/>
        </w:rPr>
        <w:t>附表</w:t>
      </w:r>
      <w:r>
        <w:tab/>
      </w:r>
      <w:r>
        <w:rPr>
          <w:rFonts w:hint="eastAsia"/>
        </w:rPr>
        <w:t>54</w:t>
      </w:r>
      <w:r>
        <w:rPr>
          <w:rFonts w:hint="eastAsia"/>
        </w:rP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rPr>
        <w:t>54</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sz w:val="28"/>
          <w:szCs w:val="28"/>
        </w:rPr>
        <w:t>收入决算表</w:t>
      </w:r>
      <w:r>
        <w:rPr>
          <w:rFonts w:ascii="仿宋" w:hAnsi="仿宋" w:eastAsia="仿宋"/>
          <w:sz w:val="28"/>
          <w:szCs w:val="28"/>
        </w:rPr>
        <w:tab/>
      </w:r>
      <w:r>
        <w:rPr>
          <w:rFonts w:hint="eastAsia" w:ascii="仿宋" w:hAnsi="仿宋" w:eastAsia="仿宋"/>
          <w:sz w:val="28"/>
          <w:szCs w:val="28"/>
        </w:rPr>
        <w:t>54</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sz w:val="28"/>
          <w:szCs w:val="28"/>
        </w:rPr>
        <w:t>支出决算表</w:t>
      </w:r>
      <w:r>
        <w:rPr>
          <w:rFonts w:ascii="仿宋" w:hAnsi="仿宋" w:eastAsia="仿宋"/>
          <w:sz w:val="28"/>
          <w:szCs w:val="28"/>
        </w:rPr>
        <w:tab/>
      </w:r>
      <w:r>
        <w:rPr>
          <w:rFonts w:hint="eastAsia" w:ascii="仿宋" w:hAnsi="仿宋" w:eastAsia="仿宋"/>
          <w:sz w:val="28"/>
          <w:szCs w:val="28"/>
        </w:rPr>
        <w:t>54</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hint="eastAsia" w:ascii="仿宋" w:hAnsi="仿宋" w:eastAsia="仿宋"/>
          <w:sz w:val="28"/>
          <w:szCs w:val="28"/>
        </w:rPr>
        <w:t>54</w:t>
      </w:r>
      <w:r>
        <w:rPr>
          <w:rFonts w:hint="eastAsia"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五、一般公共预算</w:t>
      </w:r>
      <w:r>
        <w:fldChar w:fldCharType="begin"/>
      </w:r>
      <w:r>
        <w:instrText xml:space="preserve"> HYPERLINK \l "_Toc15396623" </w:instrText>
      </w:r>
      <w:r>
        <w:fldChar w:fldCharType="separate"/>
      </w:r>
      <w:r>
        <w:rPr>
          <w:rFonts w:hint="eastAsia" w:ascii="仿宋" w:hAnsi="仿宋" w:eastAsia="仿宋"/>
          <w:sz w:val="28"/>
          <w:szCs w:val="28"/>
        </w:rPr>
        <w:t>财政拨款支出决算表</w:t>
      </w:r>
      <w:r>
        <w:rPr>
          <w:rFonts w:ascii="仿宋" w:hAnsi="仿宋" w:eastAsia="仿宋"/>
          <w:sz w:val="28"/>
          <w:szCs w:val="28"/>
        </w:rPr>
        <w:tab/>
      </w:r>
      <w:r>
        <w:rPr>
          <w:rFonts w:hint="eastAsia" w:ascii="仿宋" w:hAnsi="仿宋" w:eastAsia="仿宋"/>
          <w:sz w:val="28"/>
          <w:szCs w:val="28"/>
        </w:rPr>
        <w:t>54</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rPr>
        <w:t>54</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rPr>
        <w:t>54</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sz w:val="28"/>
          <w:szCs w:val="28"/>
        </w:rPr>
        <w:t>政府性基金预算财政拨款收入支出决算表</w:t>
      </w:r>
      <w:r>
        <w:rPr>
          <w:rStyle w:val="16"/>
          <w:rFonts w:ascii="仿宋" w:hAnsi="仿宋" w:eastAsia="仿宋"/>
          <w:sz w:val="28"/>
          <w:szCs w:val="28"/>
        </w:rPr>
        <w:tab/>
      </w:r>
      <w:r>
        <w:rPr>
          <w:rFonts w:hint="eastAsia" w:ascii="仿宋" w:hAnsi="仿宋" w:eastAsia="仿宋"/>
          <w:sz w:val="28"/>
          <w:szCs w:val="28"/>
        </w:rPr>
        <w:t>54</w:t>
      </w:r>
      <w:r>
        <w:rPr>
          <w:rFonts w:hint="eastAsia"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center"/>
        <w:rPr>
          <w:rStyle w:val="25"/>
          <w:rFonts w:ascii="黑体" w:hAnsi="黑体" w:eastAsia="黑体"/>
        </w:rPr>
      </w:pPr>
      <w:r>
        <w:rPr>
          <w:rFonts w:ascii="黑体" w:hAnsi="黑体" w:eastAsia="黑体"/>
          <w:b/>
        </w:rPr>
        <w:br w:type="page"/>
      </w:r>
      <w:bookmarkStart w:id="15" w:name="_Toc17103549"/>
      <w:r>
        <w:rPr>
          <w:rStyle w:val="25"/>
          <w:rFonts w:hint="eastAsia" w:ascii="黑体" w:hAnsi="黑体"/>
        </w:rPr>
        <w:t xml:space="preserve">第一部分 </w:t>
      </w:r>
      <w:r>
        <w:rPr>
          <w:rStyle w:val="25"/>
          <w:rFonts w:hint="eastAsia" w:ascii="黑体" w:hAnsi="黑体" w:eastAsia="黑体"/>
        </w:rPr>
        <w:t>部门概况</w:t>
      </w:r>
      <w:bookmarkEnd w:id="14"/>
      <w:bookmarkEnd w:id="15"/>
      <w:bookmarkStart w:id="16" w:name="_Toc15377197"/>
      <w:bookmarkStart w:id="17" w:name="_Toc17103550"/>
    </w:p>
    <w:p>
      <w:pPr>
        <w:widowControl/>
        <w:jc w:val="center"/>
        <w:rPr>
          <w:rStyle w:val="25"/>
          <w:rFonts w:ascii="黑体" w:hAnsi="黑体" w:eastAsia="黑体"/>
        </w:rPr>
      </w:pPr>
    </w:p>
    <w:p>
      <w:pPr>
        <w:widowControl/>
        <w:jc w:val="left"/>
        <w:rPr>
          <w:rStyle w:val="26"/>
          <w:rFonts w:ascii="黑体" w:hAnsi="黑体" w:eastAsia="黑体"/>
        </w:rPr>
      </w:pPr>
      <w:r>
        <w:rPr>
          <w:rStyle w:val="25"/>
          <w:rFonts w:hint="eastAsia" w:ascii="黑体" w:hAnsi="黑体" w:eastAsia="黑体"/>
        </w:rPr>
        <w:t xml:space="preserve">    </w:t>
      </w:r>
      <w:r>
        <w:rPr>
          <w:rStyle w:val="26"/>
          <w:rFonts w:hint="eastAsia" w:ascii="黑体" w:hAnsi="黑体" w:eastAsia="黑体"/>
        </w:rPr>
        <w:t>一、基本职能及主要工作</w:t>
      </w:r>
      <w:bookmarkEnd w:id="16"/>
      <w:bookmarkEnd w:id="17"/>
    </w:p>
    <w:p>
      <w:pPr>
        <w:snapToGrid w:val="0"/>
        <w:spacing w:line="540" w:lineRule="exact"/>
        <w:ind w:firstLine="643" w:firstLineChars="200"/>
        <w:rPr>
          <w:rFonts w:hint="eastAsia" w:ascii="方正仿宋简体" w:hAnsi="方正仿宋简体" w:eastAsia="方正仿宋简体" w:cs="方正仿宋简体"/>
          <w:b/>
          <w:bCs w:val="0"/>
          <w:color w:val="000000"/>
          <w:sz w:val="32"/>
          <w:szCs w:val="32"/>
        </w:rPr>
      </w:pPr>
      <w:bookmarkStart w:id="18" w:name="_Toc15377198"/>
      <w:bookmarkStart w:id="19" w:name="_Toc15378445"/>
      <w:r>
        <w:rPr>
          <w:rFonts w:hint="eastAsia" w:ascii="方正仿宋简体" w:hAnsi="方正仿宋简体" w:eastAsia="方正仿宋简体" w:cs="方正仿宋简体"/>
          <w:b/>
          <w:bCs w:val="0"/>
          <w:color w:val="000000"/>
          <w:sz w:val="32"/>
          <w:szCs w:val="32"/>
        </w:rPr>
        <w:t>（一）主要职能。</w:t>
      </w:r>
      <w:bookmarkEnd w:id="18"/>
      <w:bookmarkEnd w:id="19"/>
    </w:p>
    <w:p>
      <w:pPr>
        <w:snapToGrid w:val="0"/>
        <w:spacing w:line="540" w:lineRule="exact"/>
        <w:ind w:firstLine="640" w:firstLineChars="200"/>
        <w:rPr>
          <w:rFonts w:ascii="方正仿宋简体" w:hAnsi="仿宋" w:eastAsia="方正仿宋简体"/>
          <w:sz w:val="32"/>
          <w:szCs w:val="32"/>
        </w:rPr>
      </w:pPr>
      <w:r>
        <w:rPr>
          <w:rFonts w:hint="eastAsia" w:ascii="方正仿宋简体" w:hAnsi="仿宋" w:eastAsia="方正仿宋简体"/>
          <w:sz w:val="32"/>
          <w:szCs w:val="32"/>
        </w:rPr>
        <w:t>雁江区团委是中国共产党领导的</w:t>
      </w:r>
      <w:r>
        <w:rPr>
          <w:rFonts w:hint="eastAsia" w:ascii="方正仿宋简体" w:hAnsi="仿宋" w:eastAsia="方正仿宋简体"/>
          <w:sz w:val="32"/>
          <w:szCs w:val="32"/>
          <w:lang w:eastAsia="zh-CN"/>
        </w:rPr>
        <w:t>先进青年的群团组织</w:t>
      </w:r>
      <w:r>
        <w:rPr>
          <w:rFonts w:hint="eastAsia" w:ascii="方正仿宋简体" w:hAnsi="仿宋" w:eastAsia="方正仿宋简体"/>
          <w:sz w:val="32"/>
          <w:szCs w:val="32"/>
        </w:rPr>
        <w:t>，承担联系青年的桥梁和纽带，负责共青团、青少年事业发展组织和带领青年发挥生力军和突击队作用的群团部门。</w:t>
      </w:r>
    </w:p>
    <w:p>
      <w:pPr>
        <w:pStyle w:val="5"/>
        <w:adjustRightInd w:val="0"/>
        <w:snapToGrid w:val="0"/>
        <w:spacing w:before="93" w:line="600" w:lineRule="exact"/>
        <w:ind w:firstLine="675" w:firstLineChars="210"/>
        <w:outlineLvl w:val="2"/>
        <w:rPr>
          <w:rFonts w:hint="eastAsia" w:ascii="方正仿宋简体" w:hAnsi="方正仿宋简体" w:eastAsia="方正仿宋简体" w:cs="方正仿宋简体"/>
          <w:b/>
          <w:bCs w:val="0"/>
          <w:color w:val="000000"/>
          <w:sz w:val="32"/>
          <w:szCs w:val="32"/>
        </w:rPr>
      </w:pPr>
      <w:bookmarkStart w:id="20" w:name="_Toc15378446"/>
      <w:bookmarkStart w:id="21" w:name="_Toc15377199"/>
      <w:r>
        <w:rPr>
          <w:rFonts w:hint="eastAsia" w:ascii="方正仿宋简体" w:hAnsi="方正仿宋简体" w:eastAsia="方正仿宋简体" w:cs="方正仿宋简体"/>
          <w:b/>
          <w:bCs w:val="0"/>
          <w:color w:val="000000"/>
          <w:sz w:val="32"/>
          <w:szCs w:val="32"/>
        </w:rPr>
        <w:t>（二）2019年重点工作完成情况。</w:t>
      </w:r>
      <w:bookmarkEnd w:id="20"/>
      <w:bookmarkEnd w:id="21"/>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sz w:val="32"/>
          <w:szCs w:val="32"/>
        </w:rPr>
      </w:pPr>
      <w:bookmarkStart w:id="22" w:name="_Toc15377200"/>
      <w:bookmarkStart w:id="23" w:name="_Toc17103551"/>
      <w:r>
        <w:rPr>
          <w:rFonts w:hint="eastAsia" w:ascii="方正仿宋简体" w:hAnsi="方正仿宋简体" w:eastAsia="方正仿宋简体" w:cs="方正仿宋简体"/>
          <w:b/>
          <w:sz w:val="32"/>
          <w:szCs w:val="32"/>
        </w:rPr>
        <w:t>坚持牢牢把握政治方向，深化青少年思想政治引领。</w:t>
      </w:r>
      <w:r>
        <w:rPr>
          <w:rFonts w:hint="eastAsia" w:ascii="方正仿宋简体" w:hAnsi="方正仿宋简体" w:eastAsia="方正仿宋简体" w:cs="方正仿宋简体"/>
          <w:sz w:val="32"/>
          <w:szCs w:val="32"/>
        </w:rPr>
        <w:t>着力增强思想引领工作的吸引力和凝聚力, 引导青年明大理、识大势、知大任、养大德，努力成长为中国特色社会主义事业建设者和接班人。</w:t>
      </w:r>
      <w:r>
        <w:rPr>
          <w:rFonts w:hint="eastAsia" w:ascii="方正仿宋简体" w:hAnsi="方正仿宋简体" w:eastAsia="方正仿宋简体" w:cs="方正仿宋简体"/>
          <w:b/>
          <w:bCs/>
          <w:sz w:val="32"/>
          <w:szCs w:val="32"/>
        </w:rPr>
        <w:t>一是自觉用习近平新时代中国特色社会主义思想武装头脑。</w:t>
      </w:r>
      <w:r>
        <w:rPr>
          <w:rFonts w:hint="eastAsia" w:ascii="方正仿宋简体" w:hAnsi="方正仿宋简体" w:eastAsia="方正仿宋简体" w:cs="方正仿宋简体"/>
          <w:sz w:val="32"/>
          <w:szCs w:val="32"/>
        </w:rPr>
        <w:t>积极开展青年讲师团进校园活动，以“进中学”为重点，围绕习近平总书记纪念五四运动100周年重要讲话精神、省市区全会精神、成资同城化等开展主题宣讲活动，不断扩大“青年大学习”网上主题团课参学率。组织各级团组织广泛开展学习班、读书会等学习交流活动，深化“不忘初心、牢记使命”主题教育成果，广泛开展系列专题讨论活动，让广大青少年在思考中学懂弄通。</w:t>
      </w:r>
      <w:r>
        <w:rPr>
          <w:rFonts w:hint="eastAsia" w:ascii="方正仿宋简体" w:hAnsi="方正仿宋简体" w:eastAsia="方正仿宋简体" w:cs="方正仿宋简体"/>
          <w:b/>
          <w:bCs/>
          <w:sz w:val="32"/>
          <w:szCs w:val="32"/>
        </w:rPr>
        <w:t>二是积极选树先进典型示范引领。</w:t>
      </w:r>
      <w:r>
        <w:rPr>
          <w:rFonts w:hint="eastAsia" w:ascii="方正仿宋简体" w:hAnsi="方正仿宋简体" w:eastAsia="方正仿宋简体" w:cs="方正仿宋简体"/>
          <w:sz w:val="32"/>
          <w:szCs w:val="32"/>
        </w:rPr>
        <w:t>积极推报选树“资阳新青年”“青年创业先锋”等身边优秀青年典型，开展“向上向善好青年”分享活动，用身边青年的优秀事迹引导感召青年。市、区联动开展“青春心向党·建功新时代”主题团日活动、“红领巾心向党，争做新时代好少年”纪念少先队建队70周年主题队日活动、纪念五四运动100周年暨建团97周年集中入团仪式等活动，通过网络直播吸引7.5万余名青少年在线观看，让广大青年在庄严肃穆的仪式中接受“沉浸式”精神洗礼。</w:t>
      </w:r>
      <w:r>
        <w:rPr>
          <w:rFonts w:hint="eastAsia" w:ascii="方正仿宋简体" w:hAnsi="方正仿宋简体" w:eastAsia="方正仿宋简体" w:cs="方正仿宋简体"/>
          <w:b/>
          <w:bCs/>
          <w:sz w:val="32"/>
          <w:szCs w:val="32"/>
        </w:rPr>
        <w:t>三是积极发声强化网络引导。</w:t>
      </w:r>
      <w:r>
        <w:rPr>
          <w:rFonts w:hint="eastAsia" w:ascii="方正仿宋简体" w:hAnsi="方正仿宋简体" w:eastAsia="方正仿宋简体" w:cs="方正仿宋简体"/>
          <w:sz w:val="32"/>
          <w:szCs w:val="32"/>
        </w:rPr>
        <w:t>积极打造雁江共青团新媒体矩阵，覆盖全区并逐步推向乡镇。坚持建平台、发声音、搞活动多措并举，“两微一网”全年发布稿件150余，网络点击观看30余万人次，全区共青团占网用网开展意识形态工作的意识和能力不断提升。</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sz w:val="32"/>
          <w:szCs w:val="32"/>
        </w:rPr>
        <w:t>坚持密切联系服务青年，巩固和扩大党执政的青年根基。</w:t>
      </w:r>
      <w:r>
        <w:rPr>
          <w:rFonts w:hint="eastAsia" w:ascii="方正仿宋简体" w:hAnsi="方正仿宋简体" w:eastAsia="方正仿宋简体" w:cs="方正仿宋简体"/>
          <w:sz w:val="32"/>
          <w:szCs w:val="32"/>
        </w:rPr>
        <w:t>发挥好党联系青年的桥梁纽带作用，坚持服务青年工作生命线，切实增强青年的获得感和幸福感，把广大青年更加紧密地团结在党的周围。</w:t>
      </w:r>
      <w:r>
        <w:rPr>
          <w:rFonts w:hint="eastAsia" w:ascii="方正仿宋简体" w:hAnsi="方正仿宋简体" w:eastAsia="方正仿宋简体" w:cs="方正仿宋简体"/>
          <w:b/>
          <w:bCs/>
          <w:sz w:val="32"/>
          <w:szCs w:val="32"/>
        </w:rPr>
        <w:t>一是完善机制推动《规划》落实落细。</w:t>
      </w:r>
      <w:r>
        <w:rPr>
          <w:rFonts w:hint="eastAsia" w:ascii="方正仿宋简体" w:hAnsi="方正仿宋简体" w:eastAsia="方正仿宋简体" w:cs="方正仿宋简体"/>
          <w:sz w:val="32"/>
          <w:szCs w:val="32"/>
        </w:rPr>
        <w:t>建立“青年工作联席会议”机制，定期召开全体会议，传达省、市联席会议精神、审议通过《议事规则》和《工作要点》，细化落实了工作举措，切实强化组织领导、制度保障和部门协作。</w:t>
      </w:r>
      <w:r>
        <w:rPr>
          <w:rFonts w:hint="eastAsia" w:ascii="方正仿宋简体" w:hAnsi="方正仿宋简体" w:eastAsia="方正仿宋简体" w:cs="方正仿宋简体"/>
          <w:b/>
          <w:bCs/>
          <w:sz w:val="32"/>
          <w:szCs w:val="32"/>
        </w:rPr>
        <w:t>二是实施“青创计划”助力青年创业就业。</w:t>
      </w:r>
      <w:r>
        <w:rPr>
          <w:rFonts w:hint="eastAsia" w:ascii="方正仿宋简体" w:hAnsi="方正仿宋简体" w:eastAsia="方正仿宋简体" w:cs="方正仿宋简体"/>
          <w:sz w:val="32"/>
          <w:szCs w:val="32"/>
        </w:rPr>
        <w:t>精准实施青创基金申报评审，全年发放青创贷款20万元。用好“云创智谷”等青创孵化平台，积极推荐创业青年加入“全省农村青年电商人才培训（资阳）示范班”项目，深化青年创业培训和全过程服务。</w:t>
      </w:r>
      <w:r>
        <w:rPr>
          <w:rFonts w:hint="eastAsia" w:ascii="方正仿宋简体" w:hAnsi="方正仿宋简体" w:eastAsia="方正仿宋简体" w:cs="方正仿宋简体"/>
          <w:b/>
          <w:bCs/>
          <w:sz w:val="32"/>
          <w:szCs w:val="32"/>
        </w:rPr>
        <w:t>三是实施“青聚计划”凝聚青春力量。</w:t>
      </w:r>
      <w:r>
        <w:rPr>
          <w:rFonts w:hint="eastAsia" w:ascii="方正仿宋简体" w:hAnsi="方正仿宋简体" w:eastAsia="方正仿宋简体" w:cs="方正仿宋简体"/>
          <w:sz w:val="32"/>
          <w:szCs w:val="32"/>
        </w:rPr>
        <w:t>组织开展返乡大学生座谈会、青年之家活动季等“青字号”特色活动30余场次，服务青年2000余人次，为雁江发展凝聚了青年人才、为青年提升健康水平搭建了交流平台。</w:t>
      </w:r>
      <w:r>
        <w:rPr>
          <w:rFonts w:hint="eastAsia" w:ascii="方正仿宋简体" w:hAnsi="方正仿宋简体" w:eastAsia="方正仿宋简体" w:cs="方正仿宋简体"/>
          <w:b/>
          <w:bCs/>
          <w:sz w:val="32"/>
          <w:szCs w:val="32"/>
        </w:rPr>
        <w:t>四是聚焦重点群体维护青少年合法权益。</w:t>
      </w:r>
      <w:r>
        <w:rPr>
          <w:rFonts w:hint="eastAsia" w:ascii="方正仿宋简体" w:hAnsi="方正仿宋简体" w:eastAsia="方正仿宋简体" w:cs="方正仿宋简体"/>
          <w:sz w:val="32"/>
          <w:szCs w:val="32"/>
        </w:rPr>
        <w:t>依托雁江区青少年法治教育基地、雁江区青少年活动中心、青少年活动之家等阵地开展“青春护航”“青少年预防毒品侵害”“预防校园暴力”“安全自护教育微课堂”等活动115场，有效提升了青少年法治意识。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坚持服务中心大局，为成资同城化创新发展先行区建设凝聚青年力量。</w:t>
      </w:r>
      <w:r>
        <w:rPr>
          <w:rFonts w:hint="eastAsia" w:ascii="方正仿宋简体" w:hAnsi="方正仿宋简体" w:eastAsia="方正仿宋简体" w:cs="方正仿宋简体"/>
          <w:sz w:val="32"/>
          <w:szCs w:val="32"/>
        </w:rPr>
        <w:t>着力提升共青团服务大局的专业性、实效性，充分激发全区广大青年的奋斗热情和干劲，在奋力推动成资同城化创新发展先行区建设中施展才华、贡献力量。</w:t>
      </w:r>
      <w:r>
        <w:rPr>
          <w:rFonts w:hint="eastAsia" w:ascii="方正仿宋简体" w:hAnsi="方正仿宋简体" w:eastAsia="方正仿宋简体" w:cs="方正仿宋简体"/>
          <w:b/>
          <w:bCs/>
          <w:sz w:val="32"/>
          <w:szCs w:val="32"/>
        </w:rPr>
        <w:t>一是深度融入社会治理。</w:t>
      </w:r>
      <w:r>
        <w:rPr>
          <w:rFonts w:hint="eastAsia" w:ascii="方正仿宋简体" w:hAnsi="方正仿宋简体" w:eastAsia="方正仿宋简体" w:cs="方正仿宋简体"/>
          <w:sz w:val="32"/>
          <w:szCs w:val="32"/>
        </w:rPr>
        <w:t>招募培训青年志愿者成功服务第二届世界川菜大会；广泛深入开展</w:t>
      </w:r>
      <w:r>
        <w:rPr>
          <w:rFonts w:hint="eastAsia" w:ascii="方正仿宋简体" w:hAnsi="方正仿宋简体" w:eastAsia="方正仿宋简体" w:cs="方正仿宋简体"/>
          <w:sz w:val="32"/>
          <w:szCs w:val="32"/>
        </w:rPr>
        <w:fldChar w:fldCharType="begin"/>
      </w:r>
      <w:r>
        <w:rPr>
          <w:rFonts w:hint="eastAsia" w:ascii="方正仿宋简体" w:hAnsi="方正仿宋简体" w:eastAsia="方正仿宋简体" w:cs="方正仿宋简体"/>
          <w:sz w:val="32"/>
          <w:szCs w:val="32"/>
        </w:rPr>
        <w:instrText xml:space="preserve">HYPERLINK "http://www.zyyouth.com/details.aspx?id=10716"</w:instrText>
      </w:r>
      <w:r>
        <w:rPr>
          <w:rFonts w:hint="eastAsia" w:ascii="方正仿宋简体" w:hAnsi="方正仿宋简体" w:eastAsia="方正仿宋简体" w:cs="方正仿宋简体"/>
          <w:sz w:val="32"/>
          <w:szCs w:val="32"/>
        </w:rPr>
        <w:fldChar w:fldCharType="separate"/>
      </w:r>
      <w:r>
        <w:rPr>
          <w:rFonts w:hint="eastAsia" w:ascii="方正仿宋简体" w:hAnsi="方正仿宋简体" w:eastAsia="方正仿宋简体" w:cs="方正仿宋简体"/>
          <w:sz w:val="32"/>
          <w:szCs w:val="32"/>
        </w:rPr>
        <w:t>“爱在社区”“爱在旅途”“靓在乡村”三大青年志愿服务品牌行动40余场，</w:t>
      </w:r>
      <w:r>
        <w:rPr>
          <w:rFonts w:hint="eastAsia" w:ascii="方正仿宋简体" w:hAnsi="方正仿宋简体" w:eastAsia="方正仿宋简体" w:cs="方正仿宋简体"/>
          <w:sz w:val="32"/>
          <w:szCs w:val="32"/>
        </w:rPr>
        <w:fldChar w:fldCharType="end"/>
      </w:r>
      <w:r>
        <w:rPr>
          <w:rFonts w:hint="eastAsia" w:ascii="方正仿宋简体" w:hAnsi="方正仿宋简体" w:eastAsia="方正仿宋简体" w:cs="方正仿宋简体"/>
          <w:sz w:val="32"/>
          <w:szCs w:val="32"/>
        </w:rPr>
        <w:t>累计参与人数3000余人。在农村领域，把组织青年投身乡村振兴和美丽乡村建设作为围绕中心服务大局的重点积极推进，打造“童伴之家”10个，规范运行留守儿童之家296个。在城市社区，重点抓好青年之家等11个社区青少年活动阵地建设，通过政府购买服务，在5个社区常态化开设“五点钟课堂”，打响了雁江特色的关爱品牌。</w:t>
      </w:r>
      <w:r>
        <w:rPr>
          <w:rFonts w:hint="eastAsia" w:ascii="方正仿宋简体" w:hAnsi="方正仿宋简体" w:eastAsia="方正仿宋简体" w:cs="方正仿宋简体"/>
          <w:b/>
          <w:bCs/>
          <w:sz w:val="32"/>
          <w:szCs w:val="32"/>
        </w:rPr>
        <w:t>二是积极投身乡村振兴。</w:t>
      </w:r>
      <w:r>
        <w:rPr>
          <w:rFonts w:hint="eastAsia" w:ascii="方正仿宋简体" w:hAnsi="方正仿宋简体" w:eastAsia="方正仿宋简体" w:cs="方正仿宋简体"/>
          <w:sz w:val="32"/>
          <w:szCs w:val="32"/>
        </w:rPr>
        <w:t>整合青联委员、团干部、农村青年致富带头人等多方力量，深入开展青春扶贫行动，创新扶贫超市帮扶模式，开展“送技术、送培训、送文化”和“以购代扶”活动，积极推动“靓在乡村”志愿服务，助力贫困村奔向四好村。深化大中专学生“暑期三下乡”活动，组织大学生实践团队10余支深入农村开展惠农政策宣传、普法宣传，提升广大农民法律意识和政策水平。</w:t>
      </w:r>
      <w:r>
        <w:rPr>
          <w:rFonts w:hint="eastAsia" w:ascii="方正仿宋简体" w:hAnsi="方正仿宋简体" w:eastAsia="方正仿宋简体" w:cs="方正仿宋简体"/>
          <w:b/>
          <w:bCs/>
          <w:sz w:val="32"/>
          <w:szCs w:val="32"/>
        </w:rPr>
        <w:t>三是积极助力脱贫攻坚决战决胜。</w:t>
      </w:r>
      <w:r>
        <w:rPr>
          <w:rFonts w:hint="eastAsia" w:ascii="方正仿宋简体" w:hAnsi="方正仿宋简体" w:eastAsia="方正仿宋简体" w:cs="方正仿宋简体"/>
          <w:bCs/>
          <w:sz w:val="32"/>
          <w:szCs w:val="32"/>
        </w:rPr>
        <w:t>持续关爱特殊青少年群体，</w:t>
      </w:r>
      <w:r>
        <w:rPr>
          <w:rFonts w:hint="eastAsia" w:ascii="方正仿宋简体" w:hAnsi="方正仿宋简体" w:eastAsia="方正仿宋简体" w:cs="方正仿宋简体"/>
          <w:sz w:val="32"/>
          <w:szCs w:val="32"/>
        </w:rPr>
        <w:t>开展好“暖冬关爱、梦圆大学、慈微善助”三大行动，为困境青少年排忧解难。持续扩大项目对留守儿童的精准覆盖和关爱，实施“童伴计划”10个。依托行业青年志愿者队伍和暑期高校志愿服务队，联系协调镇村提供“支医”“支农”“支教”等志愿服务，让志愿者精神传递到基层，为脱贫攻坚添砖加瓦、贡献力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sz w:val="32"/>
          <w:szCs w:val="32"/>
        </w:rPr>
        <w:t>坚持推进改革攻坚新征程，全区共青团自身建设不断加强。</w:t>
      </w:r>
      <w:r>
        <w:rPr>
          <w:rFonts w:hint="eastAsia" w:ascii="方正仿宋简体" w:hAnsi="方正仿宋简体" w:eastAsia="方正仿宋简体" w:cs="方正仿宋简体"/>
          <w:sz w:val="32"/>
          <w:szCs w:val="32"/>
        </w:rPr>
        <w:t>不折不扣贯彻“从严治团”和“深化改革攻坚”的各项要求，坚持刀刃向内，突出问题导向，增添改革新动力，聚力改革再出发。</w:t>
      </w:r>
      <w:r>
        <w:rPr>
          <w:rFonts w:hint="eastAsia" w:ascii="方正仿宋简体" w:hAnsi="方正仿宋简体" w:eastAsia="方正仿宋简体" w:cs="方正仿宋简体"/>
          <w:b/>
          <w:bCs/>
          <w:sz w:val="32"/>
          <w:szCs w:val="32"/>
        </w:rPr>
        <w:t>一是提升组织覆盖力为前提，推动基层团组织和团工作有效覆盖。</w:t>
      </w:r>
      <w:r>
        <w:rPr>
          <w:rFonts w:hint="eastAsia" w:ascii="方正仿宋简体" w:hAnsi="方正仿宋简体" w:eastAsia="方正仿宋简体" w:cs="方正仿宋简体"/>
          <w:sz w:val="32"/>
          <w:szCs w:val="32"/>
        </w:rPr>
        <w:t>依托“智慧团建”系统，对基层团组织、团员和团干情况进行清理整顿，补齐、调整团干部174人，撤销或合并团支部3个，逐步实现基层组织规范管理、组织动员便捷高效。以整治软弱涣散基层团组织“命脉工程”为统揽，建团活团同步推进，全面完成897个团支部整顿，督促各乡镇团委于2019年11月底前全面完成换届。扎实推进“两新组织”建团“三个百分百”行动，四川金辉药业、上海红星美凯龙资阳分公司相继成立团支部，逐步实现团组织有效覆盖。</w:t>
      </w:r>
      <w:r>
        <w:rPr>
          <w:rFonts w:hint="eastAsia" w:ascii="方正仿宋简体" w:hAnsi="方正仿宋简体" w:eastAsia="方正仿宋简体" w:cs="方正仿宋简体"/>
          <w:b/>
          <w:bCs/>
          <w:sz w:val="32"/>
          <w:szCs w:val="32"/>
        </w:rPr>
        <w:t>二是以提升组织凝聚力为基础，增强团员青年先进性和身份认同。</w:t>
      </w:r>
      <w:r>
        <w:rPr>
          <w:rFonts w:hint="eastAsia" w:ascii="方正仿宋简体" w:hAnsi="方正仿宋简体" w:eastAsia="方正仿宋简体" w:cs="方正仿宋简体"/>
          <w:sz w:val="32"/>
          <w:szCs w:val="32"/>
        </w:rPr>
        <w:t>严格入团政治标准，严格执行发展团员编号制度，科学调控团青比例，建好用好中学团校等阵地，抓好团前教育和推优入团。加强团员意识教育和仪式教育，以“智慧团建”网上共青团系统积极推进团组织关系接转工作。</w:t>
      </w:r>
      <w:r>
        <w:rPr>
          <w:rFonts w:hint="eastAsia" w:ascii="方正仿宋简体" w:hAnsi="方正仿宋简体" w:eastAsia="方正仿宋简体" w:cs="方正仿宋简体"/>
          <w:b/>
          <w:bCs/>
          <w:sz w:val="32"/>
          <w:szCs w:val="32"/>
        </w:rPr>
        <w:t>三是以制度和政策供给为保证，将基层团组织建成坚强战斗堡垒，</w:t>
      </w:r>
      <w:r>
        <w:rPr>
          <w:rFonts w:hint="eastAsia" w:ascii="方正仿宋简体" w:hAnsi="方正仿宋简体" w:eastAsia="方正仿宋简体" w:cs="方正仿宋简体"/>
          <w:sz w:val="32"/>
          <w:szCs w:val="32"/>
        </w:rPr>
        <w:t>坚持党建带团建，教育引导团员团干部切实增强“四个意识”、坚决做到“两个维护”，严格落实“三会两制一课”、双述双评、推优入团、推优入党，规范和改进入团仪式、团费收缴、团内统计等工作。</w:t>
      </w:r>
    </w:p>
    <w:p>
      <w:pPr>
        <w:adjustRightInd w:val="0"/>
        <w:snapToGrid w:val="0"/>
        <w:spacing w:line="610" w:lineRule="exact"/>
        <w:ind w:firstLine="643" w:firstLineChars="200"/>
        <w:rPr>
          <w:rStyle w:val="26"/>
          <w:rFonts w:ascii="方正黑体简体" w:hAnsi="黑体" w:eastAsia="方正黑体简体"/>
        </w:rPr>
      </w:pPr>
      <w:r>
        <w:rPr>
          <w:rStyle w:val="26"/>
          <w:rFonts w:hint="eastAsia" w:ascii="方正黑体简体" w:hAnsi="黑体" w:eastAsia="方正黑体简体"/>
        </w:rPr>
        <w:t>二、机构设置</w:t>
      </w:r>
      <w:bookmarkEnd w:id="22"/>
      <w:bookmarkEnd w:id="23"/>
    </w:p>
    <w:p>
      <w:pPr>
        <w:adjustRightInd w:val="0"/>
        <w:snapToGrid w:val="0"/>
        <w:spacing w:line="610" w:lineRule="exact"/>
        <w:ind w:firstLine="640" w:firstLineChars="200"/>
        <w:rPr>
          <w:rFonts w:hint="eastAsia" w:ascii="方正仿宋简体" w:hAnsi="仿宋" w:eastAsia="方正仿宋简体"/>
          <w:sz w:val="32"/>
          <w:szCs w:val="32"/>
        </w:rPr>
      </w:pPr>
      <w:r>
        <w:rPr>
          <w:rFonts w:hint="eastAsia" w:ascii="方正仿宋简体" w:hAnsi="仿宋" w:eastAsia="方正仿宋简体"/>
          <w:sz w:val="32"/>
          <w:szCs w:val="32"/>
        </w:rPr>
        <w:t>团区委具有法人资格的一级预算单位。</w:t>
      </w:r>
      <w:bookmarkStart w:id="24" w:name="_Toc15377204"/>
      <w:bookmarkStart w:id="25" w:name="_Toc17103552"/>
    </w:p>
    <w:p>
      <w:pPr>
        <w:adjustRightInd w:val="0"/>
        <w:snapToGrid w:val="0"/>
        <w:spacing w:line="610" w:lineRule="exact"/>
        <w:ind w:firstLine="640" w:firstLineChars="200"/>
        <w:rPr>
          <w:rFonts w:hint="eastAsia" w:ascii="方正仿宋简体" w:hAnsi="仿宋" w:eastAsia="方正仿宋简体"/>
          <w:sz w:val="32"/>
          <w:szCs w:val="32"/>
        </w:rPr>
      </w:pPr>
    </w:p>
    <w:p>
      <w:pPr>
        <w:adjustRightInd w:val="0"/>
        <w:snapToGrid w:val="0"/>
        <w:spacing w:line="610" w:lineRule="exact"/>
        <w:ind w:firstLine="883" w:firstLineChars="200"/>
        <w:rPr>
          <w:rStyle w:val="25"/>
          <w:rFonts w:ascii="黑体" w:hAnsi="黑体" w:eastAsia="黑体"/>
        </w:rPr>
      </w:pPr>
      <w:r>
        <w:rPr>
          <w:rStyle w:val="25"/>
          <w:rFonts w:hint="eastAsia" w:ascii="黑体" w:hAnsi="黑体"/>
        </w:rPr>
        <w:t xml:space="preserve">第二部分 </w:t>
      </w:r>
      <w:r>
        <w:rPr>
          <w:rStyle w:val="25"/>
          <w:rFonts w:hint="eastAsia" w:ascii="黑体" w:hAnsi="黑体" w:eastAsia="黑体"/>
        </w:rPr>
        <w:t>2019年度部门决算情况说明</w:t>
      </w:r>
      <w:bookmarkEnd w:id="24"/>
      <w:bookmarkEnd w:id="25"/>
    </w:p>
    <w:p>
      <w:pPr>
        <w:widowControl/>
        <w:jc w:val="left"/>
        <w:rPr>
          <w:rStyle w:val="25"/>
          <w:rFonts w:ascii="黑体" w:hAnsi="黑体" w:eastAsia="黑体"/>
          <w:color w:val="FF0000"/>
        </w:rPr>
      </w:pPr>
    </w:p>
    <w:p>
      <w:pPr>
        <w:pStyle w:val="24"/>
        <w:numPr>
          <w:ilvl w:val="0"/>
          <w:numId w:val="1"/>
        </w:numPr>
        <w:spacing w:line="600" w:lineRule="exact"/>
        <w:ind w:firstLineChars="0"/>
        <w:outlineLvl w:val="1"/>
        <w:rPr>
          <w:rStyle w:val="26"/>
          <w:rFonts w:ascii="黑体" w:hAnsi="黑体" w:eastAsia="黑体"/>
          <w:b w:val="0"/>
        </w:rPr>
      </w:pPr>
      <w:bookmarkStart w:id="26" w:name="_Toc15377205"/>
      <w:bookmarkStart w:id="27" w:name="_Toc17103553"/>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6"/>
      <w:bookmarkEnd w:id="27"/>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2019年度收、支总计215.69万元，与2018年相比，收、支总计各减少6.2万元，减少3%，主要变动原因是项目资金未拨付造成的。</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bookmarkStart w:id="28" w:name="_Toc17103554"/>
      <w:bookmarkStart w:id="29" w:name="_Toc15377206"/>
    </w:p>
    <w:p>
      <w:pPr>
        <w:spacing w:line="500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drawing>
          <wp:inline distT="0" distB="0" distL="0" distR="0">
            <wp:extent cx="2638425" cy="2228850"/>
            <wp:effectExtent l="19050" t="0" r="9525" b="0"/>
            <wp:docPr id="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3" w:firstLineChars="200"/>
        <w:rPr>
          <w:rStyle w:val="26"/>
          <w:rFonts w:ascii="仿宋" w:hAnsi="仿宋" w:eastAsia="仿宋" w:cs="Times New Roman"/>
          <w:b w:val="0"/>
          <w:bCs w:val="0"/>
          <w:color w:val="000000" w:themeColor="text1"/>
        </w:rPr>
      </w:pPr>
      <w:r>
        <w:rPr>
          <w:rStyle w:val="26"/>
          <w:rFonts w:hint="eastAsia" w:ascii="黑体" w:hAnsi="黑体" w:eastAsia="黑体"/>
        </w:rPr>
        <w:t>二、收</w:t>
      </w:r>
      <w:r>
        <w:rPr>
          <w:rStyle w:val="26"/>
          <w:rFonts w:hint="eastAsia" w:ascii="黑体" w:hAnsi="黑体" w:eastAsia="黑体"/>
          <w:b w:val="0"/>
        </w:rPr>
        <w:t>入决算情况说明</w:t>
      </w:r>
      <w:bookmarkEnd w:id="28"/>
      <w:bookmarkEnd w:id="29"/>
    </w:p>
    <w:p>
      <w:pPr>
        <w:spacing w:line="600" w:lineRule="exact"/>
        <w:ind w:firstLine="640" w:firstLineChars="200"/>
        <w:outlineLvl w:val="1"/>
        <w:rPr>
          <w:rFonts w:ascii="仿宋" w:hAnsi="仿宋" w:eastAsia="仿宋"/>
          <w:color w:val="000000"/>
          <w:sz w:val="32"/>
          <w:szCs w:val="32"/>
        </w:rPr>
      </w:pPr>
      <w:bookmarkStart w:id="30" w:name="_Toc17103555"/>
      <w:r>
        <w:rPr>
          <w:rFonts w:ascii="仿宋" w:hAnsi="仿宋" w:eastAsia="仿宋"/>
          <w:color w:val="000000"/>
          <w:sz w:val="32"/>
          <w:szCs w:val="32"/>
        </w:rPr>
        <w:t>2019</w:t>
      </w:r>
      <w:r>
        <w:rPr>
          <w:rFonts w:hint="eastAsia" w:ascii="仿宋" w:hAnsi="仿宋" w:eastAsia="仿宋"/>
          <w:color w:val="000000"/>
          <w:sz w:val="32"/>
          <w:szCs w:val="32"/>
        </w:rPr>
        <w:t>年本年收入合计126.14万元，其中：一般公共预算财政拨款收入126.14万元，占100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bookmarkEnd w:id="30"/>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bookmarkStart w:id="31" w:name="_Toc17103556"/>
      <w:bookmarkStart w:id="32" w:name="_Toc15377207"/>
    </w:p>
    <w:p>
      <w:pPr>
        <w:spacing w:line="300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drawing>
          <wp:inline distT="0" distB="0" distL="0" distR="0">
            <wp:extent cx="1971675" cy="1257300"/>
            <wp:effectExtent l="19050" t="0" r="9525" b="0"/>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3" w:firstLineChars="200"/>
        <w:rPr>
          <w:rStyle w:val="26"/>
          <w:rFonts w:ascii="黑体" w:hAnsi="黑体" w:eastAsia="黑体"/>
          <w:b w:val="0"/>
        </w:rPr>
      </w:pPr>
      <w:r>
        <w:rPr>
          <w:rStyle w:val="26"/>
          <w:rFonts w:hint="eastAsia" w:ascii="黑体" w:hAnsi="黑体" w:eastAsia="黑体"/>
        </w:rPr>
        <w:t>三、支</w:t>
      </w:r>
      <w:r>
        <w:rPr>
          <w:rStyle w:val="26"/>
          <w:rFonts w:hint="eastAsia" w:ascii="黑体" w:hAnsi="黑体" w:eastAsia="黑体"/>
          <w:b w:val="0"/>
        </w:rPr>
        <w:t>出决算情况说明</w:t>
      </w:r>
      <w:bookmarkEnd w:id="31"/>
      <w:bookmarkEnd w:id="32"/>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2019</w:t>
      </w:r>
      <w:r>
        <w:rPr>
          <w:rFonts w:hint="eastAsia" w:ascii="仿宋" w:hAnsi="仿宋" w:eastAsia="仿宋"/>
          <w:color w:val="000000"/>
          <w:sz w:val="32"/>
          <w:szCs w:val="32"/>
        </w:rPr>
        <w:t>年本年支出合计105.01万元，其中：基本支出41.86万元，占40</w:t>
      </w:r>
      <w:r>
        <w:rPr>
          <w:rFonts w:ascii="仿宋" w:hAnsi="仿宋" w:eastAsia="仿宋"/>
          <w:color w:val="000000"/>
          <w:sz w:val="32"/>
          <w:szCs w:val="32"/>
        </w:rPr>
        <w:t>%</w:t>
      </w:r>
      <w:r>
        <w:rPr>
          <w:rFonts w:hint="eastAsia" w:ascii="仿宋" w:hAnsi="仿宋" w:eastAsia="仿宋"/>
          <w:color w:val="000000"/>
          <w:sz w:val="32"/>
          <w:szCs w:val="32"/>
        </w:rPr>
        <w:t>；项目支出63.15万元，占60</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spacing w:line="300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drawing>
          <wp:inline distT="0" distB="0" distL="0" distR="0">
            <wp:extent cx="1971675" cy="1171575"/>
            <wp:effectExtent l="19050" t="0" r="9525"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6"/>
          <w:rFonts w:ascii="黑体" w:hAnsi="黑体" w:eastAsia="黑体"/>
          <w:b w:val="0"/>
        </w:rPr>
      </w:pPr>
      <w:bookmarkStart w:id="33" w:name="_Toc15377208"/>
      <w:bookmarkStart w:id="34" w:name="_Toc17103557"/>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3"/>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年财政拨款收、支总计215.69万元，与</w:t>
      </w:r>
      <w:r>
        <w:rPr>
          <w:rFonts w:ascii="仿宋" w:hAnsi="仿宋" w:eastAsia="仿宋"/>
          <w:color w:val="000000"/>
          <w:sz w:val="32"/>
          <w:szCs w:val="32"/>
        </w:rPr>
        <w:t>2018</w:t>
      </w:r>
      <w:r>
        <w:rPr>
          <w:rFonts w:hint="eastAsia" w:ascii="仿宋" w:hAnsi="仿宋" w:eastAsia="仿宋"/>
          <w:color w:val="000000"/>
          <w:sz w:val="32"/>
          <w:szCs w:val="32"/>
        </w:rPr>
        <w:t>年相比，财政拨款收、支总计各减少6.2万元，减少3%，主要变动原因是项目资金未拨付造成的。</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640"/>
        <w:rPr>
          <w:rFonts w:ascii="仿宋" w:hAnsi="仿宋" w:eastAsia="仿宋"/>
          <w:b/>
          <w:color w:val="000000" w:themeColor="text1"/>
          <w:sz w:val="32"/>
          <w:szCs w:val="32"/>
        </w:rPr>
      </w:pPr>
      <w:r>
        <w:rPr>
          <w:rFonts w:hint="eastAsia" w:ascii="仿宋" w:hAnsi="仿宋" w:eastAsia="仿宋"/>
          <w:b/>
          <w:color w:val="000000" w:themeColor="text1"/>
          <w:sz w:val="32"/>
          <w:szCs w:val="32"/>
        </w:rPr>
        <w:t>（除国有资本经营预算外，数据来源于财决</w:t>
      </w:r>
      <w:r>
        <w:rPr>
          <w:rFonts w:ascii="仿宋" w:hAnsi="仿宋" w:eastAsia="仿宋"/>
          <w:b/>
          <w:color w:val="000000" w:themeColor="text1"/>
          <w:sz w:val="32"/>
          <w:szCs w:val="32"/>
        </w:rPr>
        <w:t>Z01-1</w:t>
      </w:r>
      <w:r>
        <w:rPr>
          <w:rFonts w:hint="eastAsia" w:ascii="仿宋" w:hAnsi="仿宋" w:eastAsia="仿宋"/>
          <w:b/>
          <w:color w:val="000000" w:themeColor="text1"/>
          <w:sz w:val="32"/>
          <w:szCs w:val="32"/>
        </w:rPr>
        <w:t>表，口径为“总计”数+国有资本经营预算。）</w:t>
      </w:r>
    </w:p>
    <w:p>
      <w:pPr>
        <w:spacing w:line="5000" w:lineRule="exact"/>
        <w:ind w:firstLine="641"/>
        <w:rPr>
          <w:rFonts w:ascii="仿宋" w:hAnsi="仿宋" w:eastAsia="仿宋"/>
          <w:b/>
          <w:color w:val="000000" w:themeColor="text1"/>
          <w:sz w:val="32"/>
          <w:szCs w:val="32"/>
        </w:rPr>
      </w:pPr>
      <w:r>
        <w:rPr>
          <w:rFonts w:ascii="仿宋" w:hAnsi="仿宋" w:eastAsia="仿宋"/>
          <w:b/>
          <w:color w:val="000000" w:themeColor="text1"/>
          <w:sz w:val="32"/>
          <w:szCs w:val="32"/>
        </w:rPr>
        <w:drawing>
          <wp:inline distT="0" distB="0" distL="0" distR="0">
            <wp:extent cx="2638425" cy="2228850"/>
            <wp:effectExtent l="19050" t="0" r="9525" b="0"/>
            <wp:docPr id="5"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6"/>
          <w:rFonts w:ascii="黑体" w:hAnsi="黑体" w:eastAsia="黑体"/>
          <w:b w:val="0"/>
        </w:rPr>
      </w:pPr>
      <w:bookmarkStart w:id="35" w:name="_Toc15377209"/>
      <w:bookmarkStart w:id="36" w:name="_Toc17103558"/>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5"/>
      <w:bookmarkEnd w:id="36"/>
    </w:p>
    <w:p>
      <w:pPr>
        <w:spacing w:line="600" w:lineRule="exact"/>
        <w:ind w:firstLine="643" w:firstLineChars="200"/>
        <w:outlineLvl w:val="2"/>
        <w:rPr>
          <w:rFonts w:ascii="仿宋" w:hAnsi="仿宋" w:eastAsia="仿宋"/>
          <w:b/>
          <w:color w:val="000000"/>
          <w:sz w:val="32"/>
          <w:szCs w:val="32"/>
        </w:rPr>
      </w:pPr>
      <w:bookmarkStart w:id="37" w:name="_Toc15377210"/>
      <w:r>
        <w:rPr>
          <w:rFonts w:hint="eastAsia" w:ascii="仿宋" w:hAnsi="仿宋" w:eastAsia="仿宋"/>
          <w:b/>
          <w:color w:val="000000"/>
          <w:sz w:val="32"/>
          <w:szCs w:val="32"/>
        </w:rPr>
        <w:t>（一）一般公共预算财政拨款支出决算总体情况</w:t>
      </w:r>
      <w:bookmarkEnd w:id="37"/>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年一般公共预算财政拨款支出105.01万元，占本年支出合计的100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2018</w:t>
      </w:r>
      <w:r>
        <w:rPr>
          <w:rFonts w:hint="eastAsia" w:ascii="仿宋" w:hAnsi="仿宋" w:eastAsia="仿宋"/>
          <w:color w:val="000000"/>
          <w:sz w:val="32"/>
          <w:szCs w:val="32"/>
        </w:rPr>
        <w:t>年相比，一般公共预算财政拨款减少11.67万元，减少10</w:t>
      </w:r>
      <w:r>
        <w:rPr>
          <w:rFonts w:ascii="仿宋" w:hAnsi="仿宋" w:eastAsia="仿宋"/>
          <w:color w:val="000000"/>
          <w:sz w:val="32"/>
          <w:szCs w:val="32"/>
        </w:rPr>
        <w:t>%</w:t>
      </w:r>
      <w:r>
        <w:rPr>
          <w:rFonts w:hint="eastAsia" w:ascii="仿宋" w:hAnsi="仿宋" w:eastAsia="仿宋"/>
          <w:color w:val="000000"/>
          <w:sz w:val="32"/>
          <w:szCs w:val="32"/>
        </w:rPr>
        <w:t>。主要变动原因是项目资金未拨付造成的。</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500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drawing>
          <wp:inline distT="0" distB="0" distL="0" distR="0">
            <wp:extent cx="2019300" cy="1990725"/>
            <wp:effectExtent l="19050" t="0" r="19050" b="0"/>
            <wp:docPr id="14"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color w:val="000000"/>
          <w:sz w:val="32"/>
          <w:szCs w:val="32"/>
        </w:rPr>
      </w:pPr>
      <w:bookmarkStart w:id="38" w:name="_Toc15377211"/>
      <w:r>
        <w:rPr>
          <w:rFonts w:hint="eastAsia" w:ascii="仿宋" w:hAnsi="仿宋" w:eastAsia="仿宋"/>
          <w:b/>
          <w:color w:val="000000"/>
          <w:sz w:val="32"/>
          <w:szCs w:val="32"/>
        </w:rPr>
        <w:t>（二）一般公共预算财政拨款支出决算结构情况</w:t>
      </w:r>
      <w:bookmarkEnd w:id="38"/>
    </w:p>
    <w:p>
      <w:pPr>
        <w:spacing w:line="600" w:lineRule="exact"/>
        <w:ind w:firstLine="640"/>
        <w:rPr>
          <w:rFonts w:ascii="仿宋" w:hAnsi="仿宋" w:eastAsia="仿宋"/>
          <w:color w:val="000000" w:themeColor="text1"/>
          <w:sz w:val="32"/>
          <w:szCs w:val="32"/>
        </w:rPr>
      </w:pPr>
      <w:r>
        <w:rPr>
          <w:rFonts w:ascii="仿宋" w:hAnsi="仿宋" w:eastAsia="仿宋"/>
          <w:color w:val="000000"/>
          <w:sz w:val="32"/>
          <w:szCs w:val="32"/>
        </w:rPr>
        <w:t>2019</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rPr>
        <w:t>政拨款支出105.01万元，主要用于以下方面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支出98.04万元，占93</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color w:val="000000" w:themeColor="text1"/>
          <w:sz w:val="32"/>
          <w:szCs w:val="32"/>
        </w:rPr>
        <w:t>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支出3.88万元，占4</w:t>
      </w:r>
      <w:r>
        <w:rPr>
          <w:rFonts w:ascii="仿宋" w:hAnsi="仿宋" w:eastAsia="仿宋"/>
          <w:color w:val="000000" w:themeColor="text1"/>
          <w:sz w:val="32"/>
          <w:szCs w:val="32"/>
        </w:rPr>
        <w:t>%</w:t>
      </w:r>
      <w:r>
        <w:rPr>
          <w:rFonts w:hint="eastAsia" w:ascii="仿宋" w:hAnsi="仿宋" w:eastAsia="仿宋"/>
          <w:color w:val="000000" w:themeColor="text1"/>
          <w:sz w:val="32"/>
          <w:szCs w:val="32"/>
        </w:rPr>
        <w:t>；医疗卫生支出1.73万元，占2</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；住房保障支出1.37万元，占1</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（罗列全部功能分类科目，至类级。）</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4000" w:lineRule="exact"/>
        <w:ind w:firstLine="640" w:firstLineChars="200"/>
        <w:rPr>
          <w:rFonts w:ascii="仿宋" w:hAnsi="仿宋" w:eastAsia="仿宋"/>
          <w:color w:val="000000"/>
          <w:sz w:val="32"/>
          <w:szCs w:val="32"/>
        </w:rPr>
      </w:pPr>
      <w:r>
        <w:rPr>
          <w:rFonts w:ascii="仿宋" w:hAnsi="仿宋" w:eastAsia="仿宋"/>
          <w:color w:val="000000"/>
          <w:sz w:val="32"/>
          <w:szCs w:val="32"/>
        </w:rPr>
        <w:drawing>
          <wp:inline distT="0" distB="0" distL="0" distR="0">
            <wp:extent cx="2019300" cy="2038350"/>
            <wp:effectExtent l="19050" t="0" r="19050" b="0"/>
            <wp:docPr id="1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color w:val="000000"/>
          <w:sz w:val="32"/>
          <w:szCs w:val="32"/>
        </w:rPr>
      </w:pPr>
      <w:bookmarkStart w:id="39" w:name="_Toc15377212"/>
      <w:r>
        <w:rPr>
          <w:rFonts w:hint="eastAsia" w:ascii="仿宋" w:hAnsi="仿宋" w:eastAsia="仿宋"/>
          <w:b/>
          <w:color w:val="000000"/>
          <w:sz w:val="32"/>
          <w:szCs w:val="32"/>
        </w:rPr>
        <w:t>（三）一般公共预算财政拨款支出决算具体情况</w:t>
      </w:r>
      <w:bookmarkEnd w:id="39"/>
    </w:p>
    <w:p>
      <w:pPr>
        <w:spacing w:line="600" w:lineRule="exact"/>
        <w:ind w:firstLine="643" w:firstLineChars="200"/>
        <w:outlineLvl w:val="2"/>
        <w:rPr>
          <w:rFonts w:ascii="仿宋" w:hAnsi="仿宋" w:eastAsia="仿宋"/>
          <w:color w:val="FF0000"/>
          <w:sz w:val="32"/>
          <w:szCs w:val="32"/>
        </w:rPr>
      </w:pPr>
      <w:bookmarkStart w:id="40" w:name="_Toc15377213"/>
      <w:bookmarkStart w:id="41" w:name="_Toc15377444"/>
      <w:bookmarkStart w:id="42" w:name="_Toc15378460"/>
      <w:r>
        <w:rPr>
          <w:rFonts w:hint="eastAsia" w:ascii="仿宋" w:hAnsi="仿宋" w:eastAsia="仿宋"/>
          <w:b/>
          <w:color w:val="000000" w:themeColor="text1"/>
          <w:sz w:val="32"/>
          <w:szCs w:val="32"/>
        </w:rPr>
        <w:t>2019年一般公共预算支出决算数为105.01万元</w:t>
      </w:r>
      <w:r>
        <w:rPr>
          <w:rFonts w:hint="eastAsia" w:ascii="仿宋" w:hAnsi="仿宋" w:eastAsia="仿宋"/>
          <w:color w:val="000000" w:themeColor="text1"/>
          <w:sz w:val="32"/>
          <w:szCs w:val="32"/>
        </w:rPr>
        <w:t>，</w:t>
      </w:r>
      <w:r>
        <w:rPr>
          <w:rStyle w:val="15"/>
          <w:rFonts w:hint="eastAsia" w:ascii="仿宋" w:hAnsi="仿宋" w:eastAsia="仿宋"/>
          <w:bCs/>
          <w:color w:val="000000" w:themeColor="text1"/>
          <w:sz w:val="32"/>
          <w:szCs w:val="32"/>
        </w:rPr>
        <w:t>完成</w:t>
      </w:r>
      <w:r>
        <w:rPr>
          <w:rStyle w:val="15"/>
          <w:rFonts w:hint="eastAsia" w:ascii="仿宋" w:hAnsi="仿宋" w:eastAsia="仿宋"/>
          <w:bCs/>
          <w:color w:val="000000"/>
          <w:sz w:val="32"/>
          <w:szCs w:val="32"/>
        </w:rPr>
        <w:t>预算83</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40"/>
      <w:bookmarkEnd w:id="41"/>
      <w:bookmarkEnd w:id="42"/>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1.</w:t>
      </w:r>
      <w:r>
        <w:rPr>
          <w:rStyle w:val="15"/>
          <w:rFonts w:hint="eastAsia" w:ascii="仿宋" w:hAnsi="仿宋" w:eastAsia="仿宋"/>
          <w:bCs/>
          <w:color w:val="000000"/>
          <w:sz w:val="32"/>
          <w:szCs w:val="32"/>
        </w:rPr>
        <w:t>一般公共服务</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其中2012901群众团体事务行政运行支出决算为34.89万元，完成预算100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2012902群众团体事务一般行政管理事务54.15万元，完成预算73%。这类支出为项目支出，主要用于留守学生之家建设及运行经费、惠民帮扶中心青少年事务窗口和青少年服务平台经费、团委相关专项工作经费等。未完成部分为留守学生之家建设及运行工作未完成等造成的。2012999其他群众团体事务支出9万元，完成预算100%。决算数等于预算数。</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2.</w:t>
      </w:r>
      <w:r>
        <w:rPr>
          <w:rStyle w:val="15"/>
          <w:rFonts w:hint="eastAsia" w:ascii="仿宋" w:hAnsi="仿宋" w:eastAsia="仿宋"/>
          <w:bCs/>
          <w:color w:val="000000"/>
          <w:sz w:val="32"/>
          <w:szCs w:val="32"/>
        </w:rPr>
        <w:t>教育（类）</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（款）</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支出决算为0万元，完成预算0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3.</w:t>
      </w:r>
      <w:r>
        <w:rPr>
          <w:rStyle w:val="15"/>
          <w:rFonts w:hint="eastAsia" w:ascii="仿宋" w:hAnsi="仿宋" w:eastAsia="仿宋"/>
          <w:bCs/>
          <w:color w:val="000000"/>
          <w:sz w:val="32"/>
          <w:szCs w:val="32"/>
        </w:rPr>
        <w:t>科学技术（类）</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（款）</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支出决算为0万元，完成预算0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4.</w:t>
      </w:r>
      <w:r>
        <w:rPr>
          <w:rStyle w:val="15"/>
          <w:rFonts w:hint="eastAsia" w:ascii="仿宋" w:hAnsi="仿宋" w:eastAsia="仿宋"/>
          <w:bCs/>
          <w:color w:val="000000"/>
          <w:sz w:val="32"/>
          <w:szCs w:val="32"/>
        </w:rPr>
        <w:t>文化体育与传媒（类）</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（款）</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支出决算为0万元，完成预算0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5.</w:t>
      </w:r>
      <w:r>
        <w:rPr>
          <w:rStyle w:val="15"/>
          <w:rFonts w:hint="eastAsia" w:ascii="仿宋" w:hAnsi="仿宋" w:eastAsia="仿宋"/>
          <w:bCs/>
          <w:color w:val="000000"/>
          <w:sz w:val="32"/>
          <w:szCs w:val="32"/>
        </w:rPr>
        <w:t>社会保障和就业</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2080505机关事业单位基本养老保险缴费支出决算为3.77万元，完成预算100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，决算数等于预算数。2089901其他社会就业支出决算为0.11，完成预算100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6.</w:t>
      </w:r>
      <w:r>
        <w:rPr>
          <w:rStyle w:val="15"/>
          <w:rFonts w:hint="eastAsia" w:ascii="仿宋" w:hAnsi="仿宋" w:eastAsia="仿宋"/>
          <w:bCs/>
          <w:color w:val="000000"/>
          <w:sz w:val="32"/>
          <w:szCs w:val="32"/>
        </w:rPr>
        <w:t>医疗卫生与计划生育</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2101101行政单位医疗支出决算为1.32万元，完成预算100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，决算数等于预算数成。2101103公务员医疗补助支出决算为0.41万元，完成预算216%，主要原因是本项支出含上年未拨付公务员医疗补助经费。</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6.住房保障支出：住房公积金预算支出1.73万元，完成预算77%，决算支出小于预算，主要原因是财政未拨付经费造成。</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08</w:t>
      </w:r>
      <w:r>
        <w:rPr>
          <w:rFonts w:hint="eastAsia" w:ascii="仿宋" w:hAnsi="仿宋" w:eastAsia="仿宋"/>
          <w:b/>
          <w:color w:val="000000"/>
          <w:sz w:val="32"/>
          <w:szCs w:val="32"/>
        </w:rPr>
        <w:t>表，罗列全部功能分类科目至项级。上述“预算”口径为调整预算数。增减变动原因为决算数</w:t>
      </w:r>
      <w:r>
        <w:rPr>
          <w:rFonts w:hint="eastAsia" w:ascii="仿宋" w:hAnsi="仿宋" w:eastAsia="仿宋"/>
          <w:b/>
          <w:color w:val="000000"/>
          <w:sz w:val="32"/>
          <w:szCs w:val="32"/>
          <w:lang w:eastAsia="zh-CN"/>
        </w:rPr>
        <w:t>〈</w:t>
      </w:r>
      <w:r>
        <w:rPr>
          <w:rFonts w:hint="eastAsia" w:ascii="仿宋" w:hAnsi="仿宋" w:eastAsia="仿宋"/>
          <w:b/>
          <w:color w:val="000000"/>
          <w:sz w:val="32"/>
          <w:szCs w:val="32"/>
        </w:rPr>
        <w:t>项级</w:t>
      </w:r>
      <w:r>
        <w:rPr>
          <w:rFonts w:hint="eastAsia" w:ascii="仿宋" w:hAnsi="仿宋" w:eastAsia="仿宋"/>
          <w:b/>
          <w:color w:val="000000"/>
          <w:sz w:val="32"/>
          <w:szCs w:val="32"/>
          <w:lang w:eastAsia="zh-CN"/>
        </w:rPr>
        <w:t>〉</w:t>
      </w:r>
      <w:r>
        <w:rPr>
          <w:rFonts w:hint="eastAsia" w:ascii="仿宋" w:hAnsi="仿宋" w:eastAsia="仿宋"/>
          <w:b/>
          <w:color w:val="000000"/>
          <w:sz w:val="32"/>
          <w:szCs w:val="32"/>
        </w:rPr>
        <w:t>和调整预算数</w:t>
      </w:r>
      <w:r>
        <w:rPr>
          <w:rFonts w:hint="eastAsia" w:ascii="仿宋" w:hAnsi="仿宋" w:eastAsia="仿宋"/>
          <w:b/>
          <w:color w:val="000000"/>
          <w:sz w:val="32"/>
          <w:szCs w:val="32"/>
          <w:lang w:eastAsia="zh-CN"/>
        </w:rPr>
        <w:t>〈</w:t>
      </w:r>
      <w:r>
        <w:rPr>
          <w:rFonts w:hint="eastAsia" w:ascii="仿宋" w:hAnsi="仿宋" w:eastAsia="仿宋"/>
          <w:b/>
          <w:color w:val="000000"/>
          <w:sz w:val="32"/>
          <w:szCs w:val="32"/>
        </w:rPr>
        <w:t>项级</w:t>
      </w:r>
      <w:r>
        <w:rPr>
          <w:rFonts w:hint="eastAsia" w:ascii="仿宋" w:hAnsi="仿宋" w:eastAsia="仿宋"/>
          <w:b/>
          <w:color w:val="000000"/>
          <w:sz w:val="32"/>
          <w:szCs w:val="32"/>
          <w:lang w:eastAsia="zh-CN"/>
        </w:rPr>
        <w:t>〉</w:t>
      </w:r>
      <w:r>
        <w:rPr>
          <w:rFonts w:hint="eastAsia" w:ascii="仿宋" w:hAnsi="仿宋" w:eastAsia="仿宋"/>
          <w:b/>
          <w:color w:val="000000"/>
          <w:sz w:val="32"/>
          <w:szCs w:val="32"/>
        </w:rPr>
        <w:t>比较，与预算数持平可以不写原因。）</w:t>
      </w:r>
    </w:p>
    <w:p>
      <w:pPr>
        <w:tabs>
          <w:tab w:val="right" w:pos="8306"/>
        </w:tabs>
        <w:spacing w:line="600" w:lineRule="exact"/>
        <w:ind w:firstLine="640"/>
        <w:outlineLvl w:val="1"/>
        <w:rPr>
          <w:rStyle w:val="26"/>
        </w:rPr>
      </w:pPr>
      <w:bookmarkStart w:id="43" w:name="_Toc15377214"/>
      <w:bookmarkStart w:id="44" w:name="_Toc17103559"/>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3"/>
      <w:bookmarkEnd w:id="44"/>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年一般公共预算财政拨款基本支出41.86万元，其中：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35.85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公用经费6.01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color w:val="FF0000"/>
          <w:sz w:val="32"/>
          <w:szCs w:val="32"/>
        </w:rPr>
      </w:pPr>
      <w:r>
        <w:rPr>
          <w:rFonts w:hint="eastAsia" w:ascii="仿宋" w:hAnsi="仿宋" w:eastAsia="仿宋"/>
          <w:b/>
          <w:color w:val="000000" w:themeColor="text1"/>
          <w:sz w:val="32"/>
          <w:szCs w:val="32"/>
        </w:rPr>
        <w:t>（数据来源财决</w:t>
      </w:r>
      <w:r>
        <w:rPr>
          <w:rFonts w:ascii="仿宋" w:hAnsi="仿宋" w:eastAsia="仿宋"/>
          <w:b/>
          <w:color w:val="000000" w:themeColor="text1"/>
          <w:sz w:val="32"/>
          <w:szCs w:val="32"/>
        </w:rPr>
        <w:t>0</w:t>
      </w:r>
      <w:r>
        <w:rPr>
          <w:rFonts w:hint="eastAsia" w:ascii="仿宋" w:hAnsi="仿宋" w:eastAsia="仿宋"/>
          <w:b/>
          <w:color w:val="000000" w:themeColor="text1"/>
          <w:sz w:val="32"/>
          <w:szCs w:val="32"/>
        </w:rPr>
        <w:t>7表，根据本部门实际支出情况罗列全部经济分类科目。）</w:t>
      </w:r>
    </w:p>
    <w:p>
      <w:pPr>
        <w:spacing w:line="600" w:lineRule="exact"/>
        <w:ind w:firstLine="640"/>
        <w:outlineLvl w:val="1"/>
        <w:rPr>
          <w:rStyle w:val="26"/>
          <w:rFonts w:ascii="黑体" w:hAnsi="黑体" w:eastAsia="黑体"/>
          <w:b w:val="0"/>
        </w:rPr>
      </w:pPr>
      <w:bookmarkStart w:id="45" w:name="_Toc15377215"/>
      <w:bookmarkStart w:id="46" w:name="_Toc17103560"/>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5"/>
      <w:bookmarkEnd w:id="46"/>
    </w:p>
    <w:p>
      <w:pPr>
        <w:spacing w:line="600" w:lineRule="exact"/>
        <w:ind w:firstLine="640"/>
        <w:outlineLvl w:val="2"/>
        <w:rPr>
          <w:rFonts w:ascii="仿宋" w:hAnsi="仿宋" w:eastAsia="仿宋"/>
          <w:b/>
          <w:color w:val="000000"/>
          <w:sz w:val="32"/>
          <w:szCs w:val="32"/>
        </w:rPr>
      </w:pPr>
      <w:bookmarkStart w:id="47" w:name="_Toc15377216"/>
      <w:r>
        <w:rPr>
          <w:rFonts w:hint="eastAsia" w:ascii="仿宋" w:hAnsi="仿宋" w:eastAsia="仿宋"/>
          <w:b/>
          <w:color w:val="000000"/>
          <w:sz w:val="32"/>
          <w:szCs w:val="32"/>
        </w:rPr>
        <w:t>（一）“三公”经费财政拨款支出决算总体情况说明</w:t>
      </w:r>
      <w:bookmarkEnd w:id="47"/>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年“三公”经费财政拨款支出决算为0万元，完成预算0</w:t>
      </w:r>
      <w:r>
        <w:rPr>
          <w:rFonts w:ascii="仿宋" w:hAnsi="仿宋" w:eastAsia="仿宋"/>
          <w:color w:val="000000"/>
          <w:sz w:val="32"/>
          <w:szCs w:val="32"/>
        </w:rPr>
        <w:t>%</w:t>
      </w:r>
      <w:r>
        <w:rPr>
          <w:rFonts w:hint="eastAsia" w:ascii="仿宋" w:hAnsi="仿宋" w:eastAsia="仿宋"/>
          <w:color w:val="000000"/>
          <w:sz w:val="32"/>
          <w:szCs w:val="32"/>
        </w:rPr>
        <w:t>，决算数小于预算数（或与预算数持平）的主要原因是……。</w:t>
      </w:r>
    </w:p>
    <w:p>
      <w:pPr>
        <w:spacing w:line="600" w:lineRule="exact"/>
        <w:ind w:firstLine="640"/>
        <w:rPr>
          <w:rFonts w:ascii="仿宋" w:hAnsi="仿宋" w:eastAsia="仿宋"/>
          <w:b/>
          <w:color w:val="000000" w:themeColor="text1"/>
          <w:sz w:val="32"/>
          <w:szCs w:val="32"/>
        </w:rPr>
      </w:pPr>
      <w:r>
        <w:rPr>
          <w:rFonts w:hint="eastAsia" w:ascii="仿宋" w:hAnsi="仿宋" w:eastAsia="仿宋"/>
          <w:b/>
          <w:color w:val="000000"/>
          <w:sz w:val="32"/>
          <w:szCs w:val="32"/>
        </w:rPr>
        <w:t>（上述“预算”口径为调整预</w:t>
      </w:r>
      <w:r>
        <w:rPr>
          <w:rFonts w:hint="eastAsia" w:ascii="仿宋" w:hAnsi="仿宋" w:eastAsia="仿宋"/>
          <w:b/>
          <w:color w:val="000000" w:themeColor="text1"/>
          <w:sz w:val="32"/>
          <w:szCs w:val="32"/>
        </w:rPr>
        <w:t>算数，包括政府性基金支出决算情况。）</w:t>
      </w:r>
    </w:p>
    <w:p>
      <w:pPr>
        <w:spacing w:line="600" w:lineRule="exact"/>
        <w:ind w:firstLine="640"/>
        <w:outlineLvl w:val="2"/>
        <w:rPr>
          <w:rFonts w:ascii="仿宋" w:hAnsi="仿宋" w:eastAsia="仿宋"/>
          <w:b/>
          <w:color w:val="000000"/>
          <w:sz w:val="32"/>
          <w:szCs w:val="32"/>
        </w:rPr>
      </w:pPr>
      <w:bookmarkStart w:id="48" w:name="_Toc15377217"/>
      <w:r>
        <w:rPr>
          <w:rFonts w:hint="eastAsia" w:ascii="仿宋" w:hAnsi="仿宋" w:eastAsia="仿宋"/>
          <w:b/>
          <w:color w:val="000000"/>
          <w:sz w:val="32"/>
          <w:szCs w:val="32"/>
        </w:rPr>
        <w:t>（二）“三公”经费财政拨款支出决算具体情况说明</w:t>
      </w:r>
      <w:bookmarkEnd w:id="4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；公务接待费支出决算0万元，占0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5"/>
          <w:rFonts w:hint="eastAsia" w:ascii="仿宋" w:hAnsi="仿宋" w:eastAsia="仿宋"/>
          <w:b w:val="0"/>
          <w:bCs/>
          <w:color w:val="000000"/>
          <w:sz w:val="32"/>
          <w:szCs w:val="32"/>
        </w:rPr>
        <w:t>完成预算0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全年安排因公出国（境）团组0次，出国（境）0人。因公出国（境）支出决算比</w:t>
      </w:r>
      <w:r>
        <w:rPr>
          <w:rFonts w:ascii="仿宋_GB2312" w:eastAsia="仿宋_GB2312"/>
          <w:color w:val="000000"/>
          <w:sz w:val="32"/>
          <w:szCs w:val="32"/>
        </w:rPr>
        <w:t>2018</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减少0万元，增长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开支内容包括：…（团组名称、出访地点、取得成效）等。</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r>
        <w:rPr>
          <w:rStyle w:val="15"/>
          <w:rFonts w:hint="eastAsia" w:ascii="仿宋" w:hAnsi="仿宋" w:eastAsia="仿宋"/>
          <w:b w:val="0"/>
          <w:bCs/>
          <w:color w:val="000000"/>
          <w:sz w:val="32"/>
          <w:szCs w:val="32"/>
        </w:rPr>
        <w:t>完成预算0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2018</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减少0万元，增长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0万元。全年按规定更新购置公务用车0辆，其中：轿车0辆、金额0万元，越野车0辆、金额0万元，载客汽车0辆、金额0万元，主要用于…。截至</w:t>
      </w:r>
      <w:r>
        <w:rPr>
          <w:rFonts w:ascii="仿宋_GB2312" w:eastAsia="仿宋_GB2312"/>
          <w:color w:val="000000"/>
          <w:sz w:val="32"/>
          <w:szCs w:val="32"/>
        </w:rPr>
        <w:t>2019</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月底，单位共有公务用车0辆，其中：轿车0辆、越野车0辆、载客汽车0辆。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0万元。主要用于</w:t>
      </w:r>
      <w:r>
        <w:rPr>
          <w:rFonts w:ascii="仿宋_GB2312" w:eastAsia="仿宋_GB2312"/>
          <w:color w:val="000000"/>
          <w:sz w:val="32"/>
          <w:szCs w:val="32"/>
        </w:rPr>
        <w:t>…</w:t>
      </w:r>
      <w:r>
        <w:rPr>
          <w:rFonts w:hint="eastAsia" w:ascii="仿宋_GB2312" w:eastAsia="仿宋_GB2312"/>
          <w:color w:val="000000"/>
          <w:sz w:val="32"/>
          <w:szCs w:val="32"/>
        </w:rPr>
        <w:t>（具体工作）等所需的公务用车燃料费、维修费、过路过桥费、保险费等支出。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0万元，</w:t>
      </w:r>
      <w:r>
        <w:rPr>
          <w:rStyle w:val="15"/>
          <w:rFonts w:hint="eastAsia" w:ascii="仿宋" w:hAnsi="仿宋" w:eastAsia="仿宋"/>
          <w:b w:val="0"/>
          <w:bCs/>
          <w:color w:val="000000"/>
          <w:sz w:val="32"/>
          <w:szCs w:val="32"/>
        </w:rPr>
        <w:t>完成预算0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2018</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减少0万元，增长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主要用于执行公务、开展业务活动开支的交通费、住宿费、用餐费等。国内公务接待0批次，0人次（不包括陪同人员），共计支出0万元，具体内容包括：…（接待具体项目、金额）。其中：</w:t>
      </w:r>
    </w:p>
    <w:p>
      <w:pPr>
        <w:spacing w:line="600" w:lineRule="exact"/>
        <w:ind w:firstLine="643" w:firstLineChars="200"/>
        <w:rPr>
          <w:rFonts w:ascii="仿宋_GB2312" w:eastAsia="仿宋_GB2312"/>
          <w:color w:val="000000" w:themeColor="text1"/>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，外事接待0批次，0人，共计支出0万元，主要用于接待</w:t>
      </w:r>
      <w:r>
        <w:rPr>
          <w:rFonts w:ascii="仿宋_GB2312" w:eastAsia="仿宋_GB2312"/>
          <w:color w:val="000000" w:themeColor="text1"/>
          <w:sz w:val="32"/>
          <w:szCs w:val="32"/>
        </w:rPr>
        <w:t>…</w:t>
      </w:r>
      <w:r>
        <w:rPr>
          <w:rFonts w:hint="eastAsia" w:ascii="仿宋_GB2312" w:eastAsia="仿宋_GB2312"/>
          <w:color w:val="000000" w:themeColor="text1"/>
          <w:sz w:val="32"/>
          <w:szCs w:val="32"/>
        </w:rPr>
        <w:t>（具体项目）。主要用于……</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其他国内公务接待支出</w:t>
      </w:r>
      <w:r>
        <w:rPr>
          <w:rFonts w:hint="eastAsia" w:ascii="仿宋" w:hAnsi="仿宋" w:eastAsia="仿宋"/>
          <w:color w:val="000000"/>
          <w:sz w:val="32"/>
          <w:szCs w:val="32"/>
        </w:rPr>
        <w:t>0</w:t>
      </w:r>
      <w:r>
        <w:rPr>
          <w:rFonts w:hint="eastAsia" w:ascii="仿宋_GB2312" w:eastAsia="仿宋_GB2312"/>
          <w:color w:val="000000"/>
          <w:sz w:val="32"/>
          <w:szCs w:val="32"/>
        </w:rPr>
        <w:t>万元，主要用于……</w:t>
      </w:r>
      <w:bookmarkStart w:id="49" w:name="_Toc15377218"/>
    </w:p>
    <w:p>
      <w:pPr>
        <w:spacing w:line="600" w:lineRule="exact"/>
        <w:ind w:firstLine="640"/>
        <w:outlineLvl w:val="1"/>
        <w:rPr>
          <w:rStyle w:val="26"/>
          <w:rFonts w:ascii="黑体" w:hAnsi="黑体" w:eastAsia="黑体"/>
          <w:b w:val="0"/>
        </w:rPr>
      </w:pPr>
      <w:bookmarkStart w:id="50" w:name="_Toc17103561"/>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9"/>
      <w:bookmarkEnd w:id="50"/>
    </w:p>
    <w:p>
      <w:pPr>
        <w:spacing w:line="600" w:lineRule="exact"/>
        <w:ind w:firstLine="640"/>
        <w:outlineLvl w:val="1"/>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年政府性基金预算拨款支出0万元。</w:t>
      </w:r>
      <w:bookmarkStart w:id="51" w:name="_Toc17103562"/>
      <w:bookmarkStart w:id="52" w:name="_Toc15377219"/>
    </w:p>
    <w:p>
      <w:pPr>
        <w:spacing w:line="600" w:lineRule="exact"/>
        <w:ind w:firstLine="640"/>
        <w:outlineLvl w:val="1"/>
        <w:rPr>
          <w:rStyle w:val="26"/>
          <w:rFonts w:ascii="黑体" w:hAnsi="黑体" w:eastAsia="黑体"/>
          <w:b w:val="0"/>
        </w:rPr>
      </w:pPr>
      <w:r>
        <w:rPr>
          <w:rStyle w:val="26"/>
          <w:rFonts w:hint="eastAsia" w:ascii="黑体" w:hAnsi="黑体" w:eastAsia="黑体"/>
        </w:rPr>
        <w:t>九、</w:t>
      </w:r>
      <w:r>
        <w:rPr>
          <w:rStyle w:val="26"/>
          <w:rFonts w:hint="eastAsia" w:ascii="黑体" w:hAnsi="黑体" w:eastAsia="黑体"/>
          <w:b w:val="0"/>
        </w:rPr>
        <w:t>国有资本经营预算支出决算情况说明</w:t>
      </w:r>
      <w:bookmarkEnd w:id="51"/>
      <w:bookmarkEnd w:id="52"/>
    </w:p>
    <w:p>
      <w:pPr>
        <w:spacing w:line="600" w:lineRule="exact"/>
        <w:ind w:firstLine="640"/>
        <w:outlineLvl w:val="1"/>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年国有资本经营预算拨款支出</w:t>
      </w:r>
      <w:r>
        <w:rPr>
          <w:rFonts w:ascii="仿宋_GB2312" w:eastAsia="仿宋_GB2312"/>
          <w:color w:val="000000"/>
          <w:sz w:val="32"/>
          <w:szCs w:val="32"/>
        </w:rPr>
        <w:t>**</w:t>
      </w:r>
      <w:r>
        <w:rPr>
          <w:rFonts w:hint="eastAsia" w:ascii="仿宋_GB2312" w:eastAsia="仿宋_GB2312"/>
          <w:color w:val="000000"/>
          <w:sz w:val="32"/>
          <w:szCs w:val="32"/>
        </w:rPr>
        <w:t>万元。</w:t>
      </w:r>
      <w:bookmarkStart w:id="53" w:name="_Toc17103563"/>
    </w:p>
    <w:p>
      <w:pPr>
        <w:spacing w:line="600" w:lineRule="exact"/>
        <w:ind w:firstLine="640"/>
        <w:outlineLvl w:val="1"/>
        <w:rPr>
          <w:rStyle w:val="26"/>
          <w:rFonts w:ascii="黑体" w:hAnsi="黑体" w:eastAsia="黑体"/>
          <w:b w:val="0"/>
        </w:rPr>
      </w:pPr>
      <w:r>
        <w:rPr>
          <w:rStyle w:val="26"/>
          <w:rFonts w:hint="eastAsia" w:ascii="黑体" w:hAnsi="黑体" w:eastAsia="黑体"/>
        </w:rPr>
        <w:t>十、预算绩效</w:t>
      </w:r>
      <w:r>
        <w:rPr>
          <w:rStyle w:val="26"/>
          <w:rFonts w:hint="eastAsia" w:ascii="黑体" w:hAnsi="黑体" w:eastAsia="黑体"/>
          <w:b w:val="0"/>
        </w:rPr>
        <w:t>情况说明</w:t>
      </w:r>
      <w:bookmarkEnd w:id="53"/>
    </w:p>
    <w:p>
      <w:pPr>
        <w:spacing w:line="600" w:lineRule="exact"/>
        <w:ind w:firstLine="640"/>
        <w:outlineLvl w:val="1"/>
        <w:rPr>
          <w:rFonts w:ascii="仿宋" w:hAnsi="仿宋" w:eastAsia="仿宋" w:cs="楷体_GB2312"/>
          <w:b/>
          <w:bCs/>
          <w:sz w:val="32"/>
          <w:szCs w:val="32"/>
        </w:rPr>
      </w:pPr>
      <w:r>
        <w:rPr>
          <w:rStyle w:val="26"/>
          <w:rFonts w:hint="eastAsia" w:ascii="黑体" w:hAnsi="黑体" w:eastAsia="黑体"/>
          <w:b w:val="0"/>
        </w:rPr>
        <w:t>（一）</w:t>
      </w:r>
      <w:r>
        <w:rPr>
          <w:rFonts w:hint="eastAsia" w:ascii="仿宋" w:hAnsi="仿宋" w:eastAsia="仿宋" w:cs="楷体_GB2312"/>
          <w:b/>
          <w:bCs/>
          <w:sz w:val="32"/>
          <w:szCs w:val="32"/>
        </w:rPr>
        <w:t>预算绩效管理工作开展情况。</w:t>
      </w:r>
    </w:p>
    <w:p>
      <w:pPr>
        <w:spacing w:line="600" w:lineRule="exact"/>
        <w:ind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0项目开展了预算事前绩效评估，对0个项目编制了绩效目标，预算执行过程中，选取0个项目开展绩效监控，年终执行完毕后，对0个项目开展了绩效目标完成情况梳理填报。</w:t>
      </w:r>
    </w:p>
    <w:p>
      <w:pPr>
        <w:spacing w:line="600" w:lineRule="exact"/>
        <w:ind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基本支出除住房公积金部分未支付外，其余全部已经支付，项目支出部分未支付，留在2019年继续实施。本部门还自行组织了0个项目绩效评价，从评价情况来看…………（简要说明项目绩效情况）。</w:t>
      </w:r>
    </w:p>
    <w:p>
      <w:pPr>
        <w:spacing w:line="600" w:lineRule="exact"/>
        <w:ind w:firstLine="640"/>
        <w:outlineLvl w:val="1"/>
        <w:rPr>
          <w:rFonts w:ascii="楷体_GB2312" w:hAnsi="楷体_GB2312" w:eastAsia="楷体_GB2312" w:cs="楷体_GB2312"/>
          <w:b/>
          <w:bCs/>
          <w:sz w:val="32"/>
          <w:szCs w:val="32"/>
        </w:rPr>
      </w:pPr>
      <w:r>
        <w:rPr>
          <w:rFonts w:hint="eastAsia" w:ascii="仿宋" w:hAnsi="仿宋" w:eastAsia="仿宋" w:cs="楷体_GB2312"/>
          <w:b/>
          <w:bCs/>
          <w:sz w:val="32"/>
          <w:szCs w:val="32"/>
        </w:rPr>
        <w:t>（二）项目绩效目标完成情况。</w:t>
      </w:r>
    </w:p>
    <w:p>
      <w:pPr>
        <w:spacing w:line="600" w:lineRule="exact"/>
        <w:ind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本部门在2019年度部门决算中反映“XXX</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XXXX</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“XXXXX”等X个项目绩效目标实际完成情况。（本单位部门项目绩效目标个数在5个以上的，选取5个项目进行公开，目标个数在5个以下的，全部进行公开，公开内容包括完成情况综述和完成情况表）。</w:t>
      </w:r>
    </w:p>
    <w:p>
      <w:pPr>
        <w:spacing w:line="600" w:lineRule="exact"/>
        <w:ind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1.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spacing w:line="600" w:lineRule="exact"/>
        <w:ind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2.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spacing w:line="600" w:lineRule="exact"/>
        <w:ind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3.X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tabs>
          <w:tab w:val="left" w:pos="312"/>
        </w:tabs>
        <w:spacing w:line="580" w:lineRule="exact"/>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0" w:type="auto"/>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w:t>
            </w:r>
            <w:bookmarkStart w:id="76" w:name="_GoBack"/>
            <w:bookmarkEnd w:id="76"/>
            <w:r>
              <w:rPr>
                <w:rFonts w:hint="eastAsia" w:ascii="宋体" w:hAnsi="宋体" w:cs="宋体"/>
                <w:color w:val="000000"/>
                <w:kern w:val="0"/>
                <w:sz w:val="24"/>
              </w:rPr>
              <w:t>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511"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trPr>
        <w:tc>
          <w:tcPr>
            <w:tcW w:w="99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bl>
    <w:p>
      <w:pPr>
        <w:rPr>
          <w:rFonts w:ascii="Calibri" w:hAnsi="Calibri"/>
        </w:rPr>
      </w:pPr>
    </w:p>
    <w:p>
      <w:pPr>
        <w:spacing w:line="580" w:lineRule="exact"/>
        <w:rPr>
          <w:rFonts w:ascii="仿宋_GB2312" w:hAnsi="仿宋_GB2312" w:eastAsia="仿宋_GB2312" w:cs="仿宋_GB2312"/>
          <w:sz w:val="32"/>
          <w:szCs w:val="32"/>
        </w:rPr>
      </w:pPr>
    </w:p>
    <w:p>
      <w:pPr>
        <w:numPr>
          <w:ilvl w:val="0"/>
          <w:numId w:val="2"/>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本部门按要求对2019年部门整体支出绩效评价情况开展自评，《区团委部门2019年部门整体支出绩效评价报告》见附件。</w:t>
      </w:r>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本部门自行组织对XXX项目、XXX项目开展了绩效评价，《XXX项目2019年绩效评价报告》见附件。（非涉密部门均需公开部门整体支出评价报告，部门自行组织的绩效评价情况根据部门实际公开）</w:t>
      </w:r>
    </w:p>
    <w:p>
      <w:pPr>
        <w:spacing w:line="600" w:lineRule="exact"/>
        <w:ind w:firstLine="800" w:firstLineChars="250"/>
        <w:outlineLvl w:val="1"/>
        <w:rPr>
          <w:rStyle w:val="26"/>
          <w:rFonts w:ascii="黑体" w:hAnsi="黑体" w:eastAsia="黑体"/>
        </w:rPr>
      </w:pPr>
      <w:bookmarkStart w:id="54" w:name="_Toc17103564"/>
      <w:bookmarkStart w:id="55" w:name="_Toc15377221"/>
      <w:r>
        <w:rPr>
          <w:rFonts w:hint="eastAsia" w:ascii="黑体" w:hAnsi="黑体" w:eastAsia="黑体"/>
          <w:color w:val="000000"/>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54"/>
      <w:bookmarkEnd w:id="55"/>
    </w:p>
    <w:p>
      <w:pPr>
        <w:spacing w:line="600" w:lineRule="exact"/>
        <w:ind w:firstLine="643" w:firstLineChars="200"/>
        <w:outlineLvl w:val="2"/>
        <w:rPr>
          <w:rFonts w:ascii="仿宋" w:hAnsi="仿宋" w:eastAsia="仿宋"/>
          <w:color w:val="000000"/>
          <w:sz w:val="32"/>
          <w:szCs w:val="32"/>
        </w:rPr>
      </w:pPr>
      <w:bookmarkStart w:id="56" w:name="_Toc15377222"/>
      <w:r>
        <w:rPr>
          <w:rFonts w:hint="eastAsia" w:ascii="仿宋" w:hAnsi="仿宋" w:eastAsia="仿宋"/>
          <w:b/>
          <w:color w:val="000000"/>
          <w:sz w:val="32"/>
          <w:szCs w:val="32"/>
        </w:rPr>
        <w:t>（一）机关运行经费支出情况</w:t>
      </w:r>
      <w:bookmarkEnd w:id="56"/>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2019</w:t>
      </w:r>
      <w:r>
        <w:rPr>
          <w:rFonts w:hint="eastAsia" w:ascii="仿宋_GB2312" w:eastAsia="仿宋_GB2312"/>
          <w:color w:val="000000"/>
          <w:sz w:val="32"/>
          <w:szCs w:val="32"/>
        </w:rPr>
        <w:t>年，团委机关运行经费支出6.01万元，比</w:t>
      </w:r>
      <w:r>
        <w:rPr>
          <w:rFonts w:ascii="仿宋_GB2312" w:eastAsia="仿宋_GB2312"/>
          <w:color w:val="000000"/>
          <w:sz w:val="32"/>
          <w:szCs w:val="32"/>
        </w:rPr>
        <w:t>2018</w:t>
      </w:r>
      <w:r>
        <w:rPr>
          <w:rFonts w:hint="eastAsia" w:ascii="仿宋_GB2312" w:eastAsia="仿宋_GB2312"/>
          <w:color w:val="000000"/>
          <w:sz w:val="32"/>
          <w:szCs w:val="32"/>
        </w:rPr>
        <w:t>年减少2万元，下降25</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主要原因是打紧开支，节约了经费。</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7" w:name="_Toc15377223"/>
      <w:r>
        <w:rPr>
          <w:rFonts w:hint="eastAsia" w:ascii="仿宋" w:hAnsi="仿宋" w:eastAsia="仿宋"/>
          <w:b/>
          <w:color w:val="000000"/>
          <w:sz w:val="32"/>
          <w:szCs w:val="32"/>
        </w:rPr>
        <w:t>（二）政府采购支出情况</w:t>
      </w:r>
      <w:bookmarkEnd w:id="57"/>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年，团区委政府采购支出总额0万元，其中：政府采购货物支出0万元、政府采购工程支出0万元、政府采购服务支出0万元。主要用于</w:t>
      </w:r>
      <w:r>
        <w:rPr>
          <w:rFonts w:ascii="仿宋_GB2312" w:eastAsia="仿宋_GB2312"/>
          <w:color w:val="000000"/>
          <w:sz w:val="32"/>
          <w:szCs w:val="32"/>
        </w:rPr>
        <w:t>…</w:t>
      </w:r>
      <w:r>
        <w:rPr>
          <w:rFonts w:hint="eastAsia" w:ascii="仿宋_GB2312" w:eastAsia="仿宋_GB2312"/>
          <w:color w:val="000000"/>
          <w:sz w:val="32"/>
          <w:szCs w:val="32"/>
        </w:rPr>
        <w:t>（具体工作）。授予中小企业合同金额0万元，占政府采购支出总额的0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，其中：授予小微企业合同金额0万元，占政府采购支出总额的0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CS06</w:t>
      </w:r>
      <w:r>
        <w:rPr>
          <w:rFonts w:hint="eastAsia" w:ascii="仿宋" w:hAnsi="仿宋" w:eastAsia="仿宋"/>
          <w:b/>
          <w:color w:val="00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8" w:name="_Toc15377224"/>
      <w:r>
        <w:rPr>
          <w:rFonts w:hint="eastAsia" w:ascii="仿宋" w:hAnsi="仿宋" w:eastAsia="仿宋"/>
          <w:b/>
          <w:color w:val="000000"/>
          <w:sz w:val="32"/>
          <w:szCs w:val="32"/>
        </w:rPr>
        <w:t>（三）国有资产占有使用情况</w:t>
      </w:r>
      <w:bookmarkEnd w:id="58"/>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2019</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日，团区委共有车辆0辆，其中：部级领导干部用车0辆、一般公务用车0辆、一般执法执勤用车0辆、特种专业技术用车0辆、其他用车0辆，</w:t>
      </w:r>
      <w:r>
        <w:rPr>
          <w:rFonts w:hint="eastAsia" w:ascii="仿宋_GB2312" w:eastAsia="仿宋_GB2312"/>
          <w:color w:val="000000" w:themeColor="text1"/>
          <w:sz w:val="32"/>
          <w:szCs w:val="32"/>
        </w:rPr>
        <w:t>其他用车主要是用于……单价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万元以上通用设备0台（套），单价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表，按部门决算报表填报数据罗列车辆情况。）</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3" w:firstLineChars="150"/>
        <w:jc w:val="center"/>
        <w:outlineLvl w:val="0"/>
        <w:rPr>
          <w:rStyle w:val="25"/>
          <w:rFonts w:ascii="黑体" w:hAnsi="黑体" w:eastAsia="黑体"/>
          <w:b w:val="0"/>
        </w:rPr>
      </w:pPr>
      <w:bookmarkStart w:id="59" w:name="_Toc17103565"/>
      <w:bookmarkStart w:id="60" w:name="_Toc15377225"/>
      <w:r>
        <w:rPr>
          <w:rFonts w:hint="eastAsia" w:ascii="黑体" w:hAnsi="黑体" w:eastAsia="黑体"/>
          <w:b/>
          <w:color w:val="000000"/>
          <w:sz w:val="44"/>
          <w:szCs w:val="44"/>
        </w:rPr>
        <w:t>名</w:t>
      </w:r>
      <w:r>
        <w:rPr>
          <w:rStyle w:val="25"/>
          <w:rFonts w:hint="eastAsia" w:ascii="黑体" w:hAnsi="黑体" w:eastAsia="黑体"/>
          <w:b w:val="0"/>
        </w:rPr>
        <w:t>词解释</w:t>
      </w:r>
      <w:bookmarkEnd w:id="59"/>
      <w:bookmarkEnd w:id="60"/>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其中2012901一般公共服务支出中群众团体事务支出中的行政运行指的是各级人员团体、社会团体、群众团体以及工会、妇联、共青团组织等行政单位的基本支出；2012902一般公共服务支出中群众团体事务支出中的一般行政管理事务指的是各级人员团体、社会团体、群众团体以及工会、妇联、共青团组织等行政单位未单独设置项级科目的其他项目支出；2012999一般公共服务支出中群众团体事务支出中的其他群众团体事务指的是各级人员团体、社会团体、群众团体以及工会、妇联、共青团组织等其他用于群众团体事务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2080505社会保障和就业中的机关事业单位基本养老保险缴费支出指的是机关事业单位实施养老保险制度由单位缴纳的基本养老保险费支出。2089901其他社会就业支出指的是反映除社会保障和就业支出以外其他用于社会保障和就业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2101101行政单位医疗指反映财政部门集中安排的行政单位基本医疗保险缴费经费，未参加医疗保险的行政单位的公费医疗经费，按国家规定享受离休人员、红军老战士待遇人员的医疗经费。2101103公务医疗补助指反映财政部门集中安排的公务员医疗补助经费。</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住房保障：2210201住房保障支出中的住房公积金支出指的是行政事业单位按人力资源和社会保障部、财政部规定的基本工资和津贴补贴以及规定比例为职工缴纳的住房公积金。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2019</w:t>
      </w:r>
      <w:r>
        <w:rPr>
          <w:rFonts w:hint="eastAsia" w:ascii="仿宋" w:hAnsi="仿宋" w:eastAsia="仿宋"/>
          <w:b/>
          <w:color w:val="000000"/>
          <w:sz w:val="32"/>
          <w:szCs w:val="32"/>
        </w:rPr>
        <w:t>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3"/>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5"/>
          <w:rFonts w:ascii="黑体" w:hAnsi="黑体" w:eastAsia="黑体"/>
          <w:b w:val="0"/>
        </w:rPr>
      </w:pPr>
      <w:bookmarkStart w:id="61" w:name="_Toc15377226"/>
      <w:r>
        <w:rPr>
          <w:rFonts w:ascii="宋体"/>
          <w:b/>
          <w:color w:val="000000"/>
          <w:sz w:val="44"/>
          <w:szCs w:val="44"/>
        </w:rPr>
        <w:br w:type="page"/>
      </w:r>
      <w:bookmarkStart w:id="62" w:name="_Toc17103566"/>
      <w:r>
        <w:rPr>
          <w:rFonts w:hint="eastAsia" w:ascii="黑体" w:hAnsi="黑体" w:eastAsia="黑体"/>
          <w:color w:val="000000"/>
          <w:sz w:val="44"/>
          <w:szCs w:val="44"/>
        </w:rPr>
        <w:t>第</w:t>
      </w:r>
      <w:r>
        <w:rPr>
          <w:rStyle w:val="25"/>
          <w:rFonts w:hint="eastAsia" w:ascii="黑体" w:hAnsi="黑体" w:eastAsia="黑体"/>
          <w:b w:val="0"/>
        </w:rPr>
        <w:t>四部分 附件</w:t>
      </w:r>
      <w:bookmarkEnd w:id="62"/>
    </w:p>
    <w:p>
      <w:pPr>
        <w:spacing w:line="600" w:lineRule="exact"/>
        <w:jc w:val="center"/>
        <w:outlineLvl w:val="0"/>
        <w:rPr>
          <w:rStyle w:val="25"/>
        </w:rPr>
      </w:pPr>
    </w:p>
    <w:p>
      <w:pPr>
        <w:pStyle w:val="3"/>
        <w:rPr>
          <w:rStyle w:val="25"/>
          <w:rFonts w:ascii="仿宋" w:hAnsi="仿宋" w:eastAsia="仿宋"/>
          <w:b w:val="0"/>
          <w:bCs w:val="0"/>
          <w:sz w:val="32"/>
          <w:szCs w:val="32"/>
        </w:rPr>
      </w:pPr>
      <w:bookmarkStart w:id="63" w:name="_Toc17103567"/>
      <w:r>
        <w:rPr>
          <w:rStyle w:val="25"/>
          <w:rFonts w:hint="eastAsia" w:ascii="仿宋" w:hAnsi="仿宋" w:eastAsia="仿宋"/>
          <w:b w:val="0"/>
          <w:bCs w:val="0"/>
          <w:sz w:val="32"/>
          <w:szCs w:val="32"/>
        </w:rPr>
        <w:t>附件1</w:t>
      </w:r>
      <w:bookmarkEnd w:id="63"/>
    </w:p>
    <w:p>
      <w:pPr>
        <w:spacing w:line="600" w:lineRule="exact"/>
        <w:jc w:val="center"/>
        <w:outlineLvl w:val="0"/>
        <w:rPr>
          <w:rFonts w:ascii="黑体" w:hAnsi="黑体" w:eastAsia="黑体" w:cs="方正小标宋简体"/>
          <w:sz w:val="36"/>
          <w:szCs w:val="36"/>
        </w:rPr>
      </w:pPr>
      <w:bookmarkStart w:id="64" w:name="_Toc15396616"/>
      <w:bookmarkStart w:id="65" w:name="_Toc17103568"/>
      <w:r>
        <w:rPr>
          <w:rFonts w:hint="eastAsia" w:ascii="黑体" w:hAnsi="黑体" w:eastAsia="黑体" w:cs="方正小标宋简体"/>
          <w:sz w:val="36"/>
          <w:szCs w:val="36"/>
        </w:rPr>
        <w:t>团区委部门2019年部门整体支出绩效评价报告</w:t>
      </w:r>
      <w:bookmarkEnd w:id="64"/>
      <w:bookmarkEnd w:id="65"/>
    </w:p>
    <w:p>
      <w:pPr>
        <w:spacing w:line="580" w:lineRule="exact"/>
        <w:ind w:firstLine="640" w:firstLineChars="200"/>
        <w:rPr>
          <w:rFonts w:ascii="黑体" w:hAnsi="黑体" w:eastAsia="黑体" w:cs="黑体"/>
          <w:sz w:val="32"/>
          <w:szCs w:val="32"/>
        </w:rPr>
      </w:pPr>
    </w:p>
    <w:p>
      <w:pPr>
        <w:pageBreakBefore w:val="0"/>
        <w:kinsoku/>
        <w:wordWrap/>
        <w:overflowPunct/>
        <w:topLinePunct w:val="0"/>
        <w:autoSpaceDE/>
        <w:autoSpaceDN/>
        <w:bidi w:val="0"/>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一、部门（单位）概况</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olor w:val="000000"/>
          <w:sz w:val="32"/>
          <w:szCs w:val="32"/>
        </w:rPr>
      </w:pPr>
      <w:r>
        <w:rPr>
          <w:rFonts w:ascii="仿宋" w:hAnsi="仿宋" w:eastAsia="仿宋" w:cs="仿宋_GB2312"/>
          <w:sz w:val="32"/>
          <w:szCs w:val="32"/>
        </w:rPr>
        <w:t>（一）机构组成。</w:t>
      </w:r>
      <w:r>
        <w:rPr>
          <w:rFonts w:hint="eastAsia" w:ascii="方正仿宋简体" w:hAnsi="仿宋" w:eastAsia="方正仿宋简体"/>
          <w:sz w:val="32"/>
          <w:szCs w:val="32"/>
        </w:rPr>
        <w:t>团区委具有法人资格的一级预算单位。</w:t>
      </w:r>
    </w:p>
    <w:p>
      <w:pPr>
        <w:pageBreakBefore w:val="0"/>
        <w:kinsoku/>
        <w:wordWrap/>
        <w:overflowPunct/>
        <w:topLinePunct w:val="0"/>
        <w:autoSpaceDE/>
        <w:autoSpaceDN/>
        <w:bidi w:val="0"/>
        <w:snapToGrid w:val="0"/>
        <w:spacing w:line="600" w:lineRule="exact"/>
        <w:ind w:firstLine="640" w:firstLineChars="200"/>
        <w:textAlignment w:val="auto"/>
        <w:rPr>
          <w:rFonts w:ascii="方正仿宋简体" w:hAnsi="仿宋" w:eastAsia="方正仿宋简体"/>
          <w:sz w:val="32"/>
          <w:szCs w:val="32"/>
        </w:rPr>
      </w:pPr>
      <w:r>
        <w:rPr>
          <w:rFonts w:ascii="仿宋" w:hAnsi="仿宋" w:eastAsia="仿宋" w:cs="仿宋_GB2312"/>
          <w:sz w:val="32"/>
          <w:szCs w:val="32"/>
        </w:rPr>
        <w:t>（二）机构职能。</w:t>
      </w:r>
      <w:r>
        <w:rPr>
          <w:rFonts w:hint="eastAsia" w:ascii="方正仿宋简体" w:hAnsi="仿宋" w:eastAsia="方正仿宋简体"/>
          <w:sz w:val="32"/>
          <w:szCs w:val="32"/>
        </w:rPr>
        <w:t>雁江区团委是中国共产党领导的</w:t>
      </w:r>
      <w:r>
        <w:rPr>
          <w:rFonts w:hint="eastAsia" w:ascii="方正仿宋简体" w:hAnsi="仿宋" w:eastAsia="方正仿宋简体"/>
          <w:sz w:val="32"/>
          <w:szCs w:val="32"/>
          <w:lang w:eastAsia="zh-CN"/>
        </w:rPr>
        <w:t>先进青年的群团组织</w:t>
      </w:r>
      <w:r>
        <w:rPr>
          <w:rFonts w:hint="eastAsia" w:ascii="方正仿宋简体" w:hAnsi="仿宋" w:eastAsia="方正仿宋简体"/>
          <w:sz w:val="32"/>
          <w:szCs w:val="32"/>
        </w:rPr>
        <w:t>，承担联系青年的桥梁和纽带，负责共青团、青少年事业发展组织和带领青年发挥生力军和突击队作用的群团部门。</w:t>
      </w:r>
    </w:p>
    <w:p>
      <w:pPr>
        <w:pageBreakBefore w:val="0"/>
        <w:kinsoku/>
        <w:wordWrap/>
        <w:overflowPunct/>
        <w:topLinePunct w:val="0"/>
        <w:autoSpaceDE/>
        <w:autoSpaceDN/>
        <w:bidi w:val="0"/>
        <w:spacing w:line="60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（三）人员概况。</w:t>
      </w:r>
      <w:r>
        <w:rPr>
          <w:rFonts w:hint="eastAsia" w:ascii="仿宋" w:hAnsi="仿宋" w:eastAsia="仿宋" w:cs="仿宋_GB2312"/>
          <w:sz w:val="32"/>
          <w:szCs w:val="32"/>
        </w:rPr>
        <w:t>团区委编制数6人，实有人数4人。</w:t>
      </w:r>
    </w:p>
    <w:p>
      <w:pPr>
        <w:pageBreakBefore w:val="0"/>
        <w:kinsoku/>
        <w:wordWrap/>
        <w:overflowPunct/>
        <w:topLinePunct w:val="0"/>
        <w:autoSpaceDE/>
        <w:autoSpaceDN/>
        <w:bidi w:val="0"/>
        <w:spacing w:line="600" w:lineRule="exact"/>
        <w:ind w:firstLine="640" w:firstLineChars="200"/>
        <w:textAlignment w:val="auto"/>
        <w:rPr>
          <w:rFonts w:ascii="黑体" w:hAnsi="黑体" w:eastAsia="黑体" w:cs="黑体"/>
          <w:sz w:val="32"/>
          <w:szCs w:val="32"/>
        </w:rPr>
      </w:pPr>
      <w:r>
        <w:rPr>
          <w:rFonts w:ascii="黑体" w:hAnsi="黑体" w:eastAsia="黑体" w:cs="黑体"/>
          <w:sz w:val="32"/>
          <w:szCs w:val="32"/>
        </w:rPr>
        <w:t>二、部门财政资金收支情况</w:t>
      </w:r>
    </w:p>
    <w:p>
      <w:pPr>
        <w:pageBreakBefore w:val="0"/>
        <w:kinsoku/>
        <w:wordWrap/>
        <w:overflowPunct/>
        <w:topLinePunct w:val="0"/>
        <w:autoSpaceDE/>
        <w:autoSpaceDN/>
        <w:bidi w:val="0"/>
        <w:spacing w:line="60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（一）部门财政资金收入情况。</w:t>
      </w:r>
      <w:r>
        <w:rPr>
          <w:rFonts w:hint="eastAsia" w:ascii="仿宋" w:hAnsi="仿宋" w:eastAsia="仿宋"/>
          <w:color w:val="000000"/>
          <w:sz w:val="32"/>
          <w:szCs w:val="32"/>
        </w:rPr>
        <w:t>本年收入全部为一般公共预算财政拨款收入，合计126.14万元。</w:t>
      </w:r>
    </w:p>
    <w:p>
      <w:pPr>
        <w:pageBreakBefore w:val="0"/>
        <w:kinsoku/>
        <w:wordWrap/>
        <w:overflowPunct/>
        <w:topLinePunct w:val="0"/>
        <w:autoSpaceDE/>
        <w:autoSpaceDN/>
        <w:bidi w:val="0"/>
        <w:spacing w:line="60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（二）部门财政资金支出情况。</w:t>
      </w:r>
      <w:r>
        <w:rPr>
          <w:rFonts w:hint="eastAsia" w:ascii="仿宋" w:hAnsi="仿宋" w:eastAsia="仿宋"/>
          <w:color w:val="000000"/>
          <w:sz w:val="32"/>
          <w:szCs w:val="32"/>
        </w:rPr>
        <w:t>本年支出全部为一般公共预算财政拨款支出，合计105.01万元。</w:t>
      </w:r>
    </w:p>
    <w:p>
      <w:pPr>
        <w:pageBreakBefore w:val="0"/>
        <w:kinsoku/>
        <w:wordWrap/>
        <w:overflowPunct/>
        <w:topLinePunct w:val="0"/>
        <w:autoSpaceDE/>
        <w:autoSpaceDN/>
        <w:bidi w:val="0"/>
        <w:spacing w:line="600" w:lineRule="exact"/>
        <w:ind w:firstLine="640" w:firstLineChars="200"/>
        <w:textAlignment w:val="auto"/>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pageBreakBefore w:val="0"/>
        <w:kinsoku/>
        <w:wordWrap/>
        <w:overflowPunct/>
        <w:topLinePunct w:val="0"/>
        <w:autoSpaceDE/>
        <w:autoSpaceDN/>
        <w:bidi w:val="0"/>
        <w:spacing w:line="60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（一）部门预算管理。</w:t>
      </w:r>
    </w:p>
    <w:p>
      <w:pPr>
        <w:pageBreakBefore w:val="0"/>
        <w:kinsoku/>
        <w:wordWrap/>
        <w:overflowPunct/>
        <w:topLinePunct w:val="0"/>
        <w:autoSpaceDE/>
        <w:autoSpaceDN/>
        <w:bidi w:val="0"/>
        <w:spacing w:line="60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团区委</w:t>
      </w:r>
      <w:r>
        <w:rPr>
          <w:rFonts w:ascii="仿宋" w:hAnsi="仿宋" w:eastAsia="仿宋" w:cs="仿宋_GB2312"/>
          <w:sz w:val="32"/>
          <w:szCs w:val="32"/>
        </w:rPr>
        <w:t>绩效目标制定</w:t>
      </w:r>
      <w:r>
        <w:rPr>
          <w:rFonts w:hint="eastAsia" w:ascii="仿宋" w:hAnsi="仿宋" w:eastAsia="仿宋" w:cs="仿宋_GB2312"/>
          <w:sz w:val="32"/>
          <w:szCs w:val="32"/>
        </w:rPr>
        <w:t>清楚，</w:t>
      </w:r>
      <w:r>
        <w:rPr>
          <w:rFonts w:ascii="仿宋" w:hAnsi="仿宋" w:eastAsia="仿宋" w:cs="仿宋_GB2312"/>
          <w:sz w:val="32"/>
          <w:szCs w:val="32"/>
        </w:rPr>
        <w:t>目标完成</w:t>
      </w:r>
      <w:r>
        <w:rPr>
          <w:rFonts w:hint="eastAsia" w:ascii="仿宋" w:hAnsi="仿宋" w:eastAsia="仿宋" w:cs="仿宋_GB2312"/>
          <w:sz w:val="32"/>
          <w:szCs w:val="32"/>
        </w:rPr>
        <w:t>良好，</w:t>
      </w:r>
      <w:r>
        <w:rPr>
          <w:rFonts w:ascii="仿宋" w:hAnsi="仿宋" w:eastAsia="仿宋" w:cs="仿宋_GB2312"/>
          <w:sz w:val="32"/>
          <w:szCs w:val="32"/>
        </w:rPr>
        <w:t>预算编制准确</w:t>
      </w:r>
      <w:r>
        <w:rPr>
          <w:rFonts w:hint="eastAsia" w:ascii="仿宋" w:hAnsi="仿宋" w:eastAsia="仿宋" w:cs="仿宋_GB2312"/>
          <w:sz w:val="32"/>
          <w:szCs w:val="32"/>
        </w:rPr>
        <w:t>，</w:t>
      </w:r>
      <w:r>
        <w:rPr>
          <w:rFonts w:ascii="仿宋" w:hAnsi="仿宋" w:eastAsia="仿宋" w:cs="仿宋_GB2312"/>
          <w:sz w:val="32"/>
          <w:szCs w:val="32"/>
        </w:rPr>
        <w:t>支出控制</w:t>
      </w:r>
      <w:r>
        <w:rPr>
          <w:rFonts w:hint="eastAsia" w:ascii="仿宋" w:hAnsi="仿宋" w:eastAsia="仿宋" w:cs="仿宋_GB2312"/>
          <w:sz w:val="32"/>
          <w:szCs w:val="32"/>
        </w:rPr>
        <w:t>严格，</w:t>
      </w:r>
      <w:r>
        <w:rPr>
          <w:rFonts w:ascii="仿宋" w:hAnsi="仿宋" w:eastAsia="仿宋" w:cs="仿宋_GB2312"/>
          <w:sz w:val="32"/>
          <w:szCs w:val="32"/>
        </w:rPr>
        <w:t>预算动态调整</w:t>
      </w:r>
      <w:r>
        <w:rPr>
          <w:rFonts w:hint="eastAsia" w:ascii="仿宋" w:hAnsi="仿宋" w:eastAsia="仿宋" w:cs="仿宋_GB2312"/>
          <w:sz w:val="32"/>
          <w:szCs w:val="32"/>
        </w:rPr>
        <w:t>到位</w:t>
      </w:r>
      <w:r>
        <w:rPr>
          <w:rFonts w:ascii="仿宋" w:hAnsi="仿宋" w:eastAsia="仿宋" w:cs="仿宋_GB2312"/>
          <w:sz w:val="32"/>
          <w:szCs w:val="32"/>
        </w:rPr>
        <w:t>、执行进度</w:t>
      </w:r>
      <w:r>
        <w:rPr>
          <w:rFonts w:hint="eastAsia" w:ascii="仿宋" w:hAnsi="仿宋" w:eastAsia="仿宋" w:cs="仿宋_GB2312"/>
          <w:sz w:val="32"/>
          <w:szCs w:val="32"/>
        </w:rPr>
        <w:t>按照财政拨付资金进行执行，</w:t>
      </w:r>
      <w:r>
        <w:rPr>
          <w:rFonts w:ascii="仿宋" w:hAnsi="仿宋" w:eastAsia="仿宋" w:cs="仿宋_GB2312"/>
          <w:sz w:val="32"/>
          <w:szCs w:val="32"/>
        </w:rPr>
        <w:t>预算完成情况</w:t>
      </w:r>
      <w:r>
        <w:rPr>
          <w:rFonts w:hint="eastAsia" w:ascii="仿宋" w:hAnsi="仿宋" w:eastAsia="仿宋" w:cs="仿宋_GB2312"/>
          <w:sz w:val="32"/>
          <w:szCs w:val="32"/>
        </w:rPr>
        <w:t>良好，无</w:t>
      </w:r>
      <w:r>
        <w:rPr>
          <w:rFonts w:ascii="仿宋" w:hAnsi="仿宋" w:eastAsia="仿宋" w:cs="仿宋_GB2312"/>
          <w:sz w:val="32"/>
          <w:szCs w:val="32"/>
        </w:rPr>
        <w:t>违规记录等情况。</w:t>
      </w:r>
    </w:p>
    <w:p>
      <w:pPr>
        <w:pageBreakBefore w:val="0"/>
        <w:kinsoku/>
        <w:wordWrap/>
        <w:overflowPunct/>
        <w:topLinePunct w:val="0"/>
        <w:autoSpaceDE/>
        <w:autoSpaceDN/>
        <w:bidi w:val="0"/>
        <w:spacing w:line="60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（二）专项预算管理。</w:t>
      </w:r>
    </w:p>
    <w:p>
      <w:pPr>
        <w:pageBreakBefore w:val="0"/>
        <w:kinsoku/>
        <w:wordWrap/>
        <w:overflowPunct/>
        <w:topLinePunct w:val="0"/>
        <w:autoSpaceDE/>
        <w:autoSpaceDN/>
        <w:bidi w:val="0"/>
        <w:spacing w:line="60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专项预算项目程序严密、规划合理、结果符合</w:t>
      </w:r>
      <w:r>
        <w:rPr>
          <w:rFonts w:hint="eastAsia" w:ascii="仿宋" w:hAnsi="仿宋" w:eastAsia="仿宋" w:cs="仿宋_GB2312"/>
          <w:sz w:val="32"/>
          <w:szCs w:val="32"/>
        </w:rPr>
        <w:t>要求，专项预算</w:t>
      </w:r>
      <w:r>
        <w:rPr>
          <w:rFonts w:ascii="仿宋" w:hAnsi="仿宋" w:eastAsia="仿宋" w:cs="仿宋_GB2312"/>
          <w:sz w:val="32"/>
          <w:szCs w:val="32"/>
        </w:rPr>
        <w:t>分配科学、分配及时</w:t>
      </w:r>
      <w:r>
        <w:rPr>
          <w:rFonts w:hint="eastAsia" w:ascii="仿宋" w:hAnsi="仿宋" w:eastAsia="仿宋" w:cs="仿宋_GB2312"/>
          <w:sz w:val="32"/>
          <w:szCs w:val="32"/>
        </w:rPr>
        <w:t>，</w:t>
      </w:r>
      <w:r>
        <w:rPr>
          <w:rFonts w:ascii="仿宋" w:hAnsi="仿宋" w:eastAsia="仿宋" w:cs="仿宋_GB2312"/>
          <w:sz w:val="32"/>
          <w:szCs w:val="32"/>
        </w:rPr>
        <w:t>专项预算绩效目标完成</w:t>
      </w:r>
      <w:r>
        <w:rPr>
          <w:rFonts w:hint="eastAsia" w:ascii="仿宋" w:hAnsi="仿宋" w:eastAsia="仿宋" w:cs="仿宋_GB2312"/>
          <w:sz w:val="32"/>
          <w:szCs w:val="32"/>
        </w:rPr>
        <w:t>达到63%，</w:t>
      </w:r>
      <w:r>
        <w:rPr>
          <w:rFonts w:ascii="仿宋" w:hAnsi="仿宋" w:eastAsia="仿宋" w:cs="仿宋_GB2312"/>
          <w:sz w:val="32"/>
          <w:szCs w:val="32"/>
        </w:rPr>
        <w:t>实施绩效</w:t>
      </w:r>
      <w:r>
        <w:rPr>
          <w:rFonts w:hint="eastAsia" w:ascii="仿宋" w:hAnsi="仿宋" w:eastAsia="仿宋" w:cs="仿宋_GB2312"/>
          <w:sz w:val="32"/>
          <w:szCs w:val="32"/>
        </w:rPr>
        <w:t>情况良好，无</w:t>
      </w:r>
      <w:r>
        <w:rPr>
          <w:rFonts w:ascii="仿宋" w:hAnsi="仿宋" w:eastAsia="仿宋" w:cs="仿宋_GB2312"/>
          <w:sz w:val="32"/>
          <w:szCs w:val="32"/>
        </w:rPr>
        <w:t>违规记录等情况。</w:t>
      </w:r>
    </w:p>
    <w:p>
      <w:pPr>
        <w:pageBreakBefore w:val="0"/>
        <w:kinsoku/>
        <w:wordWrap/>
        <w:overflowPunct/>
        <w:topLinePunct w:val="0"/>
        <w:autoSpaceDE/>
        <w:autoSpaceDN/>
        <w:bidi w:val="0"/>
        <w:spacing w:line="60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（三）结果应用情况。</w:t>
      </w:r>
    </w:p>
    <w:p>
      <w:pPr>
        <w:pageBreakBefore w:val="0"/>
        <w:kinsoku/>
        <w:wordWrap/>
        <w:overflowPunct/>
        <w:topLinePunct w:val="0"/>
        <w:autoSpaceDE/>
        <w:autoSpaceDN/>
        <w:bidi w:val="0"/>
        <w:spacing w:line="60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团区委</w:t>
      </w:r>
      <w:r>
        <w:rPr>
          <w:rFonts w:ascii="仿宋" w:hAnsi="仿宋" w:eastAsia="仿宋" w:cs="仿宋_GB2312"/>
          <w:sz w:val="32"/>
          <w:szCs w:val="32"/>
        </w:rPr>
        <w:t>部门</w:t>
      </w:r>
      <w:r>
        <w:rPr>
          <w:rFonts w:hint="eastAsia" w:ascii="仿宋" w:hAnsi="仿宋" w:eastAsia="仿宋" w:cs="仿宋_GB2312"/>
          <w:sz w:val="32"/>
          <w:szCs w:val="32"/>
        </w:rPr>
        <w:t>整体绩效目标</w:t>
      </w:r>
      <w:r>
        <w:rPr>
          <w:rFonts w:ascii="仿宋" w:hAnsi="仿宋" w:eastAsia="仿宋" w:cs="仿宋_GB2312"/>
          <w:sz w:val="32"/>
          <w:szCs w:val="32"/>
        </w:rPr>
        <w:t>自评质量</w:t>
      </w:r>
      <w:r>
        <w:rPr>
          <w:rFonts w:hint="eastAsia" w:ascii="仿宋" w:hAnsi="仿宋" w:eastAsia="仿宋" w:cs="仿宋_GB2312"/>
          <w:sz w:val="32"/>
          <w:szCs w:val="32"/>
        </w:rPr>
        <w:t>较好，无专门项目</w:t>
      </w:r>
      <w:r>
        <w:rPr>
          <w:rFonts w:ascii="仿宋" w:hAnsi="仿宋" w:eastAsia="仿宋" w:cs="仿宋_GB2312"/>
          <w:sz w:val="32"/>
          <w:szCs w:val="32"/>
        </w:rPr>
        <w:t>绩效目标。</w:t>
      </w:r>
    </w:p>
    <w:p>
      <w:pPr>
        <w:pageBreakBefore w:val="0"/>
        <w:kinsoku/>
        <w:wordWrap/>
        <w:overflowPunct/>
        <w:topLinePunct w:val="0"/>
        <w:autoSpaceDE/>
        <w:autoSpaceDN/>
        <w:bidi w:val="0"/>
        <w:spacing w:line="600" w:lineRule="exact"/>
        <w:ind w:firstLine="640" w:firstLineChars="200"/>
        <w:textAlignment w:val="auto"/>
        <w:rPr>
          <w:rFonts w:ascii="黑体" w:hAnsi="黑体" w:eastAsia="黑体" w:cs="黑体"/>
          <w:sz w:val="32"/>
          <w:szCs w:val="32"/>
        </w:rPr>
      </w:pPr>
      <w:r>
        <w:rPr>
          <w:rFonts w:ascii="黑体" w:hAnsi="黑体" w:eastAsia="黑体" w:cs="黑体"/>
          <w:sz w:val="32"/>
          <w:szCs w:val="32"/>
        </w:rPr>
        <w:t>四、评价结论及建议</w:t>
      </w:r>
    </w:p>
    <w:p>
      <w:pPr>
        <w:pageBreakBefore w:val="0"/>
        <w:kinsoku/>
        <w:wordWrap/>
        <w:overflowPunct/>
        <w:topLinePunct w:val="0"/>
        <w:autoSpaceDE/>
        <w:autoSpaceDN/>
        <w:bidi w:val="0"/>
        <w:spacing w:line="60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（一）评价结论。</w:t>
      </w:r>
      <w:r>
        <w:rPr>
          <w:rFonts w:hint="eastAsia" w:ascii="仿宋" w:hAnsi="仿宋" w:eastAsia="仿宋" w:cs="仿宋_GB2312"/>
          <w:sz w:val="32"/>
          <w:szCs w:val="32"/>
        </w:rPr>
        <w:t>本单位除专项经费未全部到位，基本性支出均已经全部列支。</w:t>
      </w:r>
    </w:p>
    <w:p>
      <w:pPr>
        <w:pageBreakBefore w:val="0"/>
        <w:kinsoku/>
        <w:wordWrap/>
        <w:overflowPunct/>
        <w:topLinePunct w:val="0"/>
        <w:autoSpaceDE/>
        <w:autoSpaceDN/>
        <w:bidi w:val="0"/>
        <w:spacing w:line="60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（二）存在问题。</w:t>
      </w:r>
      <w:r>
        <w:rPr>
          <w:rFonts w:hint="eastAsia" w:ascii="仿宋" w:hAnsi="仿宋" w:eastAsia="仿宋" w:cs="仿宋_GB2312"/>
          <w:sz w:val="32"/>
          <w:szCs w:val="32"/>
        </w:rPr>
        <w:t>专项经费未及时支付。</w:t>
      </w:r>
    </w:p>
    <w:p>
      <w:pPr>
        <w:pageBreakBefore w:val="0"/>
        <w:kinsoku/>
        <w:wordWrap/>
        <w:overflowPunct/>
        <w:topLinePunct w:val="0"/>
        <w:autoSpaceDE/>
        <w:autoSpaceDN/>
        <w:bidi w:val="0"/>
        <w:spacing w:line="60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（三）改进建议。</w:t>
      </w:r>
      <w:r>
        <w:rPr>
          <w:rFonts w:hint="eastAsia" w:ascii="仿宋" w:hAnsi="仿宋" w:eastAsia="仿宋" w:cs="仿宋_GB2312"/>
          <w:sz w:val="32"/>
          <w:szCs w:val="32"/>
        </w:rPr>
        <w:t>按照专项经费进度进行支付。</w:t>
      </w:r>
    </w:p>
    <w:p>
      <w:pPr>
        <w:pageBreakBefore w:val="0"/>
        <w:kinsoku/>
        <w:wordWrap/>
        <w:overflowPunct/>
        <w:topLinePunct w:val="0"/>
        <w:autoSpaceDE/>
        <w:autoSpaceDN/>
        <w:bidi w:val="0"/>
        <w:spacing w:line="600" w:lineRule="exact"/>
        <w:ind w:firstLine="640" w:firstLineChars="200"/>
        <w:textAlignment w:val="auto"/>
        <w:rPr>
          <w:rFonts w:ascii="仿宋" w:hAnsi="仿宋" w:eastAsia="仿宋" w:cs="仿宋_GB2312"/>
          <w:sz w:val="32"/>
          <w:szCs w:val="32"/>
        </w:rPr>
      </w:pPr>
    </w:p>
    <w:p>
      <w:pPr>
        <w:pageBreakBefore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p>
    <w:p>
      <w:pPr>
        <w:pageBreakBefore w:val="0"/>
        <w:widowControl/>
        <w:kinsoku/>
        <w:wordWrap/>
        <w:overflowPunct/>
        <w:topLinePunct w:val="0"/>
        <w:autoSpaceDE/>
        <w:autoSpaceDN/>
        <w:bidi w:val="0"/>
        <w:spacing w:line="600" w:lineRule="exact"/>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pageBreakBefore w:val="0"/>
        <w:kinsoku/>
        <w:wordWrap/>
        <w:overflowPunct/>
        <w:topLinePunct w:val="0"/>
        <w:autoSpaceDE/>
        <w:autoSpaceDN/>
        <w:bidi w:val="0"/>
        <w:spacing w:before="0" w:after="0" w:line="600" w:lineRule="exact"/>
        <w:textAlignment w:val="auto"/>
        <w:rPr>
          <w:rStyle w:val="25"/>
          <w:rFonts w:ascii="仿宋" w:hAnsi="仿宋" w:eastAsia="仿宋"/>
          <w:b w:val="0"/>
          <w:bCs w:val="0"/>
          <w:sz w:val="32"/>
          <w:szCs w:val="32"/>
        </w:rPr>
      </w:pPr>
      <w:bookmarkStart w:id="66" w:name="_Toc17103569"/>
      <w:r>
        <w:rPr>
          <w:rStyle w:val="25"/>
          <w:rFonts w:hint="eastAsia" w:ascii="仿宋" w:hAnsi="仿宋" w:eastAsia="仿宋"/>
          <w:b w:val="0"/>
          <w:bCs w:val="0"/>
          <w:sz w:val="32"/>
          <w:szCs w:val="32"/>
        </w:rPr>
        <w:t>附件2</w:t>
      </w:r>
      <w:bookmarkEnd w:id="66"/>
    </w:p>
    <w:p>
      <w:pPr>
        <w:pageBreakBefore w:val="0"/>
        <w:kinsoku/>
        <w:wordWrap/>
        <w:overflowPunct/>
        <w:topLinePunct w:val="0"/>
        <w:autoSpaceDE/>
        <w:autoSpaceDN/>
        <w:bidi w:val="0"/>
        <w:spacing w:line="600" w:lineRule="exact"/>
        <w:jc w:val="center"/>
        <w:textAlignment w:val="auto"/>
        <w:rPr>
          <w:rFonts w:ascii="黑体" w:hAnsi="黑体" w:eastAsia="黑体" w:cs="方正小标宋简体"/>
          <w:sz w:val="44"/>
          <w:szCs w:val="44"/>
        </w:rPr>
      </w:pPr>
      <w:r>
        <w:rPr>
          <w:rFonts w:hint="eastAsia" w:ascii="黑体" w:hAnsi="黑体" w:eastAsia="黑体" w:cs="方正小标宋简体"/>
          <w:sz w:val="44"/>
          <w:szCs w:val="44"/>
        </w:rPr>
        <w:t>2019年XXX项目支出绩效评价报告</w:t>
      </w:r>
    </w:p>
    <w:p>
      <w:pPr>
        <w:pageBreakBefore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sz w:val="32"/>
          <w:szCs w:val="32"/>
        </w:rPr>
      </w:pPr>
    </w:p>
    <w:p>
      <w:pPr>
        <w:pageBreakBefore w:val="0"/>
        <w:kinsoku/>
        <w:wordWrap/>
        <w:overflowPunct/>
        <w:topLinePunct w:val="0"/>
        <w:autoSpaceDE/>
        <w:autoSpaceDN/>
        <w:bidi w:val="0"/>
        <w:spacing w:line="60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pageBreakBefore w:val="0"/>
        <w:kinsoku/>
        <w:wordWrap/>
        <w:overflowPunct/>
        <w:topLinePunct w:val="0"/>
        <w:autoSpaceDE/>
        <w:autoSpaceDN/>
        <w:bidi w:val="0"/>
        <w:spacing w:line="60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项目评价实施方案情况（包括选点、评价指标、评价方法、基础数据表等情况）</w:t>
      </w:r>
    </w:p>
    <w:p>
      <w:pPr>
        <w:pageBreakBefore w:val="0"/>
        <w:kinsoku/>
        <w:wordWrap/>
        <w:overflowPunct/>
        <w:topLinePunct w:val="0"/>
        <w:autoSpaceDE/>
        <w:autoSpaceDN/>
        <w:bidi w:val="0"/>
        <w:spacing w:line="60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pageBreakBefore w:val="0"/>
        <w:kinsoku/>
        <w:wordWrap/>
        <w:overflowPunct/>
        <w:topLinePunct w:val="0"/>
        <w:autoSpaceDE/>
        <w:autoSpaceDN/>
        <w:bidi w:val="0"/>
        <w:spacing w:line="60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（一）评价结论</w:t>
      </w:r>
    </w:p>
    <w:p>
      <w:pPr>
        <w:pageBreakBefore w:val="0"/>
        <w:kinsoku/>
        <w:wordWrap/>
        <w:overflowPunct/>
        <w:topLinePunct w:val="0"/>
        <w:autoSpaceDE/>
        <w:autoSpaceDN/>
        <w:bidi w:val="0"/>
        <w:spacing w:line="60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项目绩效评价总体结论（包括项目评价得分表）</w:t>
      </w:r>
    </w:p>
    <w:p>
      <w:pPr>
        <w:pageBreakBefore w:val="0"/>
        <w:kinsoku/>
        <w:wordWrap/>
        <w:overflowPunct/>
        <w:topLinePunct w:val="0"/>
        <w:autoSpaceDE/>
        <w:autoSpaceDN/>
        <w:bidi w:val="0"/>
        <w:spacing w:line="60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（二）绩效分析</w:t>
      </w:r>
    </w:p>
    <w:p>
      <w:pPr>
        <w:pageBreakBefore w:val="0"/>
        <w:kinsoku/>
        <w:wordWrap/>
        <w:overflowPunct/>
        <w:topLinePunct w:val="0"/>
        <w:autoSpaceDE/>
        <w:autoSpaceDN/>
        <w:bidi w:val="0"/>
        <w:spacing w:line="60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1、项目决策</w:t>
      </w:r>
    </w:p>
    <w:p>
      <w:pPr>
        <w:pageBreakBefore w:val="0"/>
        <w:kinsoku/>
        <w:wordWrap/>
        <w:overflowPunct/>
        <w:topLinePunct w:val="0"/>
        <w:autoSpaceDE/>
        <w:autoSpaceDN/>
        <w:bidi w:val="0"/>
        <w:spacing w:line="60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必要性和可行性分析（包括政策依据和政策完善，政策和需求的吻合程度分析），绩效目标设置情况（包括绩效目标设置的明确性和合理性）</w:t>
      </w:r>
    </w:p>
    <w:p>
      <w:pPr>
        <w:pageBreakBefore w:val="0"/>
        <w:kinsoku/>
        <w:wordWrap/>
        <w:overflowPunct/>
        <w:topLinePunct w:val="0"/>
        <w:autoSpaceDE/>
        <w:autoSpaceDN/>
        <w:bidi w:val="0"/>
        <w:spacing w:line="60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2、项目管理</w:t>
      </w:r>
    </w:p>
    <w:p>
      <w:pPr>
        <w:pageBreakBefore w:val="0"/>
        <w:kinsoku/>
        <w:wordWrap/>
        <w:overflowPunct/>
        <w:topLinePunct w:val="0"/>
        <w:autoSpaceDE/>
        <w:autoSpaceDN/>
        <w:bidi w:val="0"/>
        <w:spacing w:line="60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资金分配情况（资金分配管理的科学合理性）资，金使用情况（项目、资金管理的科学规范性）</w:t>
      </w:r>
    </w:p>
    <w:p>
      <w:pPr>
        <w:pageBreakBefore w:val="0"/>
        <w:kinsoku/>
        <w:wordWrap/>
        <w:overflowPunct/>
        <w:topLinePunct w:val="0"/>
        <w:autoSpaceDE/>
        <w:autoSpaceDN/>
        <w:bidi w:val="0"/>
        <w:spacing w:line="60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3、项目绩效</w:t>
      </w:r>
    </w:p>
    <w:p>
      <w:pPr>
        <w:pageBreakBefore w:val="0"/>
        <w:kinsoku/>
        <w:wordWrap/>
        <w:overflowPunct/>
        <w:topLinePunct w:val="0"/>
        <w:autoSpaceDE/>
        <w:autoSpaceDN/>
        <w:bidi w:val="0"/>
        <w:spacing w:line="60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项目目标完成情况（数量、质量、时效、成本），项目效益情况（经济效益、项目社会效益、生态效益、可持续效益、公平性、资金使用效率、受益群体满意度等）。</w:t>
      </w:r>
    </w:p>
    <w:p>
      <w:pPr>
        <w:pageBreakBefore w:val="0"/>
        <w:kinsoku/>
        <w:wordWrap/>
        <w:overflowPunct/>
        <w:topLinePunct w:val="0"/>
        <w:autoSpaceDE/>
        <w:autoSpaceDN/>
        <w:bidi w:val="0"/>
        <w:spacing w:line="60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、存在主要问题</w:t>
      </w:r>
    </w:p>
    <w:p>
      <w:pPr>
        <w:pageBreakBefore w:val="0"/>
        <w:kinsoku/>
        <w:wordWrap/>
        <w:overflowPunct/>
        <w:topLinePunct w:val="0"/>
        <w:autoSpaceDE/>
        <w:autoSpaceDN/>
        <w:bidi w:val="0"/>
        <w:spacing w:line="600" w:lineRule="exact"/>
        <w:ind w:firstLine="640" w:firstLineChars="200"/>
        <w:textAlignment w:val="auto"/>
        <w:rPr>
          <w:rStyle w:val="25"/>
          <w:rFonts w:ascii="仿宋" w:hAnsi="仿宋" w:eastAsia="仿宋" w:cs="仿宋_GB2312"/>
          <w:b w:val="0"/>
          <w:bCs w:val="0"/>
          <w:kern w:val="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pageBreakBefore w:val="0"/>
        <w:kinsoku/>
        <w:wordWrap/>
        <w:overflowPunct/>
        <w:topLinePunct w:val="0"/>
        <w:autoSpaceDE/>
        <w:autoSpaceDN/>
        <w:bidi w:val="0"/>
        <w:spacing w:line="600" w:lineRule="exact"/>
        <w:jc w:val="center"/>
        <w:textAlignment w:val="auto"/>
        <w:outlineLvl w:val="0"/>
        <w:rPr>
          <w:rStyle w:val="25"/>
          <w:rFonts w:ascii="黑体" w:hAnsi="黑体" w:eastAsia="黑体"/>
          <w:b w:val="0"/>
        </w:rPr>
      </w:pPr>
      <w:bookmarkStart w:id="67" w:name="_Toc17103570"/>
      <w:r>
        <w:rPr>
          <w:rFonts w:hint="eastAsia" w:ascii="黑体" w:hAnsi="黑体" w:eastAsia="黑体"/>
          <w:color w:val="000000"/>
          <w:sz w:val="44"/>
          <w:szCs w:val="44"/>
        </w:rPr>
        <w:t>第</w:t>
      </w:r>
      <w:r>
        <w:rPr>
          <w:rStyle w:val="25"/>
          <w:rFonts w:hint="eastAsia" w:ascii="黑体" w:hAnsi="黑体" w:eastAsia="黑体"/>
          <w:b w:val="0"/>
        </w:rPr>
        <w:t>五部分 附表</w:t>
      </w:r>
      <w:bookmarkEnd w:id="61"/>
      <w:bookmarkEnd w:id="67"/>
    </w:p>
    <w:p>
      <w:pPr>
        <w:pageBreakBefore w:val="0"/>
        <w:kinsoku/>
        <w:wordWrap/>
        <w:overflowPunct/>
        <w:topLinePunct w:val="0"/>
        <w:autoSpaceDE/>
        <w:autoSpaceDN/>
        <w:bidi w:val="0"/>
        <w:spacing w:line="600" w:lineRule="exact"/>
        <w:jc w:val="center"/>
        <w:textAlignment w:val="auto"/>
        <w:outlineLvl w:val="0"/>
        <w:rPr>
          <w:rFonts w:ascii="仿宋" w:hAnsi="仿宋" w:eastAsia="仿宋"/>
          <w:b/>
          <w:color w:val="000000"/>
          <w:sz w:val="44"/>
          <w:szCs w:val="44"/>
        </w:rPr>
      </w:pPr>
    </w:p>
    <w:p>
      <w:pPr>
        <w:pStyle w:val="3"/>
        <w:pageBreakBefore w:val="0"/>
        <w:kinsoku/>
        <w:wordWrap/>
        <w:overflowPunct/>
        <w:topLinePunct w:val="0"/>
        <w:autoSpaceDE/>
        <w:autoSpaceDN/>
        <w:bidi w:val="0"/>
        <w:spacing w:before="0" w:after="0" w:line="600" w:lineRule="exact"/>
        <w:textAlignment w:val="auto"/>
        <w:rPr>
          <w:rFonts w:ascii="仿宋" w:hAnsi="仿宋" w:eastAsia="仿宋"/>
          <w:color w:val="000000"/>
        </w:rPr>
      </w:pPr>
      <w:bookmarkStart w:id="68" w:name="_Toc17103571"/>
      <w:r>
        <w:rPr>
          <w:rFonts w:hint="eastAsia" w:ascii="仿宋" w:hAnsi="仿宋" w:eastAsia="仿宋"/>
          <w:b w:val="0"/>
          <w:color w:val="000000"/>
        </w:rPr>
        <w:t>一、收</w:t>
      </w:r>
      <w:r>
        <w:rPr>
          <w:rStyle w:val="26"/>
          <w:rFonts w:hint="eastAsia" w:ascii="仿宋" w:hAnsi="仿宋" w:eastAsia="仿宋"/>
          <w:b w:val="0"/>
          <w:bCs w:val="0"/>
        </w:rPr>
        <w:t>入支出决算总表</w:t>
      </w:r>
      <w:bookmarkEnd w:id="68"/>
    </w:p>
    <w:p>
      <w:pPr>
        <w:pStyle w:val="3"/>
        <w:pageBreakBefore w:val="0"/>
        <w:kinsoku/>
        <w:wordWrap/>
        <w:overflowPunct/>
        <w:topLinePunct w:val="0"/>
        <w:autoSpaceDE/>
        <w:autoSpaceDN/>
        <w:bidi w:val="0"/>
        <w:spacing w:before="0" w:after="0" w:line="600" w:lineRule="exact"/>
        <w:textAlignment w:val="auto"/>
        <w:rPr>
          <w:rFonts w:ascii="仿宋" w:hAnsi="仿宋" w:eastAsia="仿宋"/>
          <w:color w:val="000000"/>
        </w:rPr>
      </w:pPr>
      <w:bookmarkStart w:id="69" w:name="_Toc17103572"/>
      <w:r>
        <w:rPr>
          <w:rFonts w:hint="eastAsia" w:ascii="仿宋" w:hAnsi="仿宋" w:eastAsia="仿宋"/>
          <w:b w:val="0"/>
          <w:color w:val="000000"/>
        </w:rPr>
        <w:t>二、收</w:t>
      </w:r>
      <w:r>
        <w:rPr>
          <w:rStyle w:val="26"/>
          <w:rFonts w:hint="eastAsia" w:ascii="仿宋" w:hAnsi="仿宋" w:eastAsia="仿宋"/>
          <w:b w:val="0"/>
          <w:bCs w:val="0"/>
        </w:rPr>
        <w:t>入决算表</w:t>
      </w:r>
      <w:bookmarkEnd w:id="69"/>
    </w:p>
    <w:p>
      <w:pPr>
        <w:pStyle w:val="3"/>
        <w:pageBreakBefore w:val="0"/>
        <w:kinsoku/>
        <w:wordWrap/>
        <w:overflowPunct/>
        <w:topLinePunct w:val="0"/>
        <w:autoSpaceDE/>
        <w:autoSpaceDN/>
        <w:bidi w:val="0"/>
        <w:spacing w:before="0" w:after="0" w:line="600" w:lineRule="exact"/>
        <w:textAlignment w:val="auto"/>
        <w:rPr>
          <w:rFonts w:ascii="仿宋" w:hAnsi="仿宋" w:eastAsia="仿宋"/>
          <w:color w:val="000000"/>
        </w:rPr>
      </w:pPr>
      <w:bookmarkStart w:id="70" w:name="_Toc17103573"/>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70"/>
    </w:p>
    <w:p>
      <w:pPr>
        <w:pStyle w:val="3"/>
        <w:pageBreakBefore w:val="0"/>
        <w:kinsoku/>
        <w:wordWrap/>
        <w:overflowPunct/>
        <w:topLinePunct w:val="0"/>
        <w:autoSpaceDE/>
        <w:autoSpaceDN/>
        <w:bidi w:val="0"/>
        <w:spacing w:before="0" w:after="0" w:line="600" w:lineRule="exact"/>
        <w:textAlignment w:val="auto"/>
        <w:rPr>
          <w:rFonts w:ascii="仿宋" w:hAnsi="仿宋" w:eastAsia="仿宋"/>
          <w:b w:val="0"/>
          <w:color w:val="000000"/>
        </w:rPr>
      </w:pPr>
      <w:bookmarkStart w:id="71" w:name="_Toc17103574"/>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71"/>
    </w:p>
    <w:p>
      <w:pPr>
        <w:pStyle w:val="3"/>
        <w:pageBreakBefore w:val="0"/>
        <w:kinsoku/>
        <w:wordWrap/>
        <w:overflowPunct/>
        <w:topLinePunct w:val="0"/>
        <w:autoSpaceDE/>
        <w:autoSpaceDN/>
        <w:bidi w:val="0"/>
        <w:spacing w:before="0" w:after="0" w:line="600" w:lineRule="exact"/>
        <w:textAlignment w:val="auto"/>
        <w:rPr>
          <w:rFonts w:ascii="仿宋" w:hAnsi="仿宋" w:eastAsia="仿宋"/>
          <w:color w:val="000000"/>
        </w:rPr>
      </w:pPr>
      <w:bookmarkStart w:id="72" w:name="_Toc17103575"/>
      <w:r>
        <w:rPr>
          <w:rStyle w:val="26"/>
          <w:rFonts w:hint="eastAsia" w:ascii="仿宋" w:hAnsi="仿宋" w:eastAsia="仿宋"/>
          <w:b w:val="0"/>
          <w:bCs w:val="0"/>
        </w:rPr>
        <w:t>五、</w:t>
      </w:r>
      <w:bookmarkEnd w:id="72"/>
      <w:bookmarkStart w:id="73" w:name="_Toc17103576"/>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73"/>
    </w:p>
    <w:p>
      <w:pPr>
        <w:pStyle w:val="3"/>
        <w:pageBreakBefore w:val="0"/>
        <w:kinsoku/>
        <w:wordWrap/>
        <w:overflowPunct/>
        <w:topLinePunct w:val="0"/>
        <w:autoSpaceDE/>
        <w:autoSpaceDN/>
        <w:bidi w:val="0"/>
        <w:spacing w:before="0" w:after="0" w:line="600" w:lineRule="exact"/>
        <w:textAlignment w:val="auto"/>
        <w:rPr>
          <w:rFonts w:ascii="仿宋" w:hAnsi="仿宋" w:eastAsia="仿宋"/>
          <w:color w:val="000000"/>
        </w:rPr>
      </w:pPr>
      <w:bookmarkStart w:id="74" w:name="_Toc17103577"/>
      <w:r>
        <w:rPr>
          <w:rStyle w:val="26"/>
          <w:rFonts w:hint="eastAsia" w:ascii="仿宋" w:hAnsi="仿宋" w:eastAsia="仿宋"/>
          <w:b w:val="0"/>
          <w:bCs w:val="0"/>
        </w:rPr>
        <w:t>六、</w:t>
      </w:r>
      <w:bookmarkEnd w:id="74"/>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p>
    <w:p>
      <w:pPr>
        <w:pStyle w:val="3"/>
        <w:pageBreakBefore w:val="0"/>
        <w:kinsoku/>
        <w:wordWrap/>
        <w:overflowPunct/>
        <w:topLinePunct w:val="0"/>
        <w:autoSpaceDE/>
        <w:autoSpaceDN/>
        <w:bidi w:val="0"/>
        <w:spacing w:before="0" w:after="0" w:line="600" w:lineRule="exact"/>
        <w:textAlignment w:val="auto"/>
        <w:rPr>
          <w:rStyle w:val="26"/>
          <w:rFonts w:ascii="仿宋" w:hAnsi="仿宋" w:eastAsia="仿宋"/>
          <w:b w:val="0"/>
          <w:bCs w:val="0"/>
        </w:rPr>
      </w:pPr>
      <w:bookmarkStart w:id="75" w:name="_Toc17103578"/>
      <w:r>
        <w:rPr>
          <w:rStyle w:val="26"/>
          <w:rFonts w:hint="eastAsia" w:ascii="仿宋" w:hAnsi="仿宋" w:eastAsia="仿宋"/>
          <w:b w:val="0"/>
          <w:bCs w:val="0"/>
        </w:rPr>
        <w:t>七、</w:t>
      </w:r>
      <w:bookmarkEnd w:id="75"/>
      <w:r>
        <w:rPr>
          <w:rStyle w:val="26"/>
          <w:rFonts w:hint="eastAsia" w:ascii="仿宋" w:hAnsi="仿宋" w:eastAsia="仿宋"/>
          <w:b w:val="0"/>
          <w:bCs w:val="0"/>
        </w:rPr>
        <w:t>一般公共预算财政拨款“三公”经费支出决算表</w:t>
      </w:r>
    </w:p>
    <w:p>
      <w:pPr>
        <w:pStyle w:val="3"/>
        <w:pageBreakBefore w:val="0"/>
        <w:kinsoku/>
        <w:wordWrap/>
        <w:overflowPunct/>
        <w:topLinePunct w:val="0"/>
        <w:autoSpaceDE/>
        <w:autoSpaceDN/>
        <w:bidi w:val="0"/>
        <w:spacing w:before="0" w:after="0" w:line="600" w:lineRule="exact"/>
        <w:textAlignment w:val="auto"/>
        <w:rPr>
          <w:rStyle w:val="26"/>
          <w:rFonts w:ascii="仿宋" w:hAnsi="仿宋" w:eastAsia="仿宋"/>
          <w:b w:val="0"/>
          <w:bCs w:val="0"/>
        </w:rPr>
      </w:pPr>
      <w:r>
        <w:rPr>
          <w:rStyle w:val="26"/>
          <w:rFonts w:hint="eastAsia" w:ascii="仿宋" w:hAnsi="仿宋" w:eastAsia="仿宋"/>
          <w:b w:val="0"/>
          <w:bCs w:val="0"/>
        </w:rPr>
        <w:t>八、</w:t>
      </w:r>
      <w:r>
        <w:rPr>
          <w:rFonts w:hint="eastAsia" w:ascii="仿宋" w:hAnsi="仿宋" w:eastAsia="仿宋"/>
          <w:b w:val="0"/>
          <w:color w:val="000000"/>
        </w:rPr>
        <w:t>政府性基金预算财政拨款收入支出决算表</w:t>
      </w:r>
    </w:p>
    <w:p>
      <w:pPr>
        <w:spacing w:line="600" w:lineRule="exact"/>
        <w:jc w:val="center"/>
        <w:outlineLvl w:val="0"/>
        <w:rPr>
          <w:rFonts w:ascii="仿宋" w:hAnsi="仿宋" w:eastAsia="仿宋"/>
          <w:b/>
          <w:color w:val="000000"/>
          <w:sz w:val="44"/>
          <w:szCs w:val="44"/>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29</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A047D"/>
    <w:multiLevelType w:val="singleLevel"/>
    <w:tmpl w:val="E2FA047D"/>
    <w:lvl w:ilvl="0" w:tentative="0">
      <w:start w:val="3"/>
      <w:numFmt w:val="chineseCounting"/>
      <w:suff w:val="space"/>
      <w:lvlText w:val="第%1部分"/>
      <w:lvlJc w:val="left"/>
      <w:rPr>
        <w:rFonts w:hint="eastAsia"/>
      </w:rPr>
    </w:lvl>
  </w:abstractNum>
  <w:abstractNum w:abstractNumId="1">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2">
    <w:nsid w:val="6D6915AB"/>
    <w:multiLevelType w:val="multilevel"/>
    <w:tmpl w:val="6D6915AB"/>
    <w:lvl w:ilvl="0" w:tentative="0">
      <w:start w:val="1"/>
      <w:numFmt w:val="japaneseCounting"/>
      <w:lvlText w:val="%1、"/>
      <w:lvlJc w:val="left"/>
      <w:pPr>
        <w:ind w:left="1350" w:hanging="720"/>
      </w:pPr>
      <w:rPr>
        <w:rFonts w:hint="default" w:cs="Times New Roman"/>
        <w:color w:val="000000"/>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RkM2E1ZGVlNzgyNzY2MGQyMTI0MGQ0ZjhiZDgwZTUifQ=="/>
  </w:docVars>
  <w:rsids>
    <w:rsidRoot w:val="00F1361C"/>
    <w:rsid w:val="00002624"/>
    <w:rsid w:val="000222C6"/>
    <w:rsid w:val="0002549F"/>
    <w:rsid w:val="0003385C"/>
    <w:rsid w:val="00046DB1"/>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03AC"/>
    <w:rsid w:val="000E6613"/>
    <w:rsid w:val="000E7119"/>
    <w:rsid w:val="000F23D3"/>
    <w:rsid w:val="00114E9B"/>
    <w:rsid w:val="0014729F"/>
    <w:rsid w:val="00157BAB"/>
    <w:rsid w:val="001654D1"/>
    <w:rsid w:val="0018106D"/>
    <w:rsid w:val="001877A7"/>
    <w:rsid w:val="00191536"/>
    <w:rsid w:val="00196687"/>
    <w:rsid w:val="001A7127"/>
    <w:rsid w:val="001C0962"/>
    <w:rsid w:val="001D7531"/>
    <w:rsid w:val="001E737D"/>
    <w:rsid w:val="001F0336"/>
    <w:rsid w:val="001F0592"/>
    <w:rsid w:val="001F7506"/>
    <w:rsid w:val="002006CD"/>
    <w:rsid w:val="00202B36"/>
    <w:rsid w:val="00204B7A"/>
    <w:rsid w:val="0021101A"/>
    <w:rsid w:val="00220536"/>
    <w:rsid w:val="00235629"/>
    <w:rsid w:val="00260C38"/>
    <w:rsid w:val="002616C0"/>
    <w:rsid w:val="002662AA"/>
    <w:rsid w:val="00280496"/>
    <w:rsid w:val="0028453E"/>
    <w:rsid w:val="00295495"/>
    <w:rsid w:val="002B0764"/>
    <w:rsid w:val="002B2613"/>
    <w:rsid w:val="002C4E4C"/>
    <w:rsid w:val="002F1818"/>
    <w:rsid w:val="002F567B"/>
    <w:rsid w:val="002F7FD3"/>
    <w:rsid w:val="00300DD7"/>
    <w:rsid w:val="00303BB0"/>
    <w:rsid w:val="003216A9"/>
    <w:rsid w:val="00335C97"/>
    <w:rsid w:val="0037013F"/>
    <w:rsid w:val="00370E28"/>
    <w:rsid w:val="00380C92"/>
    <w:rsid w:val="003A484F"/>
    <w:rsid w:val="003B0BE0"/>
    <w:rsid w:val="003B0C1B"/>
    <w:rsid w:val="003B0F0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75FC9"/>
    <w:rsid w:val="0048263A"/>
    <w:rsid w:val="00487E5D"/>
    <w:rsid w:val="004A711F"/>
    <w:rsid w:val="004B199D"/>
    <w:rsid w:val="004B4690"/>
    <w:rsid w:val="004C12F5"/>
    <w:rsid w:val="004E0A2D"/>
    <w:rsid w:val="004E206B"/>
    <w:rsid w:val="004E6DF7"/>
    <w:rsid w:val="004F0FBD"/>
    <w:rsid w:val="00505A47"/>
    <w:rsid w:val="005112A5"/>
    <w:rsid w:val="00512FDA"/>
    <w:rsid w:val="00520DA0"/>
    <w:rsid w:val="0053173C"/>
    <w:rsid w:val="005664BB"/>
    <w:rsid w:val="0057481D"/>
    <w:rsid w:val="0058203D"/>
    <w:rsid w:val="0058486E"/>
    <w:rsid w:val="00586226"/>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059CF"/>
    <w:rsid w:val="007127B7"/>
    <w:rsid w:val="007416B6"/>
    <w:rsid w:val="00746F48"/>
    <w:rsid w:val="0075404D"/>
    <w:rsid w:val="0076182A"/>
    <w:rsid w:val="0076689A"/>
    <w:rsid w:val="00767B7E"/>
    <w:rsid w:val="007770C3"/>
    <w:rsid w:val="00784D24"/>
    <w:rsid w:val="00785FBA"/>
    <w:rsid w:val="00786E4A"/>
    <w:rsid w:val="007875EB"/>
    <w:rsid w:val="0079426B"/>
    <w:rsid w:val="007A40A1"/>
    <w:rsid w:val="007A4C4B"/>
    <w:rsid w:val="007D312A"/>
    <w:rsid w:val="007D3F19"/>
    <w:rsid w:val="007E23B0"/>
    <w:rsid w:val="007E6A10"/>
    <w:rsid w:val="007F1991"/>
    <w:rsid w:val="007F2C2F"/>
    <w:rsid w:val="007F55FC"/>
    <w:rsid w:val="007F5665"/>
    <w:rsid w:val="00800112"/>
    <w:rsid w:val="008076A0"/>
    <w:rsid w:val="008253BB"/>
    <w:rsid w:val="0083706E"/>
    <w:rsid w:val="008423A5"/>
    <w:rsid w:val="00850625"/>
    <w:rsid w:val="00853718"/>
    <w:rsid w:val="00855221"/>
    <w:rsid w:val="00860645"/>
    <w:rsid w:val="00871F71"/>
    <w:rsid w:val="00885AF4"/>
    <w:rsid w:val="008939CD"/>
    <w:rsid w:val="008A6214"/>
    <w:rsid w:val="008B768C"/>
    <w:rsid w:val="008C0FF5"/>
    <w:rsid w:val="008C4DB1"/>
    <w:rsid w:val="008C4EAF"/>
    <w:rsid w:val="008C5176"/>
    <w:rsid w:val="008C7FD0"/>
    <w:rsid w:val="008E1DE7"/>
    <w:rsid w:val="008E707C"/>
    <w:rsid w:val="00900B08"/>
    <w:rsid w:val="00902155"/>
    <w:rsid w:val="00902FA3"/>
    <w:rsid w:val="00923564"/>
    <w:rsid w:val="0092392E"/>
    <w:rsid w:val="00927BD1"/>
    <w:rsid w:val="009315F9"/>
    <w:rsid w:val="00946945"/>
    <w:rsid w:val="00947661"/>
    <w:rsid w:val="00951248"/>
    <w:rsid w:val="0095152F"/>
    <w:rsid w:val="00954C49"/>
    <w:rsid w:val="0096113B"/>
    <w:rsid w:val="0097099F"/>
    <w:rsid w:val="00971997"/>
    <w:rsid w:val="00971FFC"/>
    <w:rsid w:val="0098660A"/>
    <w:rsid w:val="009931C3"/>
    <w:rsid w:val="009B2C43"/>
    <w:rsid w:val="009B4EAE"/>
    <w:rsid w:val="009B7573"/>
    <w:rsid w:val="009C22F4"/>
    <w:rsid w:val="009C2E98"/>
    <w:rsid w:val="009C69CF"/>
    <w:rsid w:val="009D3447"/>
    <w:rsid w:val="009D4711"/>
    <w:rsid w:val="009F1185"/>
    <w:rsid w:val="009F18CD"/>
    <w:rsid w:val="009F2A13"/>
    <w:rsid w:val="00A04EB0"/>
    <w:rsid w:val="00A13CC1"/>
    <w:rsid w:val="00A16847"/>
    <w:rsid w:val="00A237D8"/>
    <w:rsid w:val="00A268C4"/>
    <w:rsid w:val="00A307CD"/>
    <w:rsid w:val="00A40A00"/>
    <w:rsid w:val="00A4142F"/>
    <w:rsid w:val="00A4772C"/>
    <w:rsid w:val="00A56DF2"/>
    <w:rsid w:val="00A67AB5"/>
    <w:rsid w:val="00A91760"/>
    <w:rsid w:val="00A93B00"/>
    <w:rsid w:val="00A93C21"/>
    <w:rsid w:val="00AC3C6A"/>
    <w:rsid w:val="00AD5620"/>
    <w:rsid w:val="00AD7C1B"/>
    <w:rsid w:val="00AE16BA"/>
    <w:rsid w:val="00AE1EBE"/>
    <w:rsid w:val="00AF5B3D"/>
    <w:rsid w:val="00B03C9D"/>
    <w:rsid w:val="00B060AE"/>
    <w:rsid w:val="00B10517"/>
    <w:rsid w:val="00B14E76"/>
    <w:rsid w:val="00B161B8"/>
    <w:rsid w:val="00B2048C"/>
    <w:rsid w:val="00B231D8"/>
    <w:rsid w:val="00B310B9"/>
    <w:rsid w:val="00B35F3F"/>
    <w:rsid w:val="00B36CBB"/>
    <w:rsid w:val="00B425E0"/>
    <w:rsid w:val="00B440AA"/>
    <w:rsid w:val="00B44B70"/>
    <w:rsid w:val="00B53C56"/>
    <w:rsid w:val="00B6345D"/>
    <w:rsid w:val="00B77EA6"/>
    <w:rsid w:val="00B81598"/>
    <w:rsid w:val="00B841F1"/>
    <w:rsid w:val="00B944D6"/>
    <w:rsid w:val="00BB4DF0"/>
    <w:rsid w:val="00BC289F"/>
    <w:rsid w:val="00BC5361"/>
    <w:rsid w:val="00BC5460"/>
    <w:rsid w:val="00BC6B50"/>
    <w:rsid w:val="00BC6CDF"/>
    <w:rsid w:val="00BD0E25"/>
    <w:rsid w:val="00BF5BD6"/>
    <w:rsid w:val="00C01FD3"/>
    <w:rsid w:val="00C03E31"/>
    <w:rsid w:val="00C33E72"/>
    <w:rsid w:val="00C354B2"/>
    <w:rsid w:val="00C35554"/>
    <w:rsid w:val="00C42709"/>
    <w:rsid w:val="00C533CC"/>
    <w:rsid w:val="00C5751C"/>
    <w:rsid w:val="00C61BFC"/>
    <w:rsid w:val="00C62B85"/>
    <w:rsid w:val="00C65438"/>
    <w:rsid w:val="00C71AF3"/>
    <w:rsid w:val="00C77603"/>
    <w:rsid w:val="00C91CBB"/>
    <w:rsid w:val="00CC09B6"/>
    <w:rsid w:val="00CC666F"/>
    <w:rsid w:val="00CD1E3F"/>
    <w:rsid w:val="00CE44F6"/>
    <w:rsid w:val="00CE49DA"/>
    <w:rsid w:val="00CE7B61"/>
    <w:rsid w:val="00CF2103"/>
    <w:rsid w:val="00CF73F9"/>
    <w:rsid w:val="00D00095"/>
    <w:rsid w:val="00D20620"/>
    <w:rsid w:val="00D26091"/>
    <w:rsid w:val="00D34E7C"/>
    <w:rsid w:val="00D35489"/>
    <w:rsid w:val="00D51276"/>
    <w:rsid w:val="00D7035F"/>
    <w:rsid w:val="00DA65AC"/>
    <w:rsid w:val="00DB1913"/>
    <w:rsid w:val="00DB283C"/>
    <w:rsid w:val="00DC410D"/>
    <w:rsid w:val="00DC68CA"/>
    <w:rsid w:val="00DC7CBA"/>
    <w:rsid w:val="00DD73B7"/>
    <w:rsid w:val="00DF28BC"/>
    <w:rsid w:val="00DF34B9"/>
    <w:rsid w:val="00E01053"/>
    <w:rsid w:val="00E07ACF"/>
    <w:rsid w:val="00E32315"/>
    <w:rsid w:val="00E331A1"/>
    <w:rsid w:val="00E33202"/>
    <w:rsid w:val="00E336A9"/>
    <w:rsid w:val="00E41BAE"/>
    <w:rsid w:val="00E50624"/>
    <w:rsid w:val="00E568DF"/>
    <w:rsid w:val="00E64269"/>
    <w:rsid w:val="00E82267"/>
    <w:rsid w:val="00EA010F"/>
    <w:rsid w:val="00EB1BDB"/>
    <w:rsid w:val="00ED1B63"/>
    <w:rsid w:val="00ED3C1F"/>
    <w:rsid w:val="00ED4085"/>
    <w:rsid w:val="00ED420E"/>
    <w:rsid w:val="00EE2F57"/>
    <w:rsid w:val="00EE7854"/>
    <w:rsid w:val="00EF4C34"/>
    <w:rsid w:val="00EF77C6"/>
    <w:rsid w:val="00F05438"/>
    <w:rsid w:val="00F11EB9"/>
    <w:rsid w:val="00F1361C"/>
    <w:rsid w:val="00F13C32"/>
    <w:rsid w:val="00F160C7"/>
    <w:rsid w:val="00F17C65"/>
    <w:rsid w:val="00F36D8F"/>
    <w:rsid w:val="00F417B1"/>
    <w:rsid w:val="00F602DF"/>
    <w:rsid w:val="00F81FD9"/>
    <w:rsid w:val="00F841AA"/>
    <w:rsid w:val="00FA23E8"/>
    <w:rsid w:val="00FB6361"/>
    <w:rsid w:val="00FD3CC1"/>
    <w:rsid w:val="00FE2E08"/>
    <w:rsid w:val="00FF1E02"/>
    <w:rsid w:val="00FF30B4"/>
    <w:rsid w:val="10C055FF"/>
    <w:rsid w:val="16BB723D"/>
    <w:rsid w:val="22757B18"/>
    <w:rsid w:val="240371BF"/>
    <w:rsid w:val="29B20FE7"/>
    <w:rsid w:val="29FD04D3"/>
    <w:rsid w:val="2D633CEC"/>
    <w:rsid w:val="319F7F4E"/>
    <w:rsid w:val="4F5254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paragraph" w:customStyle="1" w:styleId="30">
    <w:name w:val="Normal_0"/>
    <w:qFormat/>
    <w:uiPriority w:val="0"/>
    <w:pPr>
      <w:widowControl w:val="0"/>
      <w:jc w:val="both"/>
    </w:pPr>
    <w:rPr>
      <w:rFonts w:ascii="宋体" w:hAnsi="宋体" w:eastAsia="宋体" w:cs="Times New Roman"/>
      <w:kern w:val="2"/>
      <w:sz w:val="28"/>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c:v>
                </c:pt>
              </c:strCache>
            </c:strRef>
          </c:tx>
          <c:invertIfNegative val="0"/>
          <c:dLbls>
            <c:delete val="1"/>
          </c:dLbls>
          <c:cat>
            <c:strRef>
              <c:f>Sheet1!$A$2:$A$3</c:f>
              <c:strCache>
                <c:ptCount val="2"/>
                <c:pt idx="0">
                  <c:v>2019年</c:v>
                </c:pt>
                <c:pt idx="1">
                  <c:v>2018年</c:v>
                </c:pt>
              </c:strCache>
            </c:strRef>
          </c:cat>
          <c:val>
            <c:numRef>
              <c:f>Sheet1!$B$2:$B$3</c:f>
              <c:numCache>
                <c:formatCode>General</c:formatCode>
                <c:ptCount val="2"/>
                <c:pt idx="0">
                  <c:v>215.69</c:v>
                </c:pt>
                <c:pt idx="1">
                  <c:v>221.89</c:v>
                </c:pt>
              </c:numCache>
            </c:numRef>
          </c:val>
        </c:ser>
        <c:ser>
          <c:idx val="1"/>
          <c:order val="1"/>
          <c:tx>
            <c:strRef>
              <c:f>Sheet1!$C$1</c:f>
              <c:strCache>
                <c:ptCount val="1"/>
                <c:pt idx="0">
                  <c:v>支出</c:v>
                </c:pt>
              </c:strCache>
            </c:strRef>
          </c:tx>
          <c:invertIfNegative val="0"/>
          <c:dLbls>
            <c:delete val="1"/>
          </c:dLbls>
          <c:cat>
            <c:strRef>
              <c:f>Sheet1!$A$2:$A$3</c:f>
              <c:strCache>
                <c:ptCount val="2"/>
                <c:pt idx="0">
                  <c:v>2019年</c:v>
                </c:pt>
                <c:pt idx="1">
                  <c:v>2018年</c:v>
                </c:pt>
              </c:strCache>
            </c:strRef>
          </c:cat>
          <c:val>
            <c:numRef>
              <c:f>Sheet1!$C$2:$C$3</c:f>
              <c:numCache>
                <c:formatCode>General</c:formatCode>
                <c:ptCount val="2"/>
                <c:pt idx="0">
                  <c:v>215.69</c:v>
                </c:pt>
                <c:pt idx="1">
                  <c:v>221.89</c:v>
                </c:pt>
              </c:numCache>
            </c:numRef>
          </c:val>
        </c:ser>
        <c:dLbls>
          <c:showLegendKey val="0"/>
          <c:showVal val="0"/>
          <c:showCatName val="0"/>
          <c:showSerName val="0"/>
          <c:showPercent val="0"/>
          <c:showBubbleSize val="0"/>
        </c:dLbls>
        <c:gapWidth val="150"/>
        <c:axId val="102610432"/>
        <c:axId val="103655296"/>
      </c:barChart>
      <c:catAx>
        <c:axId val="10261043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3655296"/>
        <c:crosses val="autoZero"/>
        <c:auto val="1"/>
        <c:lblAlgn val="ctr"/>
        <c:lblOffset val="100"/>
        <c:noMultiLvlLbl val="0"/>
      </c:catAx>
      <c:valAx>
        <c:axId val="10365529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261043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本年收入</c:v>
                </c:pt>
              </c:strCache>
            </c:strRef>
          </c:tx>
          <c:explosion val="0"/>
          <c:dPt>
            <c:idx val="0"/>
            <c:bubble3D val="0"/>
          </c:dPt>
          <c:dLbls>
            <c:delete val="1"/>
          </c:dLbls>
          <c:cat>
            <c:strRef>
              <c:f>Sheet1!$A$2</c:f>
              <c:strCache>
                <c:ptCount val="1"/>
                <c:pt idx="0">
                  <c:v>一般公共预算财政拨款收入</c:v>
                </c:pt>
              </c:strCache>
            </c:strRef>
          </c:cat>
          <c:val>
            <c:numRef>
              <c:f>Sheet1!$B$2</c:f>
              <c:numCache>
                <c:formatCode>0%</c:formatCode>
                <c:ptCount val="1"/>
                <c:pt idx="0">
                  <c:v>1</c:v>
                </c:pt>
              </c:numCache>
            </c:numRef>
          </c:val>
        </c:ser>
        <c:dLbls>
          <c:showLegendKey val="0"/>
          <c:showVal val="0"/>
          <c:showCatName val="0"/>
          <c:showSerName val="0"/>
          <c:showPercent val="0"/>
          <c:showBubbleSize val="0"/>
          <c:showLeaderLines val="1"/>
        </c:dLbls>
        <c:firstSliceAng val="0"/>
      </c:pieChart>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本年支出</c:v>
                </c:pt>
              </c:strCache>
            </c:strRef>
          </c:tx>
          <c:explosion val="0"/>
          <c:dPt>
            <c:idx val="0"/>
            <c:bubble3D val="0"/>
          </c:dPt>
          <c:dPt>
            <c:idx val="1"/>
            <c:bubble3D val="0"/>
          </c:dPt>
          <c:dLbls>
            <c:delete val="1"/>
          </c:dLbls>
          <c:cat>
            <c:strRef>
              <c:f>Sheet1!$A$2:$A$3</c:f>
              <c:strCache>
                <c:ptCount val="2"/>
                <c:pt idx="0">
                  <c:v>基本支出</c:v>
                </c:pt>
                <c:pt idx="1">
                  <c:v>项目支出</c:v>
                </c:pt>
              </c:strCache>
            </c:strRef>
          </c:cat>
          <c:val>
            <c:numRef>
              <c:f>Sheet1!$B$2:$B$3</c:f>
              <c:numCache>
                <c:formatCode>0%</c:formatCode>
                <c:ptCount val="2"/>
                <c:pt idx="0">
                  <c:v>0.4</c:v>
                </c:pt>
                <c:pt idx="1">
                  <c:v>0.6</c:v>
                </c:pt>
              </c:numCache>
            </c:numRef>
          </c:val>
        </c:ser>
        <c:dLbls>
          <c:showLegendKey val="0"/>
          <c:showVal val="0"/>
          <c:showCatName val="0"/>
          <c:showSerName val="0"/>
          <c:showPercent val="0"/>
          <c:showBubbleSize val="0"/>
          <c:showLeaderLines val="1"/>
        </c:dLbls>
        <c:firstSliceAng val="0"/>
      </c:pieChart>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财政拨款收入</c:v>
                </c:pt>
              </c:strCache>
            </c:strRef>
          </c:tx>
          <c:invertIfNegative val="0"/>
          <c:dLbls>
            <c:delete val="1"/>
          </c:dLbls>
          <c:cat>
            <c:strRef>
              <c:f>Sheet1!$A$2:$A$3</c:f>
              <c:strCache>
                <c:ptCount val="2"/>
                <c:pt idx="0">
                  <c:v>2017年</c:v>
                </c:pt>
                <c:pt idx="1">
                  <c:v>2018年</c:v>
                </c:pt>
              </c:strCache>
            </c:strRef>
          </c:cat>
          <c:val>
            <c:numRef>
              <c:f>Sheet1!$B$2:$B$3</c:f>
              <c:numCache>
                <c:formatCode>General</c:formatCode>
                <c:ptCount val="2"/>
                <c:pt idx="0">
                  <c:v>184.99</c:v>
                </c:pt>
                <c:pt idx="1">
                  <c:v>221.89</c:v>
                </c:pt>
              </c:numCache>
            </c:numRef>
          </c:val>
        </c:ser>
        <c:ser>
          <c:idx val="1"/>
          <c:order val="1"/>
          <c:tx>
            <c:strRef>
              <c:f>Sheet1!$C$1</c:f>
              <c:strCache>
                <c:ptCount val="1"/>
                <c:pt idx="0">
                  <c:v>财政拨款支出</c:v>
                </c:pt>
              </c:strCache>
            </c:strRef>
          </c:tx>
          <c:invertIfNegative val="0"/>
          <c:dLbls>
            <c:delete val="1"/>
          </c:dLbls>
          <c:cat>
            <c:strRef>
              <c:f>Sheet1!$A$2:$A$3</c:f>
              <c:strCache>
                <c:ptCount val="2"/>
                <c:pt idx="0">
                  <c:v>2017年</c:v>
                </c:pt>
                <c:pt idx="1">
                  <c:v>2018年</c:v>
                </c:pt>
              </c:strCache>
            </c:strRef>
          </c:cat>
          <c:val>
            <c:numRef>
              <c:f>Sheet1!$C$2:$C$3</c:f>
              <c:numCache>
                <c:formatCode>General</c:formatCode>
                <c:ptCount val="2"/>
                <c:pt idx="0">
                  <c:v>184.99</c:v>
                </c:pt>
                <c:pt idx="1">
                  <c:v>221.89</c:v>
                </c:pt>
              </c:numCache>
            </c:numRef>
          </c:val>
        </c:ser>
        <c:dLbls>
          <c:showLegendKey val="0"/>
          <c:showVal val="0"/>
          <c:showCatName val="0"/>
          <c:showSerName val="0"/>
          <c:showPercent val="0"/>
          <c:showBubbleSize val="0"/>
        </c:dLbls>
        <c:gapWidth val="150"/>
        <c:axId val="204207232"/>
        <c:axId val="205677312"/>
      </c:barChart>
      <c:catAx>
        <c:axId val="20420723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5677312"/>
        <c:crosses val="autoZero"/>
        <c:auto val="1"/>
        <c:lblAlgn val="ctr"/>
        <c:lblOffset val="100"/>
        <c:noMultiLvlLbl val="0"/>
      </c:catAx>
      <c:valAx>
        <c:axId val="20567731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4207232"/>
        <c:crosses val="autoZero"/>
        <c:crossBetween val="between"/>
      </c:valAx>
    </c:plotArea>
    <c:legend>
      <c:legendPos val="r"/>
      <c:layout/>
      <c:overlay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sz="1000" baseline="0"/>
              <a:t>一般公共预算财政拨款支出</a:t>
            </a:r>
            <a:endParaRPr lang="zh-CN" altLang="en-US" sz="1000" baseline="0"/>
          </a:p>
        </c:rich>
      </c:tx>
      <c:layout/>
      <c:overlay val="0"/>
    </c:title>
    <c:autoTitleDeleted val="0"/>
    <c:plotArea>
      <c:layout/>
      <c:barChart>
        <c:barDir val="col"/>
        <c:grouping val="clustered"/>
        <c:varyColors val="0"/>
        <c:ser>
          <c:idx val="0"/>
          <c:order val="0"/>
          <c:tx>
            <c:strRef>
              <c:f>Sheet1!$B$1</c:f>
              <c:strCache>
                <c:ptCount val="1"/>
                <c:pt idx="0">
                  <c:v>一般公共预算财政拨款支出</c:v>
                </c:pt>
              </c:strCache>
            </c:strRef>
          </c:tx>
          <c:invertIfNegative val="0"/>
          <c:dLbls>
            <c:delete val="1"/>
          </c:dLbls>
          <c:cat>
            <c:strRef>
              <c:f>Sheet1!$A$2:$A$3</c:f>
              <c:strCache>
                <c:ptCount val="2"/>
                <c:pt idx="0">
                  <c:v>2019年</c:v>
                </c:pt>
                <c:pt idx="1">
                  <c:v>2018年</c:v>
                </c:pt>
              </c:strCache>
            </c:strRef>
          </c:cat>
          <c:val>
            <c:numRef>
              <c:f>Sheet1!$B$2:$B$3</c:f>
              <c:numCache>
                <c:formatCode>General</c:formatCode>
                <c:ptCount val="2"/>
                <c:pt idx="0">
                  <c:v>105.01</c:v>
                </c:pt>
                <c:pt idx="1">
                  <c:v>116.68</c:v>
                </c:pt>
              </c:numCache>
            </c:numRef>
          </c:val>
        </c:ser>
        <c:dLbls>
          <c:showLegendKey val="0"/>
          <c:showVal val="0"/>
          <c:showCatName val="0"/>
          <c:showSerName val="0"/>
          <c:showPercent val="0"/>
          <c:showBubbleSize val="0"/>
        </c:dLbls>
        <c:gapWidth val="150"/>
        <c:axId val="207087488"/>
        <c:axId val="210255872"/>
      </c:barChart>
      <c:catAx>
        <c:axId val="20708748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0255872"/>
        <c:crosses val="autoZero"/>
        <c:auto val="1"/>
        <c:lblAlgn val="ctr"/>
        <c:lblOffset val="100"/>
        <c:noMultiLvlLbl val="0"/>
      </c:catAx>
      <c:valAx>
        <c:axId val="21025587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708748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一般公共预算财政拨款支出</c:v>
                </c:pt>
              </c:strCache>
            </c:strRef>
          </c:tx>
          <c:explosion val="0"/>
          <c:dPt>
            <c:idx val="0"/>
            <c:bubble3D val="0"/>
          </c:dPt>
          <c:dPt>
            <c:idx val="1"/>
            <c:bubble3D val="0"/>
          </c:dPt>
          <c:dPt>
            <c:idx val="2"/>
            <c:bubble3D val="0"/>
          </c:dPt>
          <c:dPt>
            <c:idx val="3"/>
            <c:bubble3D val="0"/>
          </c:dPt>
          <c:dLbls>
            <c:delete val="1"/>
          </c:dLbls>
          <c:cat>
            <c:strRef>
              <c:f>Sheet1!$A$2:$A$5</c:f>
              <c:strCache>
                <c:ptCount val="4"/>
                <c:pt idx="0">
                  <c:v>一般公共服务类</c:v>
                </c:pt>
                <c:pt idx="1">
                  <c:v>社会保障就业类</c:v>
                </c:pt>
                <c:pt idx="2">
                  <c:v>医疗卫生支出</c:v>
                </c:pt>
                <c:pt idx="3">
                  <c:v>住房保障支出</c:v>
                </c:pt>
              </c:strCache>
            </c:strRef>
          </c:cat>
          <c:val>
            <c:numRef>
              <c:f>Sheet1!$B$2:$B$5</c:f>
              <c:numCache>
                <c:formatCode>0%</c:formatCode>
                <c:ptCount val="4"/>
                <c:pt idx="0">
                  <c:v>0.93</c:v>
                </c:pt>
                <c:pt idx="1">
                  <c:v>0.04</c:v>
                </c:pt>
                <c:pt idx="2">
                  <c:v>0.02</c:v>
                </c:pt>
                <c:pt idx="3">
                  <c:v>0.01</c:v>
                </c:pt>
              </c:numCache>
            </c:numRef>
          </c:val>
        </c:ser>
        <c:dLbls>
          <c:showLegendKey val="0"/>
          <c:showVal val="0"/>
          <c:showCatName val="0"/>
          <c:showSerName val="0"/>
          <c:showPercent val="0"/>
          <c:showBubbleSize val="0"/>
          <c:showLeaderLines val="1"/>
        </c:dLbls>
        <c:firstSliceAng val="0"/>
      </c:pieChart>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D4D8-4FE3-46D8-B315-C6B8E11E2252}">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29</Pages>
  <Words>9820</Words>
  <Characters>10479</Characters>
  <Lines>84</Lines>
  <Paragraphs>23</Paragraphs>
  <TotalTime>3</TotalTime>
  <ScaleCrop>false</ScaleCrop>
  <LinksUpToDate>false</LinksUpToDate>
  <CharactersWithSpaces>10527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2020-08-19T03:14:00Z</dcterms:created>
  <dc:creator>张彬茜</dc:creator>
  <cp:lastModifiedBy>糖糖</cp:lastModifiedBy>
  <cp:lastPrinted>2019-08-01T00:48:00Z</cp:lastPrinted>
  <dcterms:modified xsi:type="dcterms:W3CDTF">2022-10-17T03:05:17Z</dcterms:modified>
  <dc:title>四川省***</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BE6FB03D448244038B98261DEF0C827D</vt:lpwstr>
  </property>
</Properties>
</file>