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9122"/>
      <w:bookmarkStart w:id="2" w:name="_Toc15377193"/>
      <w:bookmarkStart w:id="3" w:name="_Toc15378441"/>
      <w:bookmarkStart w:id="4" w:name="_Toc23803"/>
      <w:bookmarkStart w:id="5" w:name="_Toc15396475"/>
      <w:bookmarkStart w:id="6" w:name="_Toc17103546"/>
      <w:bookmarkStart w:id="7" w:name="_Toc15396597"/>
      <w:bookmarkStart w:id="8" w:name="_Toc22969"/>
      <w:bookmarkStart w:id="9" w:name="_Toc15377425"/>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bookmarkEnd w:id="8"/>
      <w:bookmarkEnd w:id="9"/>
    </w:p>
    <w:p>
      <w:pPr>
        <w:adjustRightInd w:val="0"/>
        <w:snapToGrid w:val="0"/>
        <w:spacing w:line="360" w:lineRule="auto"/>
        <w:jc w:val="center"/>
        <w:outlineLvl w:val="0"/>
        <w:rPr>
          <w:rFonts w:ascii="方正小标宋简体" w:hAnsi="宋体" w:eastAsia="方正小标宋简体"/>
          <w:color w:val="000000"/>
          <w:sz w:val="72"/>
          <w:szCs w:val="72"/>
        </w:rPr>
      </w:pPr>
      <w:bookmarkStart w:id="10" w:name="_Toc17609"/>
      <w:bookmarkStart w:id="11" w:name="_Toc9446"/>
      <w:bookmarkStart w:id="12" w:name="_Toc17948"/>
      <w:bookmarkStart w:id="13" w:name="_Toc15396476"/>
      <w:bookmarkStart w:id="14" w:name="_Toc17103547"/>
      <w:bookmarkStart w:id="15" w:name="_Toc15396598"/>
      <w:bookmarkStart w:id="16" w:name="_Toc15378442"/>
      <w:bookmarkStart w:id="17" w:name="_Toc15377194"/>
      <w:bookmarkStart w:id="18" w:name="_Toc15377426"/>
      <w:r>
        <w:rPr>
          <w:rFonts w:hint="eastAsia" w:ascii="方正小标宋简体" w:hAnsi="宋体" w:eastAsia="方正小标宋简体"/>
          <w:color w:val="000000"/>
          <w:sz w:val="72"/>
          <w:szCs w:val="72"/>
        </w:rPr>
        <w:t>四川省</w:t>
      </w:r>
      <w:bookmarkEnd w:id="0"/>
      <w:bookmarkStart w:id="19" w:name="_Toc15306268"/>
      <w:r>
        <w:rPr>
          <w:rFonts w:hint="eastAsia" w:ascii="方正小标宋简体" w:hAnsi="宋体" w:eastAsia="方正小标宋简体"/>
          <w:color w:val="000000"/>
          <w:sz w:val="72"/>
          <w:szCs w:val="72"/>
        </w:rPr>
        <w:t>资阳市雁江区</w:t>
      </w:r>
      <w:bookmarkEnd w:id="10"/>
      <w:bookmarkEnd w:id="11"/>
      <w:bookmarkEnd w:id="12"/>
    </w:p>
    <w:p>
      <w:pPr>
        <w:adjustRightInd w:val="0"/>
        <w:snapToGrid w:val="0"/>
        <w:spacing w:line="360" w:lineRule="auto"/>
        <w:jc w:val="center"/>
        <w:outlineLvl w:val="0"/>
        <w:rPr>
          <w:rFonts w:ascii="方正小标宋简体" w:hAnsi="宋体" w:eastAsia="方正小标宋简体"/>
          <w:color w:val="000000"/>
          <w:sz w:val="72"/>
          <w:szCs w:val="72"/>
        </w:rPr>
      </w:pPr>
      <w:bookmarkStart w:id="20" w:name="_Toc28603"/>
      <w:bookmarkStart w:id="21" w:name="_Toc19756"/>
      <w:bookmarkStart w:id="22" w:name="_Toc2149"/>
      <w:r>
        <w:rPr>
          <w:rFonts w:hint="eastAsia" w:ascii="方正小标宋简体" w:hAnsi="宋体" w:eastAsia="方正小标宋简体"/>
          <w:vanish/>
          <w:color w:val="000000"/>
          <w:sz w:val="72"/>
          <w:szCs w:val="72"/>
        </w:rPr>
        <w:cr/>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vanish/>
          <w:color w:val="000000"/>
          <w:sz w:val="72"/>
          <w:szCs w:val="72"/>
        </w:rPr>
        <w:pgNum/>
      </w:r>
      <w:r>
        <w:rPr>
          <w:rFonts w:hint="eastAsia" w:ascii="方正小标宋简体" w:hAnsi="宋体" w:eastAsia="方正小标宋简体"/>
          <w:color w:val="000000"/>
          <w:sz w:val="72"/>
          <w:szCs w:val="72"/>
        </w:rPr>
        <w:t>归国华侨侨眷联合会</w:t>
      </w:r>
      <w:bookmarkEnd w:id="20"/>
      <w:bookmarkEnd w:id="21"/>
      <w:bookmarkEnd w:id="22"/>
    </w:p>
    <w:p>
      <w:pPr>
        <w:adjustRightInd w:val="0"/>
        <w:snapToGrid w:val="0"/>
        <w:spacing w:line="360" w:lineRule="auto"/>
        <w:jc w:val="center"/>
        <w:outlineLvl w:val="0"/>
        <w:rPr>
          <w:rFonts w:ascii="方正小标宋简体" w:hAnsi="宋体" w:eastAsia="方正小标宋简体"/>
          <w:color w:val="000000"/>
          <w:sz w:val="72"/>
          <w:szCs w:val="72"/>
        </w:rPr>
      </w:pPr>
      <w:bookmarkStart w:id="23" w:name="_Toc1352"/>
      <w:bookmarkStart w:id="24" w:name="_Toc10916"/>
      <w:bookmarkStart w:id="25" w:name="_Toc8987"/>
      <w:r>
        <w:rPr>
          <w:rFonts w:hint="eastAsia" w:ascii="方正小标宋简体" w:hAnsi="宋体" w:eastAsia="方正小标宋简体"/>
          <w:color w:val="000000"/>
          <w:sz w:val="72"/>
          <w:szCs w:val="72"/>
        </w:rPr>
        <w:t>部门决算</w:t>
      </w:r>
      <w:bookmarkEnd w:id="13"/>
      <w:bookmarkEnd w:id="14"/>
      <w:bookmarkEnd w:id="15"/>
      <w:bookmarkEnd w:id="16"/>
      <w:bookmarkEnd w:id="17"/>
      <w:bookmarkEnd w:id="18"/>
      <w:bookmarkEnd w:id="19"/>
      <w:bookmarkEnd w:id="23"/>
      <w:bookmarkEnd w:id="24"/>
      <w:bookmarkEnd w:id="25"/>
    </w:p>
    <w:p>
      <w:pPr>
        <w:widowControl/>
        <w:jc w:val="left"/>
        <w:rPr>
          <w:rFonts w:ascii="仿宋" w:hAnsi="仿宋" w:eastAsia="仿宋"/>
          <w:color w:val="000000"/>
          <w:sz w:val="24"/>
        </w:rPr>
      </w:pPr>
      <w:r>
        <w:rPr>
          <w:rFonts w:ascii="方正小标宋简体" w:hAnsi="宋体" w:eastAsia="方正小标宋简体"/>
          <w:color w:val="000000"/>
          <w:sz w:val="36"/>
          <w:szCs w:val="36"/>
        </w:rPr>
        <w:br w:type="page"/>
      </w:r>
    </w:p>
    <w:sdt>
      <w:sdtPr>
        <w:rPr>
          <w:rFonts w:hint="eastAsia" w:ascii="方正小标宋简体" w:hAnsi="方正小标宋简体" w:eastAsia="方正小标宋简体" w:cs="方正小标宋简体"/>
          <w:kern w:val="2"/>
          <w:sz w:val="48"/>
          <w:szCs w:val="48"/>
          <w:lang w:val="en-US" w:eastAsia="zh-CN" w:bidi="ar-SA"/>
        </w:rPr>
        <w:id w:val="147481339"/>
        <w15:color w:val="DBDBDB"/>
        <w:docPartObj>
          <w:docPartGallery w:val="Table of Contents"/>
          <w:docPartUnique/>
        </w:docPartObj>
      </w:sdtPr>
      <w:sdtEndPr>
        <w:rPr>
          <w:rFonts w:hint="eastAsia" w:ascii="方正小标宋简体" w:hAnsi="方正小标宋简体" w:eastAsia="方正小标宋简体" w:cs="方正小标宋简体"/>
          <w:kern w:val="2"/>
          <w:sz w:val="48"/>
          <w:szCs w:val="48"/>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目</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录</w:t>
          </w:r>
        </w:p>
        <w:p>
          <w:pPr>
            <w:pStyle w:val="12"/>
            <w:tabs>
              <w:tab w:val="right" w:leader="dot" w:pos="9746"/>
              <w:tab w:val="clear" w:pos="8296"/>
            </w:tabs>
            <w:rPr>
              <w:rFonts w:hint="default" w:eastAsia="仿宋"/>
              <w:lang w:val="en-US" w:eastAsia="zh-CN"/>
            </w:rPr>
          </w:pPr>
          <w:r>
            <w:fldChar w:fldCharType="begin"/>
          </w:r>
          <w:r>
            <w:instrText xml:space="preserve">TOC \o "1-3" \h \u </w:instrText>
          </w:r>
          <w:r>
            <w:fldChar w:fldCharType="separate"/>
          </w:r>
          <w:r>
            <w:rPr>
              <w:rFonts w:hint="eastAsia"/>
              <w:lang w:eastAsia="zh-CN"/>
            </w:rPr>
            <w:t>公开时间：</w:t>
          </w:r>
          <w:r>
            <w:rPr>
              <w:rFonts w:hint="eastAsia"/>
              <w:lang w:val="en-US" w:eastAsia="zh-CN"/>
            </w:rPr>
            <w:t>2021年9月4日</w:t>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before="0"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_Toc1671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sz w:val="24"/>
              <w:szCs w:val="24"/>
            </w:rPr>
            <w:t>第一部分 部门概况</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_Toc1671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4</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_Toc21768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sz w:val="24"/>
              <w:szCs w:val="24"/>
            </w:rPr>
            <w:t>一、基本职能及主要工作</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_Toc21768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4</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_Toc1252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sz w:val="24"/>
              <w:szCs w:val="24"/>
            </w:rPr>
            <w:t>（一）主要职能</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_Toc1252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4</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_Toc21027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（二）20</w:t>
          </w:r>
          <w:r>
            <w:rPr>
              <w:rFonts w:hint="eastAsia" w:ascii="方正仿宋简体" w:hAnsi="方正仿宋简体" w:eastAsia="方正仿宋简体" w:cs="方正仿宋简体"/>
              <w:sz w:val="24"/>
              <w:szCs w:val="24"/>
              <w:lang w:val="en-US" w:eastAsia="zh-CN"/>
            </w:rPr>
            <w:t>20</w:t>
          </w:r>
          <w:r>
            <w:rPr>
              <w:rFonts w:hint="eastAsia" w:ascii="方正仿宋简体" w:hAnsi="方正仿宋简体" w:eastAsia="方正仿宋简体" w:cs="方正仿宋简体"/>
              <w:sz w:val="24"/>
              <w:szCs w:val="24"/>
            </w:rPr>
            <w:t>年重点工作完成情况</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_Toc21027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4</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_Toc1822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sz w:val="24"/>
              <w:szCs w:val="24"/>
            </w:rPr>
            <w:t>二、机构设置</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_Toc1822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before="0"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_Toc14457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sz w:val="24"/>
              <w:szCs w:val="24"/>
            </w:rPr>
            <w:t>第二部分 20</w:t>
          </w:r>
          <w:r>
            <w:rPr>
              <w:rFonts w:hint="eastAsia" w:ascii="方正仿宋简体" w:hAnsi="方正仿宋简体" w:eastAsia="方正仿宋简体" w:cs="方正仿宋简体"/>
              <w:bCs/>
              <w:sz w:val="24"/>
              <w:szCs w:val="24"/>
              <w:lang w:val="en-US" w:eastAsia="zh-CN"/>
            </w:rPr>
            <w:t>20</w:t>
          </w:r>
          <w:r>
            <w:rPr>
              <w:rFonts w:hint="eastAsia" w:ascii="方正仿宋简体" w:hAnsi="方正仿宋简体" w:eastAsia="方正仿宋简体" w:cs="方正仿宋简体"/>
              <w:bCs/>
              <w:sz w:val="24"/>
              <w:szCs w:val="24"/>
            </w:rPr>
            <w:t>年度部门决算情况说明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_Toc14457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13</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_Toc54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一、 收</w:t>
          </w:r>
          <w:r>
            <w:rPr>
              <w:rFonts w:hint="eastAsia" w:ascii="方正仿宋简体" w:hAnsi="方正仿宋简体" w:eastAsia="方正仿宋简体" w:cs="方正仿宋简体"/>
              <w:bCs/>
              <w:sz w:val="24"/>
              <w:szCs w:val="24"/>
            </w:rPr>
            <w:t>入支出决算总体情况说明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_Toc54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13</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_Toc28548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二、收</w:t>
          </w:r>
          <w:r>
            <w:rPr>
              <w:rFonts w:hint="eastAsia" w:ascii="方正仿宋简体" w:hAnsi="方正仿宋简体" w:eastAsia="方正仿宋简体" w:cs="方正仿宋简体"/>
              <w:bCs/>
              <w:sz w:val="24"/>
              <w:szCs w:val="24"/>
            </w:rPr>
            <w:t>入决算情况说明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_Toc28548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13</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_Toc23489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sz w:val="24"/>
              <w:szCs w:val="24"/>
              <w:lang w:eastAsia="zh-CN"/>
            </w:rPr>
            <w:t>三、</w:t>
          </w:r>
          <w:r>
            <w:rPr>
              <w:rFonts w:hint="eastAsia" w:ascii="方正仿宋简体" w:hAnsi="方正仿宋简体" w:eastAsia="方正仿宋简体" w:cs="方正仿宋简体"/>
              <w:bCs/>
              <w:sz w:val="24"/>
              <w:szCs w:val="24"/>
            </w:rPr>
            <w:t>支出决算情况说明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_Toc23489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14</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_Toc25590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四、财</w:t>
          </w:r>
          <w:r>
            <w:rPr>
              <w:rFonts w:hint="eastAsia" w:ascii="方正仿宋简体" w:hAnsi="方正仿宋简体" w:eastAsia="方正仿宋简体" w:cs="方正仿宋简体"/>
              <w:bCs/>
              <w:sz w:val="24"/>
              <w:szCs w:val="24"/>
            </w:rPr>
            <w:t>政拨款收入支出决算总体情况说明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_Toc25590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14</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_Toc16489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五、一</w:t>
          </w:r>
          <w:r>
            <w:rPr>
              <w:rFonts w:hint="eastAsia" w:ascii="方正仿宋简体" w:hAnsi="方正仿宋简体" w:eastAsia="方正仿宋简体" w:cs="方正仿宋简体"/>
              <w:bCs/>
              <w:sz w:val="24"/>
              <w:szCs w:val="24"/>
            </w:rPr>
            <w:t>般公共预算财政拨款支出决算情况说明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_Toc16489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15</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_Toc3802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（一）一般公共预算财政拨款支出决算总体情况</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_Toc3802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15</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_Toc19656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（二）一般公共预算财政拨款支出决算结构情况</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_Toc19656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15</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_Toc5936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（三）一般公共预算财政拨款支出决算具体情况</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_Toc5936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16</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_Toc21270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六、一</w:t>
          </w:r>
          <w:r>
            <w:rPr>
              <w:rFonts w:hint="eastAsia" w:ascii="方正仿宋简体" w:hAnsi="方正仿宋简体" w:eastAsia="方正仿宋简体" w:cs="方正仿宋简体"/>
              <w:bCs/>
              <w:sz w:val="24"/>
              <w:szCs w:val="24"/>
            </w:rPr>
            <w:t>般公共预算财政拨款基本支出决算情况说明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_Toc21270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17</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_Toc12359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七、</w:t>
          </w:r>
          <w:r>
            <w:rPr>
              <w:rFonts w:hint="eastAsia" w:ascii="方正仿宋简体" w:hAnsi="方正仿宋简体" w:eastAsia="方正仿宋简体" w:cs="方正仿宋简体"/>
              <w:bCs/>
              <w:sz w:val="24"/>
              <w:szCs w:val="24"/>
            </w:rPr>
            <w:t>“三公”经费财政拨款支出决算情况说明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_Toc12359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18</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_Toc22622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（一）“三公”经费财政拨款支出决算总体情况说明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_Toc22622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18</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_Toc28746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（二）“三公”经费财政拨款支出决算具体情况说明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_Toc28746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18</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_Toc19040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八、</w:t>
          </w:r>
          <w:r>
            <w:rPr>
              <w:rFonts w:hint="eastAsia" w:ascii="方正仿宋简体" w:hAnsi="方正仿宋简体" w:eastAsia="方正仿宋简体" w:cs="方正仿宋简体"/>
              <w:bCs/>
              <w:sz w:val="24"/>
              <w:szCs w:val="24"/>
            </w:rPr>
            <w:t>政府性基金预算支出决算情况说明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_Toc19040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20</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_Toc7998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sz w:val="24"/>
              <w:szCs w:val="24"/>
              <w:lang w:val="en-US" w:eastAsia="zh-CN"/>
            </w:rPr>
            <w:t>九、</w:t>
          </w:r>
          <w:r>
            <w:rPr>
              <w:rFonts w:hint="eastAsia" w:ascii="方正仿宋简体" w:hAnsi="方正仿宋简体" w:eastAsia="方正仿宋简体" w:cs="方正仿宋简体"/>
              <w:bCs/>
              <w:sz w:val="24"/>
              <w:szCs w:val="24"/>
            </w:rPr>
            <w:t>国有资本经营预算支出决算情况说明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_Toc7998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20</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_Toc23859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 xml:space="preserve">十、 </w:t>
          </w:r>
          <w:r>
            <w:rPr>
              <w:rFonts w:hint="eastAsia" w:ascii="方正仿宋简体" w:hAnsi="方正仿宋简体" w:eastAsia="方正仿宋简体" w:cs="方正仿宋简体"/>
              <w:bCs/>
              <w:sz w:val="24"/>
              <w:szCs w:val="24"/>
            </w:rPr>
            <w:t>预算绩效情况说明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_Toc23859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20</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_Toc31704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lang w:eastAsia="zh-CN"/>
            </w:rPr>
            <w:t>（一）</w:t>
          </w:r>
          <w:r>
            <w:rPr>
              <w:rFonts w:hint="eastAsia" w:ascii="方正仿宋简体" w:hAnsi="方正仿宋简体" w:eastAsia="方正仿宋简体" w:cs="方正仿宋简体"/>
              <w:sz w:val="24"/>
              <w:szCs w:val="24"/>
            </w:rPr>
            <w:t>预算绩效管理工作开展情况。</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_Toc31704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20</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_Toc11205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sz w:val="24"/>
              <w:szCs w:val="24"/>
              <w:lang w:eastAsia="zh-CN"/>
            </w:rPr>
            <w:t>（二）</w:t>
          </w:r>
          <w:r>
            <w:rPr>
              <w:rFonts w:hint="eastAsia" w:ascii="方正仿宋简体" w:hAnsi="方正仿宋简体" w:eastAsia="方正仿宋简体" w:cs="方正仿宋简体"/>
              <w:bCs/>
              <w:sz w:val="24"/>
              <w:szCs w:val="24"/>
            </w:rPr>
            <w:t>项目绩效目标完成情况。</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_Toc11205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21</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_Toc30746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lang w:eastAsia="zh-CN"/>
            </w:rPr>
            <w:t>（三）</w:t>
          </w:r>
          <w:r>
            <w:rPr>
              <w:rFonts w:hint="eastAsia" w:ascii="方正仿宋简体" w:hAnsi="方正仿宋简体" w:eastAsia="方正仿宋简体" w:cs="方正仿宋简体"/>
              <w:sz w:val="24"/>
              <w:szCs w:val="24"/>
            </w:rPr>
            <w:t>部门开展绩效评价结果。</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_Toc30746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23</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_Toc16314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十</w:t>
          </w:r>
          <w:r>
            <w:rPr>
              <w:rFonts w:hint="eastAsia" w:ascii="方正仿宋简体" w:hAnsi="方正仿宋简体" w:eastAsia="方正仿宋简体" w:cs="方正仿宋简体"/>
              <w:bCs/>
              <w:sz w:val="24"/>
              <w:szCs w:val="24"/>
            </w:rPr>
            <w:t>一、其他重要事项的情况说明</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_Toc16314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24</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_Toc24626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（一）机关运行经费支出情况</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_Toc24626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24</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_Toc24884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（二）政府采购支出情况</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_Toc24884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24</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_Toc13815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（三）国有资产占有使用情况</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_Toc13815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24</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before="0"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_Toc12930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第三部分 名</w:t>
          </w:r>
          <w:r>
            <w:rPr>
              <w:rFonts w:hint="eastAsia" w:ascii="方正仿宋简体" w:hAnsi="方正仿宋简体" w:eastAsia="方正仿宋简体" w:cs="方正仿宋简体"/>
              <w:bCs/>
              <w:sz w:val="24"/>
              <w:szCs w:val="24"/>
            </w:rPr>
            <w:t>词解释</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_Toc12930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25</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before="0"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_Toc1499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第</w:t>
          </w:r>
          <w:r>
            <w:rPr>
              <w:rFonts w:hint="eastAsia" w:ascii="方正仿宋简体" w:hAnsi="方正仿宋简体" w:eastAsia="方正仿宋简体" w:cs="方正仿宋简体"/>
              <w:bCs/>
              <w:sz w:val="24"/>
              <w:szCs w:val="24"/>
            </w:rPr>
            <w:t>四部分 附件</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_Toc1499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29</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_Toc13587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附件1</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_Toc13587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29</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3"/>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_Toc8625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附件2</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_Toc8625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31</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12"/>
            <w:keepNext w:val="0"/>
            <w:keepLines w:val="0"/>
            <w:pageBreakBefore w:val="0"/>
            <w:widowControl w:val="0"/>
            <w:tabs>
              <w:tab w:val="right" w:leader="dot" w:pos="9746"/>
              <w:tab w:val="clear" w:pos="8296"/>
            </w:tabs>
            <w:kinsoku/>
            <w:wordWrap/>
            <w:overflowPunct/>
            <w:topLinePunct w:val="0"/>
            <w:autoSpaceDE/>
            <w:autoSpaceDN/>
            <w:bidi w:val="0"/>
            <w:adjustRightInd/>
            <w:snapToGrid/>
            <w:spacing w:before="0"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_Toc13656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第</w:t>
          </w:r>
          <w:r>
            <w:rPr>
              <w:rFonts w:hint="eastAsia" w:ascii="方正仿宋简体" w:hAnsi="方正仿宋简体" w:eastAsia="方正仿宋简体" w:cs="方正仿宋简体"/>
              <w:bCs/>
              <w:sz w:val="24"/>
              <w:szCs w:val="24"/>
            </w:rPr>
            <w:t>五部分 附表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_Toc13656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_Toc20409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一、收入支出决算总表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_Toc20409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_Toc27337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二、收入决算表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_Toc27337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_Toc23666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三、支出决算表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_Toc23666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_Toc31382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四、财政拨款收入支出决算总表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_Toc31382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_Toc21439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五、财政拨款支出决算明细表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_Toc21439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_Toc18103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六、一般公共预算财政拨款支出决算表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_Toc18103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_Toc26344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七、一般公共预算财政拨款支出决算明细表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_Toc26344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_Toc32184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八、一般公共预算财政拨款基本支出决算表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_Toc32184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_Toc27401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九、一般公共预算财政拨款项目支出决算表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_Toc27401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_Toc1543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十、一般公共预算财政拨款“三公”经费支出决算表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_Toc1543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_Toc25519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十一、政府性基金预算财政拨款收入支出决算表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_Toc25519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_Toc30846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十二、政府性基金预算财政拨款“三公”经费支出决算表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_Toc30846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_Toc17322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十三、国有资本经营预算财政拨款收入支出决算表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_Toc17322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keepNext w:val="0"/>
            <w:keepLines w:val="0"/>
            <w:pageBreakBefore w:val="0"/>
            <w:widowControl w:val="0"/>
            <w:tabs>
              <w:tab w:val="right" w:leader="dot" w:pos="9746"/>
              <w:tab w:val="clear" w:pos="8296"/>
            </w:tabs>
            <w:kinsoku/>
            <w:wordWrap/>
            <w:overflowPunct/>
            <w:topLinePunct w:val="0"/>
            <w:autoSpaceDE/>
            <w:autoSpaceDN/>
            <w:bidi w:val="0"/>
            <w:adjustRightInd/>
            <w:snapToGrid/>
            <w:spacing w:line="500" w:lineRule="exact"/>
            <w:textAlignment w:val="auto"/>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_Toc19597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bCs w:val="0"/>
              <w:sz w:val="24"/>
              <w:szCs w:val="24"/>
            </w:rPr>
            <w:t>十四、国有资本经营预算财政拨款支出决算表</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_Toc19597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32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r>
            <w:fldChar w:fldCharType="end"/>
          </w:r>
        </w:p>
      </w:sdtContent>
    </w:sdt>
    <w:p>
      <w:pPr>
        <w:pStyle w:val="2"/>
        <w:bidi w:val="0"/>
        <w:jc w:val="center"/>
        <w:rPr>
          <w:rStyle w:val="28"/>
          <w:rFonts w:ascii="黑体" w:hAnsi="黑体" w:eastAsia="黑体"/>
          <w:b/>
          <w:bCs/>
        </w:rPr>
      </w:pPr>
      <w:r>
        <w:rPr>
          <w:rFonts w:ascii="黑体" w:hAnsi="黑体" w:eastAsia="黑体"/>
          <w:b/>
        </w:rPr>
        <w:br w:type="page"/>
      </w:r>
      <w:bookmarkStart w:id="26" w:name="_Toc17103549"/>
      <w:bookmarkStart w:id="27" w:name="_Toc1671"/>
      <w:r>
        <w:rPr>
          <w:rStyle w:val="28"/>
          <w:rFonts w:hint="eastAsia" w:ascii="黑体" w:hAnsi="黑体"/>
          <w:b/>
          <w:bCs/>
        </w:rPr>
        <w:t xml:space="preserve">第一部分 </w:t>
      </w:r>
      <w:r>
        <w:rPr>
          <w:rStyle w:val="28"/>
          <w:rFonts w:hint="eastAsia" w:ascii="黑体" w:hAnsi="黑体" w:eastAsia="黑体"/>
          <w:b/>
          <w:bCs/>
        </w:rPr>
        <w:t>部门概况</w:t>
      </w:r>
      <w:bookmarkEnd w:id="26"/>
      <w:bookmarkEnd w:id="27"/>
      <w:bookmarkStart w:id="28" w:name="_Toc15377197"/>
      <w:bookmarkStart w:id="29" w:name="_Toc17103550"/>
    </w:p>
    <w:p>
      <w:pPr>
        <w:pStyle w:val="3"/>
        <w:bidi w:val="0"/>
        <w:ind w:firstLine="643" w:firstLineChars="200"/>
        <w:rPr>
          <w:rStyle w:val="29"/>
          <w:rFonts w:ascii="黑体" w:hAnsi="黑体" w:eastAsia="黑体" w:cs="Times New Roman"/>
          <w:b w:val="0"/>
          <w:bCs/>
          <w:kern w:val="44"/>
          <w:sz w:val="44"/>
          <w:szCs w:val="44"/>
        </w:rPr>
      </w:pPr>
      <w:bookmarkStart w:id="30" w:name="_Toc21768"/>
      <w:r>
        <w:rPr>
          <w:rStyle w:val="29"/>
          <w:rFonts w:hint="eastAsia" w:ascii="黑体" w:hAnsi="黑体" w:eastAsia="黑体"/>
          <w:b/>
          <w:bCs/>
        </w:rPr>
        <w:t>一、基本职能及主要工作</w:t>
      </w:r>
      <w:bookmarkEnd w:id="28"/>
      <w:bookmarkEnd w:id="29"/>
      <w:bookmarkEnd w:id="30"/>
    </w:p>
    <w:p>
      <w:pPr>
        <w:pStyle w:val="4"/>
        <w:bidi w:val="0"/>
        <w:ind w:firstLine="643" w:firstLineChars="200"/>
        <w:rPr>
          <w:rFonts w:hint="eastAsia" w:ascii="仿宋" w:hAnsi="仿宋" w:eastAsia="仿宋"/>
          <w:bCs/>
          <w:color w:val="000000"/>
          <w:sz w:val="32"/>
          <w:szCs w:val="32"/>
        </w:rPr>
      </w:pPr>
      <w:bookmarkStart w:id="31" w:name="_Toc15377198"/>
      <w:bookmarkStart w:id="32" w:name="_Toc15378445"/>
      <w:bookmarkStart w:id="33" w:name="_Toc1252"/>
      <w:r>
        <w:rPr>
          <w:rFonts w:hint="eastAsia" w:ascii="仿宋" w:hAnsi="仿宋" w:eastAsia="仿宋"/>
          <w:bCs/>
          <w:color w:val="000000"/>
          <w:sz w:val="32"/>
          <w:szCs w:val="32"/>
        </w:rPr>
        <w:t>（一）主要职能</w:t>
      </w:r>
      <w:bookmarkEnd w:id="31"/>
      <w:bookmarkEnd w:id="32"/>
      <w:bookmarkEnd w:id="33"/>
      <w:bookmarkStart w:id="34" w:name="_Toc15377199"/>
      <w:bookmarkStart w:id="35" w:name="_Toc15378446"/>
    </w:p>
    <w:p>
      <w:pPr>
        <w:spacing w:line="580" w:lineRule="exact"/>
        <w:ind w:firstLine="660" w:firstLineChars="200"/>
        <w:rPr>
          <w:rFonts w:hint="eastAsia" w:ascii="方正仿宋简体" w:hAnsi="方正仿宋简体" w:eastAsia="方正仿宋简体" w:cs="方正仿宋简体"/>
          <w:color w:val="191919"/>
          <w:sz w:val="33"/>
          <w:szCs w:val="33"/>
          <w:shd w:val="clear" w:color="auto" w:fill="FFFFFF"/>
        </w:rPr>
      </w:pPr>
      <w:r>
        <w:rPr>
          <w:rFonts w:hint="eastAsia" w:ascii="方正仿宋简体" w:hAnsi="方正仿宋简体" w:eastAsia="方正仿宋简体" w:cs="方正仿宋简体"/>
          <w:color w:val="191919"/>
          <w:sz w:val="33"/>
          <w:szCs w:val="33"/>
          <w:shd w:val="clear" w:color="auto" w:fill="FFFFFF"/>
        </w:rPr>
        <w:t>群众工作，参政议政，维护侨益，海外联谊。</w:t>
      </w:r>
    </w:p>
    <w:p>
      <w:pPr>
        <w:pStyle w:val="4"/>
        <w:bidi w:val="0"/>
        <w:ind w:firstLine="643" w:firstLineChars="200"/>
        <w:rPr>
          <w:rFonts w:hint="eastAsia"/>
        </w:rPr>
      </w:pPr>
      <w:bookmarkStart w:id="36" w:name="_Toc21027"/>
      <w:r>
        <w:rPr>
          <w:rFonts w:hint="eastAsia"/>
        </w:rPr>
        <w:t>（二）20</w:t>
      </w:r>
      <w:r>
        <w:rPr>
          <w:rFonts w:hint="eastAsia"/>
          <w:lang w:val="en-US" w:eastAsia="zh-CN"/>
        </w:rPr>
        <w:t>20</w:t>
      </w:r>
      <w:r>
        <w:rPr>
          <w:rFonts w:hint="eastAsia"/>
        </w:rPr>
        <w:t>年重点工作完成情况</w:t>
      </w:r>
      <w:bookmarkEnd w:id="34"/>
      <w:bookmarkEnd w:id="35"/>
      <w:bookmarkEnd w:id="36"/>
    </w:p>
    <w:p>
      <w:pPr>
        <w:pStyle w:val="15"/>
        <w:spacing w:line="580" w:lineRule="exact"/>
        <w:ind w:left="0" w:leftChars="0" w:firstLine="663"/>
        <w:rPr>
          <w:rFonts w:ascii="方正楷体简体" w:hAnsi="方正楷体简体" w:eastAsia="方正楷体简体" w:cs="方正楷体简体"/>
          <w:b/>
          <w:bCs/>
          <w:color w:val="191919"/>
          <w:sz w:val="33"/>
          <w:szCs w:val="33"/>
          <w:shd w:val="clear" w:color="auto" w:fill="FFFFFF"/>
        </w:rPr>
      </w:pPr>
      <w:bookmarkStart w:id="37" w:name="_Toc15377200"/>
      <w:bookmarkStart w:id="38" w:name="_Toc17103551"/>
      <w:r>
        <w:rPr>
          <w:rFonts w:hint="eastAsia" w:ascii="方正楷体简体" w:hAnsi="方正楷体简体" w:eastAsia="方正楷体简体" w:cs="方正楷体简体"/>
          <w:b/>
          <w:bCs/>
          <w:color w:val="191919"/>
          <w:sz w:val="33"/>
          <w:szCs w:val="33"/>
          <w:shd w:val="clear" w:color="auto" w:fill="FFFFFF"/>
        </w:rPr>
        <w:t>1.抓住一个根本，切实为侨服务</w:t>
      </w:r>
    </w:p>
    <w:p>
      <w:pPr>
        <w:spacing w:line="580" w:lineRule="exact"/>
        <w:ind w:firstLine="660" w:firstLineChars="200"/>
        <w:rPr>
          <w:rFonts w:ascii="方正仿宋简体" w:hAnsi="方正仿宋简体" w:eastAsia="方正仿宋简体" w:cs="方正仿宋简体"/>
          <w:color w:val="191919"/>
          <w:sz w:val="33"/>
          <w:szCs w:val="33"/>
          <w:shd w:val="clear" w:color="auto" w:fill="FFFFFF"/>
        </w:rPr>
      </w:pPr>
      <w:r>
        <w:rPr>
          <w:rFonts w:hint="eastAsia" w:ascii="方正仿宋简体" w:hAnsi="方正仿宋简体" w:eastAsia="方正仿宋简体" w:cs="方正仿宋简体"/>
          <w:color w:val="191919"/>
          <w:sz w:val="33"/>
          <w:szCs w:val="33"/>
          <w:shd w:val="clear" w:color="auto" w:fill="FFFFFF"/>
        </w:rPr>
        <w:t>始终坚持“以侨为本，为侨服务”的工作宗旨，以服务为基础，团结归侨侨眷为我区发展贡献力量。</w:t>
      </w:r>
      <w:r>
        <w:rPr>
          <w:rFonts w:hint="eastAsia" w:ascii="方正仿宋简体" w:hAnsi="方正仿宋简体" w:eastAsia="方正仿宋简体" w:cs="方正仿宋简体"/>
          <w:b/>
          <w:bCs/>
          <w:color w:val="191919"/>
          <w:sz w:val="33"/>
          <w:szCs w:val="33"/>
          <w:shd w:val="clear" w:color="auto" w:fill="FFFFFF"/>
        </w:rPr>
        <w:t>一是以情暖侨心为载体，开展“关爱学生”活动。</w:t>
      </w:r>
      <w:r>
        <w:rPr>
          <w:rFonts w:hint="eastAsia" w:ascii="方正仿宋简体" w:eastAsia="方正仿宋简体"/>
          <w:sz w:val="33"/>
          <w:szCs w:val="33"/>
        </w:rPr>
        <w:t>我会不断丰富活动形式，延伸活动手段，在六一节前夕，深入到老君镇居仕小学开展“侨爱心●进校园”关爱活动，为每个孩子送去画笔，给每个班在级赠送羽毛球、乒乓球、跳绳等体育用品，向孩子们致以诚挚的问候和节日的祝福，向老师们致以崇高的敬意。</w:t>
      </w:r>
      <w:r>
        <w:rPr>
          <w:rFonts w:hint="eastAsia" w:ascii="方正仿宋简体" w:hAnsi="方正仿宋简体" w:eastAsia="方正仿宋简体" w:cs="方正仿宋简体"/>
          <w:b/>
          <w:bCs/>
          <w:color w:val="191919"/>
          <w:sz w:val="33"/>
          <w:szCs w:val="33"/>
          <w:shd w:val="clear" w:color="auto" w:fill="FFFFFF"/>
        </w:rPr>
        <w:t>二是以传统文化为媒介，开展“情浓端午”活动。</w:t>
      </w:r>
      <w:r>
        <w:rPr>
          <w:rFonts w:hint="eastAsia" w:ascii="方正仿宋简体" w:eastAsia="方正仿宋简体"/>
          <w:sz w:val="33"/>
          <w:szCs w:val="33"/>
        </w:rPr>
        <w:t>端午前夕，在</w:t>
      </w:r>
      <w:r>
        <w:rPr>
          <w:rFonts w:hint="eastAsia" w:ascii="方正仿宋简体" w:hAnsi="方正仿宋简体" w:eastAsia="方正仿宋简体" w:cs="方正仿宋简体"/>
          <w:sz w:val="33"/>
          <w:szCs w:val="33"/>
          <w:shd w:val="clear" w:color="auto" w:fill="FFFFFF"/>
        </w:rPr>
        <w:t>四三一社区侨之家组织举办了“情浓端午 乐满侨家”游园活动，旨在弘扬中国传统美德，增加节日气氛，让居民们在热热闹闹的活动氛围中迎接端午节。通过开展特色主题活动，拉近与社区居民之间的距离，宣传了侨联，传播了“侨”爱。</w:t>
      </w:r>
      <w:r>
        <w:rPr>
          <w:rFonts w:hint="eastAsia" w:ascii="方正仿宋简体" w:hAnsi="方正仿宋简体" w:eastAsia="方正仿宋简体" w:cs="方正仿宋简体"/>
          <w:b/>
          <w:bCs/>
          <w:sz w:val="33"/>
          <w:szCs w:val="33"/>
          <w:shd w:val="clear" w:color="auto" w:fill="FFFFFF"/>
        </w:rPr>
        <w:t>三是</w:t>
      </w:r>
      <w:r>
        <w:rPr>
          <w:rFonts w:hint="eastAsia" w:ascii="方正仿宋简体" w:hAnsi="方正仿宋简体" w:eastAsia="方正仿宋简体" w:cs="方正仿宋简体"/>
          <w:b/>
          <w:bCs/>
          <w:color w:val="191919"/>
          <w:sz w:val="33"/>
          <w:szCs w:val="33"/>
          <w:shd w:val="clear" w:color="auto" w:fill="FFFFFF"/>
        </w:rPr>
        <w:t>以摸清家底为目的，开展“侨情普查”活动。</w:t>
      </w:r>
      <w:r>
        <w:rPr>
          <w:rFonts w:hint="eastAsia" w:ascii="方正仿宋简体" w:hAnsi="方正仿宋简体" w:eastAsia="方正仿宋简体" w:cs="方正仿宋简体"/>
          <w:color w:val="191919"/>
          <w:sz w:val="33"/>
          <w:szCs w:val="33"/>
          <w:shd w:val="clear" w:color="auto" w:fill="FFFFFF"/>
        </w:rPr>
        <w:t>侨情普查是做好新时期侨务工作的基础和依据，</w:t>
      </w:r>
      <w:r>
        <w:rPr>
          <w:rFonts w:hint="eastAsia" w:ascii="方正仿宋简体" w:hAnsi="仿宋" w:eastAsia="方正仿宋简体" w:cs="仿宋"/>
          <w:sz w:val="33"/>
          <w:szCs w:val="33"/>
        </w:rPr>
        <w:t>为详细了解</w:t>
      </w:r>
      <w:r>
        <w:rPr>
          <w:rFonts w:hint="eastAsia" w:ascii="方正仿宋简体" w:hAnsi="仿宋" w:eastAsia="方正仿宋简体" w:cs="仿宋"/>
          <w:bCs/>
          <w:sz w:val="33"/>
          <w:szCs w:val="33"/>
        </w:rPr>
        <w:t>我区基本侨情，积极探索为侨服务的方式方法，更具针对性的做好为侨服务工作，我会联合区委统战部</w:t>
      </w:r>
      <w:r>
        <w:rPr>
          <w:rFonts w:hint="eastAsia" w:ascii="方正仿宋简体" w:eastAsia="方正仿宋简体"/>
          <w:color w:val="323E32"/>
          <w:kern w:val="0"/>
          <w:sz w:val="33"/>
          <w:szCs w:val="33"/>
        </w:rPr>
        <w:t>多次开展专项工作沟通协调会，积极谋划，精心组织，圆满完成了此次侨、台情普查工作。通过普查，我会</w:t>
      </w:r>
      <w:r>
        <w:rPr>
          <w:rFonts w:hint="eastAsia" w:ascii="方正仿宋简体" w:eastAsia="方正仿宋简体"/>
          <w:sz w:val="33"/>
          <w:szCs w:val="33"/>
        </w:rPr>
        <w:t>全面了解和掌握我区海外华侨、归侨侨眷的基本状况，提高了侨务工作的针对性和有效性，建立健全了我区侨力资源信息库，为区委、区政府制定各项侨务政策，进一步落实侨务方针提供了依据。</w:t>
      </w:r>
      <w:r>
        <w:rPr>
          <w:rFonts w:hint="eastAsia" w:ascii="方正仿宋简体" w:eastAsia="方正仿宋简体"/>
          <w:b/>
          <w:bCs/>
          <w:sz w:val="33"/>
          <w:szCs w:val="33"/>
        </w:rPr>
        <w:t>四是以自身建设为基础，开展“强素质、树形象”活动。</w:t>
      </w:r>
      <w:r>
        <w:rPr>
          <w:rFonts w:hint="eastAsia" w:ascii="方正仿宋简体" w:eastAsia="方正仿宋简体"/>
          <w:sz w:val="33"/>
          <w:szCs w:val="33"/>
        </w:rPr>
        <w:t>加强学习求提升，引导侨联干部养成学习和思考的习惯，主动向书本学，向同行学，向实践学，不断优化知识结构，提高自身综合素质；转变作风求服务，主动深入群众，深入基层，了解侨胞所思、所需、所急，做归侨侨眷的贴心人；开拓创新求发展，进一步解放思想，更新观念，拓宽工作思路，改进工作方法，丰富工作载体，创新工作机制，坚持在创新中提高，促进侨联事业的可持续发展。廉洁从政求自律，遵循“为侨、务实、清廉”的要求，自觉接受监督，清正廉洁，履职到位，时时处处为侨联形象增光添彩。</w:t>
      </w:r>
    </w:p>
    <w:p>
      <w:pPr>
        <w:pStyle w:val="15"/>
        <w:spacing w:line="580" w:lineRule="exact"/>
        <w:ind w:left="0" w:leftChars="0" w:firstLine="663"/>
        <w:rPr>
          <w:rFonts w:ascii="方正楷体简体" w:hAnsi="方正楷体简体" w:eastAsia="方正楷体简体" w:cs="方正楷体简体"/>
          <w:b/>
          <w:bCs/>
          <w:color w:val="191919"/>
          <w:sz w:val="33"/>
          <w:szCs w:val="33"/>
          <w:shd w:val="clear" w:color="auto" w:fill="FFFFFF"/>
        </w:rPr>
      </w:pPr>
      <w:r>
        <w:rPr>
          <w:rFonts w:hint="eastAsia" w:ascii="方正楷体简体" w:hAnsi="方正楷体简体" w:eastAsia="方正楷体简体" w:cs="方正楷体简体"/>
          <w:b/>
          <w:bCs/>
          <w:color w:val="191919"/>
          <w:sz w:val="33"/>
          <w:szCs w:val="33"/>
          <w:shd w:val="clear" w:color="auto" w:fill="FFFFFF"/>
        </w:rPr>
        <w:t>2.营造一个氛围，加强侨法宣传</w:t>
      </w:r>
    </w:p>
    <w:p>
      <w:pPr>
        <w:pStyle w:val="14"/>
        <w:widowControl/>
        <w:shd w:val="clear" w:color="auto" w:fill="FFFFFF"/>
        <w:spacing w:beforeAutospacing="0" w:afterAutospacing="0" w:line="580" w:lineRule="exact"/>
        <w:ind w:firstLine="660" w:firstLineChars="200"/>
        <w:rPr>
          <w:rFonts w:ascii="方正仿宋简体" w:hAnsi="方正仿宋简体" w:eastAsia="方正仿宋简体" w:cs="方正仿宋简体"/>
          <w:color w:val="191919"/>
          <w:sz w:val="33"/>
          <w:szCs w:val="33"/>
          <w:shd w:val="clear" w:color="auto" w:fill="FFFFFF"/>
        </w:rPr>
      </w:pPr>
      <w:r>
        <w:rPr>
          <w:rFonts w:hint="eastAsia" w:ascii="方正仿宋简体" w:eastAsia="方正仿宋简体"/>
          <w:sz w:val="33"/>
          <w:szCs w:val="33"/>
        </w:rPr>
        <w:t>今年是《中华人民共和国归侨侨眷权益保护法》颁布实施30周年，也是“七五”普法的收官之年，为进一步推动侨法的落实，提升全社会知侨爱侨护侨的意识，我会切实开展侨法宣传年系列活动。</w:t>
      </w:r>
      <w:r>
        <w:rPr>
          <w:rFonts w:hint="eastAsia" w:ascii="方正仿宋简体" w:eastAsia="方正仿宋简体"/>
          <w:b/>
          <w:bCs/>
          <w:sz w:val="33"/>
          <w:szCs w:val="33"/>
        </w:rPr>
        <w:t>一是搭建侨务新平台，</w:t>
      </w:r>
      <w:r>
        <w:rPr>
          <w:rFonts w:hint="eastAsia" w:ascii="宋体" w:hAnsi="宋体" w:eastAsia="方正仿宋简体" w:cs="方正仿宋简体"/>
          <w:b/>
          <w:bCs/>
          <w:sz w:val="33"/>
          <w:szCs w:val="33"/>
        </w:rPr>
        <w:t>拓展宣传广度。</w:t>
      </w:r>
      <w:r>
        <w:rPr>
          <w:rFonts w:hint="eastAsia" w:ascii="方正仿宋简体" w:eastAsia="方正仿宋简体"/>
          <w:sz w:val="33"/>
          <w:szCs w:val="33"/>
        </w:rPr>
        <w:t>主动适应时代发展，在宣传上探索新途径、新办法，持续利用QQ群、微信群、微信公众号等原有宣传平台，同时开启抖音视频的创新宣传模式，通过制作小视频，以更为直观的形式开展侨务知识、涉侨法律等内容的专题宣传，展侨联形象，发侨界声音，吸引更多的人了解侨联，知晓侨法，传递侨界正能量。</w:t>
      </w:r>
      <w:r>
        <w:rPr>
          <w:rFonts w:hint="eastAsia" w:ascii="方正仿宋简体" w:eastAsia="方正仿宋简体"/>
          <w:b/>
          <w:bCs/>
          <w:sz w:val="33"/>
          <w:szCs w:val="33"/>
        </w:rPr>
        <w:t>二是侨法宣传全覆盖，</w:t>
      </w:r>
      <w:r>
        <w:rPr>
          <w:rFonts w:hint="eastAsia" w:ascii="宋体" w:hAnsi="宋体" w:eastAsia="方正仿宋简体" w:cs="方正仿宋简体"/>
          <w:b/>
          <w:bCs/>
          <w:sz w:val="33"/>
          <w:szCs w:val="33"/>
        </w:rPr>
        <w:t>加大宣传深度。</w:t>
      </w:r>
      <w:r>
        <w:rPr>
          <w:rFonts w:hint="eastAsia" w:ascii="宋体" w:hAnsi="宋体" w:eastAsia="方正仿宋简体" w:cs="方正仿宋简体"/>
          <w:sz w:val="33"/>
          <w:szCs w:val="33"/>
        </w:rPr>
        <w:t>利用职工会、侨联全委会</w:t>
      </w:r>
      <w:r>
        <w:rPr>
          <w:rFonts w:hint="eastAsia" w:ascii="方正仿宋简体" w:hAnsi="方正仿宋简体" w:eastAsia="方正仿宋简体" w:cs="方正仿宋简体"/>
          <w:sz w:val="33"/>
          <w:szCs w:val="33"/>
        </w:rPr>
        <w:t>集中学习侨法，强化专业培训，提高干部学习侨法的自觉性。同时，</w:t>
      </w:r>
      <w:r>
        <w:rPr>
          <w:rFonts w:hint="eastAsia" w:ascii="方正仿宋简体" w:hAnsi="方正仿宋简体" w:eastAsia="方正仿宋简体" w:cs="方正仿宋简体"/>
          <w:sz w:val="33"/>
          <w:szCs w:val="33"/>
          <w:shd w:val="clear" w:color="auto" w:fill="FFFFFF"/>
        </w:rPr>
        <w:t>利用法制日、世界环境日、禁烟日等宣传契机，开展侨法街头宣传活动，在人流量较大的街道</w:t>
      </w:r>
      <w:r>
        <w:rPr>
          <w:rFonts w:hint="eastAsia" w:ascii="方正仿宋简体" w:hAnsi="仿宋" w:eastAsia="方正仿宋简体" w:cs="仿宋"/>
          <w:sz w:val="33"/>
          <w:szCs w:val="33"/>
        </w:rPr>
        <w:t>设立侨法知识宣传咨询点，发放自制侨法宣传小册子等资料，并提供相关侨法咨询。</w:t>
      </w:r>
      <w:r>
        <w:rPr>
          <w:rFonts w:hint="eastAsia" w:ascii="宋体" w:hAnsi="宋体" w:eastAsia="方正仿宋简体" w:cs="方正仿宋简体"/>
          <w:b/>
          <w:bCs/>
          <w:sz w:val="33"/>
          <w:szCs w:val="33"/>
        </w:rPr>
        <w:t>三是主题活动齐参与，增强宣传力度。</w:t>
      </w:r>
      <w:r>
        <w:rPr>
          <w:rFonts w:hint="eastAsia" w:ascii="方正仿宋简体" w:hAnsi="仿宋" w:eastAsia="方正仿宋简体" w:cs="仿宋"/>
          <w:bCs/>
          <w:sz w:val="33"/>
          <w:szCs w:val="33"/>
        </w:rPr>
        <w:t>在四三一社区</w:t>
      </w:r>
      <w:r>
        <w:rPr>
          <w:rFonts w:hint="eastAsia" w:ascii="方正仿宋简体" w:hAnsi="仿宋" w:eastAsia="方正仿宋简体" w:cs="仿宋"/>
          <w:sz w:val="33"/>
          <w:szCs w:val="33"/>
        </w:rPr>
        <w:t>开展“侨法宣传进社区”活动，</w:t>
      </w:r>
      <w:r>
        <w:rPr>
          <w:rFonts w:hint="eastAsia" w:ascii="方正仿宋简体" w:hAnsi="方正仿宋简体" w:eastAsia="方正仿宋简体" w:cs="方正仿宋简体"/>
          <w:sz w:val="33"/>
          <w:szCs w:val="33"/>
          <w:shd w:val="clear" w:color="auto" w:fill="FFFFFF"/>
        </w:rPr>
        <w:t>以发放侨法宣传资料、提供法律咨询、涉侨知识问答等多种形式，共向居民群众发放侨法宣传资料共计300余份，宣传和普及了涉侨法规及政策，让广大归侨侨眷近距离学习涉侨法律知识，提高了对侨法的知晓率和认知度，积极营造依法护侨良好社会氛围，为构建侨界和谐发展发挥积极作用</w:t>
      </w:r>
      <w:r>
        <w:rPr>
          <w:rFonts w:hint="eastAsia" w:ascii="宋体" w:hAnsi="宋体" w:eastAsia="方正仿宋简体" w:cs="方正仿宋简体"/>
          <w:sz w:val="33"/>
          <w:szCs w:val="33"/>
        </w:rPr>
        <w:t>。</w:t>
      </w:r>
      <w:r>
        <w:rPr>
          <w:rFonts w:hint="eastAsia" w:ascii="宋体" w:hAnsi="宋体" w:eastAsia="方正仿宋简体" w:cs="方正仿宋简体"/>
          <w:b/>
          <w:bCs/>
          <w:sz w:val="33"/>
          <w:szCs w:val="33"/>
        </w:rPr>
        <w:t>四是法制讲堂进社区，扩宽宣传维度。</w:t>
      </w:r>
      <w:r>
        <w:rPr>
          <w:rFonts w:hint="eastAsia" w:ascii="宋体" w:hAnsi="宋体" w:eastAsia="方正仿宋简体" w:cs="方正仿宋简体"/>
          <w:sz w:val="33"/>
          <w:szCs w:val="33"/>
        </w:rPr>
        <w:t>邀请专业律师，为社区居民开展侨法讲座，</w:t>
      </w:r>
      <w:r>
        <w:rPr>
          <w:rFonts w:hint="eastAsia" w:ascii="方正仿宋简体" w:hAnsi="方正仿宋简体" w:eastAsia="方正仿宋简体" w:cs="方正仿宋简体"/>
          <w:color w:val="191919"/>
          <w:sz w:val="33"/>
          <w:szCs w:val="33"/>
          <w:shd w:val="clear" w:color="auto" w:fill="FFFFFF"/>
        </w:rPr>
        <w:t>结合实际案例深入浅出地讲解了归侨侨眷的权利和义务，特别是对困难归侨侨眷的补贴、华侨子女高考加分政策、华侨收养子女等相关问题进行了解读，同时律师还与大家进行了互动交流，现场解答居民提出的问题。</w:t>
      </w:r>
    </w:p>
    <w:p>
      <w:pPr>
        <w:spacing w:line="580" w:lineRule="exact"/>
        <w:ind w:right="329" w:firstLine="663" w:firstLineChars="200"/>
        <w:jc w:val="left"/>
        <w:rPr>
          <w:rFonts w:ascii="方正楷体简体" w:hAnsi="方正楷体简体" w:eastAsia="方正楷体简体" w:cs="方正楷体简体"/>
          <w:b/>
          <w:bCs/>
          <w:color w:val="191919"/>
          <w:sz w:val="33"/>
          <w:szCs w:val="33"/>
          <w:shd w:val="clear" w:color="auto" w:fill="FFFFFF"/>
        </w:rPr>
      </w:pPr>
      <w:r>
        <w:rPr>
          <w:rFonts w:hint="eastAsia" w:ascii="方正楷体简体" w:hAnsi="方正楷体简体" w:eastAsia="方正楷体简体" w:cs="方正楷体简体"/>
          <w:b/>
          <w:bCs/>
          <w:color w:val="191919"/>
          <w:sz w:val="33"/>
          <w:szCs w:val="33"/>
          <w:shd w:val="clear" w:color="auto" w:fill="FFFFFF"/>
        </w:rPr>
        <w:t>3.倾注一腔热情，助力疫情防控</w:t>
      </w:r>
    </w:p>
    <w:p>
      <w:pPr>
        <w:spacing w:line="580" w:lineRule="exact"/>
        <w:ind w:right="329" w:firstLine="660" w:firstLineChars="200"/>
        <w:jc w:val="left"/>
        <w:rPr>
          <w:rFonts w:hint="eastAsia" w:ascii="方正仿宋简体" w:eastAsia="方正仿宋简体"/>
          <w:sz w:val="33"/>
          <w:szCs w:val="33"/>
        </w:rPr>
      </w:pPr>
      <w:r>
        <w:rPr>
          <w:rFonts w:hint="eastAsia" w:ascii="方正仿宋简体" w:eastAsia="方正仿宋简体" w:cs="宋体"/>
          <w:kern w:val="0"/>
          <w:sz w:val="33"/>
          <w:szCs w:val="33"/>
        </w:rPr>
        <w:t>疫情就是命令，防控就是责任。为打赢新型冠状病毒感染的肺炎病这场疫情防控攻坚战，我会认真履行职能职责，充分发挥侨的优势，为坚决打赢新冠感染肺炎疫情阻击战作出积极努力。</w:t>
      </w:r>
      <w:r>
        <w:rPr>
          <w:rFonts w:hint="eastAsia" w:ascii="方正仿宋简体" w:eastAsia="方正仿宋简体" w:cs="宋体"/>
          <w:b/>
          <w:kern w:val="0"/>
          <w:sz w:val="33"/>
          <w:szCs w:val="33"/>
        </w:rPr>
        <w:t>一是加强物资保障，正面引导舆论。</w:t>
      </w:r>
      <w:r>
        <w:rPr>
          <w:rFonts w:hint="eastAsia" w:ascii="方正仿宋简体" w:eastAsia="方正仿宋简体" w:cs="宋体"/>
          <w:kern w:val="0"/>
          <w:sz w:val="33"/>
          <w:szCs w:val="33"/>
        </w:rPr>
        <w:t>疫情发生后，及时深入社区了解情况，主动购买防疫物资，为</w:t>
      </w:r>
      <w:r>
        <w:rPr>
          <w:rFonts w:hint="eastAsia" w:ascii="方正仿宋简体" w:eastAsia="方正仿宋简体"/>
          <w:sz w:val="33"/>
          <w:szCs w:val="33"/>
        </w:rPr>
        <w:t>四三一社区、九曲河社区</w:t>
      </w:r>
      <w:r>
        <w:rPr>
          <w:rFonts w:hint="eastAsia" w:ascii="方正仿宋简体" w:eastAsia="方正仿宋简体" w:cs="宋体"/>
          <w:kern w:val="0"/>
          <w:sz w:val="33"/>
          <w:szCs w:val="33"/>
        </w:rPr>
        <w:t>送去</w:t>
      </w:r>
      <w:r>
        <w:rPr>
          <w:rFonts w:hint="eastAsia" w:ascii="方正仿宋简体" w:eastAsia="方正仿宋简体"/>
          <w:sz w:val="33"/>
          <w:szCs w:val="33"/>
        </w:rPr>
        <w:t>1000余个爱心口罩；</w:t>
      </w:r>
      <w:r>
        <w:rPr>
          <w:rFonts w:hint="eastAsia" w:ascii="方正仿宋简体" w:eastAsia="方正仿宋简体" w:cs="宋体"/>
          <w:kern w:val="0"/>
          <w:sz w:val="33"/>
          <w:szCs w:val="33"/>
        </w:rPr>
        <w:t>倡议干部职工、侨界群众切实做好卫生防护，不聚会、不串门、不信谣、不传谣，通过电话、短信、微信群、QQ群等载体向广大侨界朋友宣传疫情防控知识，公布24小时咨询服务电话，引导归侨侨眷科学有序应对疫情，确保侨心稳定，生命健康。二</w:t>
      </w:r>
      <w:r>
        <w:rPr>
          <w:rFonts w:hint="eastAsia" w:ascii="方正仿宋简体" w:eastAsia="方正仿宋简体" w:cs="宋体"/>
          <w:b/>
          <w:kern w:val="0"/>
          <w:sz w:val="33"/>
          <w:szCs w:val="33"/>
        </w:rPr>
        <w:t>是主动融入社区，凝聚阻击合力。</w:t>
      </w:r>
      <w:r>
        <w:rPr>
          <w:rFonts w:hint="eastAsia" w:ascii="方正仿宋简体" w:eastAsia="方正仿宋简体" w:cs="宋体"/>
          <w:kern w:val="0"/>
          <w:sz w:val="33"/>
          <w:szCs w:val="33"/>
        </w:rPr>
        <w:t>及时对侨联干部职工进行疫情防控知识培训，深入长城超市、九曲河社区，协助超市、社区开展进出人员体温检测、外来人员及车辆登记、分发传单，入户调查，巡查工作等防疫工作，并为社区提供必要的人员及物资帮助，入户宣传400余户，体温监测800余人，发放宣传资料1500余份。</w:t>
      </w:r>
      <w:r>
        <w:rPr>
          <w:rFonts w:hint="eastAsia" w:ascii="方正仿宋简体" w:eastAsia="方正仿宋简体" w:cs="宋体"/>
          <w:b/>
          <w:bCs/>
          <w:kern w:val="0"/>
          <w:sz w:val="33"/>
          <w:szCs w:val="33"/>
        </w:rPr>
        <w:t>三是</w:t>
      </w:r>
      <w:r>
        <w:rPr>
          <w:rFonts w:hint="eastAsia" w:ascii="方正仿宋简体" w:eastAsia="方正仿宋简体"/>
          <w:b/>
          <w:bCs/>
          <w:sz w:val="33"/>
          <w:szCs w:val="33"/>
        </w:rPr>
        <w:t>积极联络关怀，支持科学抗疫。</w:t>
      </w:r>
      <w:r>
        <w:rPr>
          <w:rFonts w:hint="eastAsia" w:ascii="方正仿宋简体" w:eastAsia="方正仿宋简体"/>
          <w:sz w:val="33"/>
          <w:szCs w:val="33"/>
        </w:rPr>
        <w:t>通过国内侨属，运用电话、短信、邮件等多种形式联系我区海外华侨华人，传达家乡人民的牵挂与祝愿，切实了解他们的防疫抗疫情况，积极向他们推荐国内远程医疗服务平台，在线连线国内医生进行健康咨询，分享居家隔离、自我防护等措施，引导他们科学防疫、避免恐慌，积极传递相关政策信息，帮助海外侨胞及时掌握相关信息。</w:t>
      </w:r>
      <w:r>
        <w:rPr>
          <w:rFonts w:hint="eastAsia" w:ascii="方正仿宋简体" w:eastAsia="方正仿宋简体"/>
          <w:b/>
          <w:bCs/>
          <w:sz w:val="33"/>
          <w:szCs w:val="33"/>
        </w:rPr>
        <w:t>四是深入侨企调研，引导复工复产。</w:t>
      </w:r>
      <w:r>
        <w:rPr>
          <w:rFonts w:hint="eastAsia" w:ascii="方正仿宋简体" w:eastAsia="方正仿宋简体"/>
          <w:sz w:val="33"/>
          <w:szCs w:val="33"/>
        </w:rPr>
        <w:t>积极走访我区侨属企业，了解其复工复产情况，鼓励其做好疫情防控工作，做到疫情防控和复工复产两手抓、两不误。同时注重跟踪调研到位，深入精工机械有限公司、云泊酒店、瑞禾春生态农业有限公司开展调研，了解企业复工复产情况和实际困难，为企业发展建言献策，助力企业在特殊时期共克时艰。</w:t>
      </w:r>
    </w:p>
    <w:p>
      <w:pPr>
        <w:spacing w:line="580" w:lineRule="exact"/>
        <w:ind w:right="329" w:firstLine="663" w:firstLineChars="200"/>
        <w:jc w:val="left"/>
        <w:rPr>
          <w:rFonts w:ascii="方正仿宋简体" w:eastAsia="方正仿宋简体"/>
          <w:sz w:val="33"/>
          <w:szCs w:val="33"/>
        </w:rPr>
      </w:pPr>
      <w:r>
        <w:rPr>
          <w:rFonts w:hint="eastAsia" w:ascii="方正楷体简体" w:hAnsi="方正楷体简体" w:eastAsia="方正楷体简体" w:cs="方正楷体简体"/>
          <w:b/>
          <w:bCs/>
          <w:color w:val="191919"/>
          <w:sz w:val="33"/>
          <w:szCs w:val="33"/>
          <w:shd w:val="clear" w:color="auto" w:fill="FFFFFF"/>
        </w:rPr>
        <w:t>4.付出一颗真心，切实为民解困</w:t>
      </w:r>
    </w:p>
    <w:p>
      <w:pPr>
        <w:spacing w:line="580" w:lineRule="exact"/>
        <w:ind w:firstLine="660" w:firstLineChars="200"/>
        <w:rPr>
          <w:rFonts w:ascii="方正仿宋简体" w:hAnsi="方正仿宋简体" w:eastAsia="方正仿宋简体" w:cs="方正仿宋简体"/>
          <w:color w:val="191919"/>
          <w:sz w:val="33"/>
          <w:szCs w:val="33"/>
          <w:shd w:val="clear" w:color="auto" w:fill="FFFFFF"/>
        </w:rPr>
      </w:pPr>
      <w:r>
        <w:rPr>
          <w:rFonts w:hint="eastAsia" w:ascii="方正仿宋简体" w:eastAsia="方正仿宋简体"/>
          <w:sz w:val="33"/>
          <w:szCs w:val="33"/>
        </w:rPr>
        <w:t>紧紧围绕“服务”这个主题，走进基层，了解侨界群众所急所需所想，切实为民办实事、办好事、解难题。</w:t>
      </w:r>
      <w:r>
        <w:rPr>
          <w:rFonts w:hint="eastAsia" w:ascii="方正仿宋简体" w:eastAsia="方正仿宋简体"/>
          <w:b/>
          <w:bCs/>
          <w:sz w:val="33"/>
          <w:szCs w:val="33"/>
        </w:rPr>
        <w:t>一是凝聚侨心，服务侨界民生</w:t>
      </w:r>
      <w:r>
        <w:rPr>
          <w:rFonts w:hint="eastAsia" w:ascii="方正仿宋简体" w:eastAsia="方正仿宋简体"/>
          <w:sz w:val="33"/>
          <w:szCs w:val="33"/>
        </w:rPr>
        <w:t>。</w:t>
      </w:r>
      <w:r>
        <w:rPr>
          <w:rFonts w:hint="eastAsia" w:ascii="方正仿宋简体" w:hAnsi="仿宋" w:eastAsia="方正仿宋简体" w:cs="仿宋"/>
          <w:bCs/>
          <w:sz w:val="33"/>
          <w:szCs w:val="33"/>
        </w:rPr>
        <w:t>春节前夕，市区领导先后慰问困难归侨侨眷代表；元旦、端午、七一、中秋等节日，以走访、座谈、发放贺卡等多种形式向重点归侨、侨属代表、侨企以及侨联退休干部送去节日祝福。</w:t>
      </w:r>
      <w:r>
        <w:rPr>
          <w:rFonts w:hint="eastAsia" w:ascii="方正仿宋简体" w:hAnsi="仿宋" w:eastAsia="方正仿宋简体" w:cs="仿宋"/>
          <w:sz w:val="33"/>
          <w:szCs w:val="33"/>
        </w:rPr>
        <w:t>中秋前夕，组织</w:t>
      </w:r>
      <w:r>
        <w:rPr>
          <w:rFonts w:hint="eastAsia" w:ascii="方正仿宋简体" w:hAnsi="仿宋" w:eastAsia="方正仿宋简体" w:cs="仿宋"/>
          <w:bCs/>
          <w:sz w:val="33"/>
          <w:szCs w:val="33"/>
        </w:rPr>
        <w:t>“三胞三属”中秋座谈会，侨眷代表纷纷表示要</w:t>
      </w:r>
      <w:r>
        <w:rPr>
          <w:rFonts w:hint="eastAsia" w:ascii="方正仿宋简体" w:hAnsi="仿宋" w:eastAsia="方正仿宋简体" w:cs="仿宋"/>
          <w:sz w:val="33"/>
          <w:szCs w:val="33"/>
        </w:rPr>
        <w:t>发挥自己联系海外亲属的优势，积极牵线搭桥，引导海外亲属为雁江经济发展贡献力量。形式多样的联谊活动，</w:t>
      </w:r>
      <w:r>
        <w:rPr>
          <w:rFonts w:hint="eastAsia" w:ascii="方正仿宋简体" w:hAnsi="仿宋" w:eastAsia="方正仿宋简体" w:cs="仿宋"/>
          <w:bCs/>
          <w:sz w:val="33"/>
          <w:szCs w:val="33"/>
        </w:rPr>
        <w:t>促进了友谊，凝聚了侨心，汇集了侨</w:t>
      </w:r>
      <w:r>
        <w:rPr>
          <w:rFonts w:hint="eastAsia" w:ascii="方正仿宋简体" w:hAnsi="仿宋" w:eastAsia="方正仿宋简体" w:cs="仿宋"/>
          <w:sz w:val="33"/>
          <w:szCs w:val="33"/>
        </w:rPr>
        <w:t>力。</w:t>
      </w:r>
      <w:r>
        <w:rPr>
          <w:rFonts w:hint="eastAsia" w:ascii="方正仿宋简体" w:hAnsi="仿宋" w:eastAsia="方正仿宋简体" w:cs="仿宋"/>
          <w:bCs/>
          <w:sz w:val="33"/>
          <w:szCs w:val="33"/>
        </w:rPr>
        <w:t>今年以来我会共走访对象80余名，发放慰问金(品)近2万余元</w:t>
      </w:r>
      <w:r>
        <w:rPr>
          <w:rFonts w:hint="eastAsia" w:ascii="方正仿宋简体" w:hAnsi="宋体" w:eastAsia="方正仿宋简体"/>
          <w:color w:val="000000"/>
          <w:kern w:val="0"/>
          <w:sz w:val="33"/>
          <w:szCs w:val="33"/>
        </w:rPr>
        <w:t>。</w:t>
      </w:r>
      <w:r>
        <w:rPr>
          <w:rFonts w:hint="eastAsia" w:ascii="方正仿宋简体" w:eastAsia="方正仿宋简体"/>
          <w:b/>
          <w:bCs/>
          <w:sz w:val="33"/>
          <w:szCs w:val="33"/>
        </w:rPr>
        <w:t>二是交流互访，关注侨界发展。</w:t>
      </w:r>
      <w:r>
        <w:rPr>
          <w:rFonts w:hint="eastAsia" w:ascii="方正仿宋简体" w:eastAsia="方正仿宋简体"/>
          <w:sz w:val="33"/>
          <w:szCs w:val="33"/>
        </w:rPr>
        <w:t>重庆市大足区、潼南区侨联一行到四三一社区“侨之家”考察调研，并就侨情摸排、基层侨联组织建设、海内外联络联谊、服务经济发展、弘扬中华文化等工作进行了深入交流和探讨。此次活动是全面贯彻落实中央关于成渝地区双城经济圈建设重大战略部署，深化两地侨联合作交流，助推资阳大足两地高质量发展合作的重要举措，两地侨联交流合作，对形成高效协作、优势互补、联动互促、多元发展的良好态势具有积极推动作用。</w:t>
      </w:r>
      <w:r>
        <w:rPr>
          <w:rFonts w:hint="eastAsia" w:ascii="方正仿宋简体" w:eastAsia="方正仿宋简体"/>
          <w:b/>
          <w:bCs/>
          <w:sz w:val="33"/>
          <w:szCs w:val="33"/>
        </w:rPr>
        <w:t>三是强化举措，助力侨界脱贫。</w:t>
      </w:r>
      <w:r>
        <w:rPr>
          <w:rFonts w:hint="eastAsia" w:ascii="宋体" w:hAnsi="宋体" w:eastAsia="方正仿宋简体" w:cs="方正仿宋简体"/>
          <w:snapToGrid w:val="0"/>
          <w:color w:val="000000"/>
          <w:sz w:val="33"/>
          <w:szCs w:val="33"/>
        </w:rPr>
        <w:t>为抓实抓细脱贫攻坚工作，我会扎实开展“千人下基层、问题再发现”活动、脱贫攻坚问题整改清零行动、驻村帮扶亮明行动，为打赢脱贫攻坚战不懈努力。</w:t>
      </w:r>
      <w:r>
        <w:rPr>
          <w:rFonts w:hint="eastAsia" w:ascii="方正仿宋简体" w:hAnsi="方正仿宋简体" w:eastAsia="方正仿宋简体" w:cs="方正仿宋简体"/>
          <w:bCs/>
          <w:snapToGrid w:val="0"/>
          <w:color w:val="000000"/>
          <w:sz w:val="33"/>
          <w:szCs w:val="33"/>
        </w:rPr>
        <w:t>坚持每月走访贫困户两次，</w:t>
      </w:r>
      <w:r>
        <w:rPr>
          <w:rFonts w:hint="eastAsia" w:ascii="方正仿宋简体" w:hAnsi="方正仿宋简体" w:eastAsia="方正仿宋简体" w:cs="方正仿宋简体"/>
          <w:bCs/>
          <w:sz w:val="33"/>
          <w:szCs w:val="33"/>
        </w:rPr>
        <w:t>了解他们的生产生活情况，确保与结对帮扶对象面对面，为他们送去米、油等生活必需品，实地</w:t>
      </w:r>
      <w:r>
        <w:rPr>
          <w:rFonts w:hint="eastAsia" w:ascii="方正仿宋简体" w:hAnsi="方正仿宋简体" w:eastAsia="方正仿宋简体" w:cs="方正仿宋简体"/>
          <w:bCs/>
          <w:sz w:val="33"/>
          <w:szCs w:val="33"/>
          <w:lang w:eastAsia="zh-CN"/>
        </w:rPr>
        <w:t>察看</w:t>
      </w:r>
      <w:r>
        <w:rPr>
          <w:rFonts w:hint="eastAsia" w:ascii="方正仿宋简体" w:hAnsi="方正仿宋简体" w:eastAsia="方正仿宋简体" w:cs="方正仿宋简体"/>
          <w:bCs/>
          <w:sz w:val="33"/>
          <w:szCs w:val="33"/>
        </w:rPr>
        <w:t>了帮扶对象的居住环境，耐心询问他们</w:t>
      </w:r>
      <w:r>
        <w:rPr>
          <w:rFonts w:hint="eastAsia" w:ascii="方正仿宋简体" w:eastAsia="方正仿宋简体"/>
          <w:bCs/>
          <w:sz w:val="33"/>
          <w:szCs w:val="33"/>
        </w:rPr>
        <w:t>的收</w:t>
      </w:r>
      <w:r>
        <w:rPr>
          <w:rFonts w:hint="eastAsia" w:ascii="方正仿宋简体" w:eastAsia="方正仿宋简体"/>
          <w:sz w:val="33"/>
          <w:szCs w:val="33"/>
        </w:rPr>
        <w:t>入来源，主动关心他们的身体状况，认真听取他们的困难诉求，并积极帮助解决；核实贫困户信息，确保账实相符；积极为脱贫户提</w:t>
      </w:r>
      <w:r>
        <w:rPr>
          <w:rFonts w:hint="eastAsia" w:ascii="方正仿宋简体" w:hAnsi="方正仿宋简体" w:eastAsia="方正仿宋简体" w:cs="方正仿宋简体"/>
          <w:sz w:val="33"/>
          <w:szCs w:val="33"/>
        </w:rPr>
        <w:t>供务工信息，征求意愿，帮助协调务工；开展感恩教育、帮助整理环境卫生等，进一步聚民心，稳定脱贫成果。</w:t>
      </w:r>
      <w:r>
        <w:rPr>
          <w:rFonts w:hint="eastAsia" w:ascii="方正仿宋简体" w:eastAsia="方正仿宋简体"/>
          <w:b/>
          <w:bCs/>
          <w:sz w:val="33"/>
          <w:szCs w:val="33"/>
        </w:rPr>
        <w:t>四是增强责任，建设文明侨界。</w:t>
      </w:r>
      <w:r>
        <w:rPr>
          <w:rFonts w:hint="eastAsia" w:ascii="方正仿宋简体" w:eastAsia="方正仿宋简体"/>
          <w:sz w:val="33"/>
          <w:szCs w:val="33"/>
        </w:rPr>
        <w:t>积极参与到文明城市创建工作中，主动深入包联社区开展创文创卫活动，同时</w:t>
      </w:r>
      <w:r>
        <w:rPr>
          <w:rFonts w:hint="eastAsia" w:ascii="方正仿宋简体" w:hAnsi="仿宋" w:eastAsia="方正仿宋简体" w:cs="仿宋"/>
          <w:sz w:val="33"/>
          <w:szCs w:val="33"/>
        </w:rPr>
        <w:t>注重发挥侨界人士在精神文明建设中的作用，发出了创建“文明侨界，从我做起”的倡议书，同时组织了归侨侨眷围绕创建和谐侨界提一条建议，送一个微笑，读一本好书，行一件善事，做一项公益，帮一户困难家庭的“六个一”活动，</w:t>
      </w:r>
      <w:r>
        <w:rPr>
          <w:rFonts w:hint="eastAsia" w:ascii="方正仿宋简体" w:eastAsia="方正仿宋简体"/>
          <w:sz w:val="33"/>
          <w:szCs w:val="33"/>
        </w:rPr>
        <w:t>积极带动我区归侨侨眷主动参与到精神文明建设中。</w:t>
      </w:r>
    </w:p>
    <w:p>
      <w:pPr>
        <w:spacing w:line="580" w:lineRule="exact"/>
        <w:ind w:right="329" w:firstLine="663" w:firstLineChars="200"/>
        <w:jc w:val="left"/>
        <w:rPr>
          <w:rFonts w:ascii="方正楷体简体" w:hAnsi="方正楷体简体" w:eastAsia="方正楷体简体" w:cs="方正楷体简体"/>
          <w:b/>
          <w:bCs/>
          <w:color w:val="191919"/>
          <w:sz w:val="33"/>
          <w:szCs w:val="33"/>
          <w:shd w:val="clear" w:color="auto" w:fill="FFFFFF"/>
        </w:rPr>
      </w:pPr>
      <w:r>
        <w:rPr>
          <w:rFonts w:hint="eastAsia" w:ascii="方正楷体简体" w:hAnsi="方正楷体简体" w:eastAsia="方正楷体简体" w:cs="方正楷体简体"/>
          <w:b/>
          <w:bCs/>
          <w:color w:val="191919"/>
          <w:sz w:val="33"/>
          <w:szCs w:val="33"/>
          <w:shd w:val="clear" w:color="auto" w:fill="FFFFFF"/>
        </w:rPr>
        <w:t>5.“十三五”工作亮点</w:t>
      </w:r>
    </w:p>
    <w:p>
      <w:pPr>
        <w:pStyle w:val="15"/>
        <w:spacing w:line="580" w:lineRule="exact"/>
        <w:ind w:left="0" w:leftChars="0" w:firstLine="660"/>
        <w:rPr>
          <w:rFonts w:ascii="方正仿宋简体" w:hAnsi="方正仿宋简体" w:eastAsia="方正仿宋简体" w:cs="方正仿宋简体"/>
          <w:bCs/>
          <w:color w:val="000000"/>
          <w:sz w:val="33"/>
          <w:szCs w:val="33"/>
        </w:rPr>
      </w:pPr>
      <w:r>
        <w:rPr>
          <w:rFonts w:hint="eastAsia" w:ascii="方正仿宋简体" w:hAnsi="仿宋" w:eastAsia="方正仿宋简体" w:cs="仿宋"/>
          <w:sz w:val="33"/>
          <w:szCs w:val="33"/>
        </w:rPr>
        <w:t>我会在“十三五”期间，</w:t>
      </w:r>
      <w:r>
        <w:rPr>
          <w:rFonts w:hint="eastAsia" w:ascii="方正仿宋简体" w:hAnsi="方正仿宋简体" w:eastAsia="方正仿宋简体" w:cs="方正仿宋简体"/>
          <w:bCs/>
          <w:color w:val="000000"/>
          <w:sz w:val="33"/>
          <w:szCs w:val="33"/>
        </w:rPr>
        <w:t>团结广大归侨侨眷和海外侨胞，在区委、区政府的领导下，在市侨联的指导下，始终坚持围绕中心、服务大局，找准侨联工作的着力点和切合点，夯实基础，突出重点，发挥优势，整合资源，奋力开拓，大胆创新，扎实推进各项工作，注重实效亮点纷呈。</w:t>
      </w:r>
    </w:p>
    <w:p>
      <w:pPr>
        <w:pStyle w:val="15"/>
        <w:spacing w:line="580" w:lineRule="exact"/>
        <w:ind w:left="0" w:leftChars="0" w:firstLine="663"/>
        <w:rPr>
          <w:rFonts w:ascii="方正楷体简体" w:hAnsi="方正楷体简体" w:eastAsia="方正楷体简体" w:cs="方正楷体简体"/>
          <w:b/>
          <w:color w:val="000000"/>
          <w:sz w:val="33"/>
          <w:szCs w:val="33"/>
        </w:rPr>
      </w:pPr>
      <w:r>
        <w:rPr>
          <w:rFonts w:hint="eastAsia" w:ascii="方正楷体简体" w:hAnsi="方正楷体简体" w:eastAsia="方正楷体简体" w:cs="方正楷体简体"/>
          <w:b/>
          <w:color w:val="000000"/>
          <w:sz w:val="33"/>
          <w:szCs w:val="33"/>
        </w:rPr>
        <w:t>（1）延伸工作手段，推进侨联工作取得新成效</w:t>
      </w:r>
    </w:p>
    <w:p>
      <w:pPr>
        <w:pStyle w:val="15"/>
        <w:spacing w:line="580" w:lineRule="exact"/>
        <w:ind w:left="0" w:leftChars="0" w:firstLine="663" w:firstLineChars="0"/>
        <w:rPr>
          <w:rFonts w:ascii="方正仿宋简体" w:eastAsia="方正仿宋简体"/>
          <w:sz w:val="33"/>
          <w:szCs w:val="33"/>
        </w:rPr>
      </w:pPr>
      <w:r>
        <w:rPr>
          <w:rFonts w:hint="eastAsia" w:ascii="方正仿宋简体" w:hAnsi="方正仿宋简体" w:eastAsia="方正仿宋简体" w:cs="方正仿宋简体"/>
          <w:b/>
          <w:color w:val="000000"/>
          <w:sz w:val="33"/>
          <w:szCs w:val="33"/>
        </w:rPr>
        <w:t>一是建立了侨情信息动态管理系统。</w:t>
      </w:r>
      <w:r>
        <w:rPr>
          <w:rFonts w:hint="eastAsia" w:ascii="方正仿宋简体" w:hAnsi="方正仿宋简体" w:eastAsia="方正仿宋简体" w:cs="方正仿宋简体"/>
          <w:bCs/>
          <w:color w:val="000000"/>
          <w:sz w:val="33"/>
          <w:szCs w:val="33"/>
        </w:rPr>
        <w:t>在原有侨情信息库的基础上，2016年、2018年、2020年以“侨情普查”为契机，了解侨情信息动态，分析掌握侨情变化，健全完善数据库，切实摸清家底。同时，</w:t>
      </w:r>
      <w:r>
        <w:rPr>
          <w:rFonts w:hint="eastAsia" w:ascii="方正仿宋简体" w:hAnsi="仿宋" w:eastAsia="方正仿宋简体" w:cs="仿宋"/>
          <w:kern w:val="0"/>
          <w:sz w:val="33"/>
          <w:szCs w:val="33"/>
        </w:rPr>
        <w:t>借鉴“量体裁衣”模式，</w:t>
      </w:r>
      <w:r>
        <w:rPr>
          <w:rFonts w:hint="eastAsia" w:ascii="方正仿宋简体" w:hAnsi="仿宋" w:eastAsia="方正仿宋简体" w:cs="仿宋"/>
          <w:sz w:val="33"/>
          <w:szCs w:val="33"/>
        </w:rPr>
        <w:t>走村入户了解侨情，全面准确地建立困难侨属台账，针对台账中提到的问题，主动与相关部门进行沟通协调，为困难侨属提供力所能及的帮助。</w:t>
      </w:r>
      <w:r>
        <w:rPr>
          <w:rFonts w:hint="eastAsia" w:ascii="方正仿宋简体" w:hAnsi="方正仿宋简体" w:eastAsia="方正仿宋简体" w:cs="方正仿宋简体"/>
          <w:b/>
          <w:color w:val="000000"/>
          <w:sz w:val="33"/>
          <w:szCs w:val="33"/>
        </w:rPr>
        <w:t>二是建立了侨务交流平台“侨之家”。</w:t>
      </w:r>
      <w:r>
        <w:rPr>
          <w:rFonts w:hint="eastAsia" w:ascii="方正仿宋简体" w:hAnsi="方正仿宋简体" w:eastAsia="方正仿宋简体" w:cs="方正仿宋简体"/>
          <w:bCs/>
          <w:color w:val="000000"/>
          <w:sz w:val="33"/>
          <w:szCs w:val="33"/>
        </w:rPr>
        <w:t>2016年，市区侨联在四三一社区共建“侨之家”并投入使用，设有群众活动室、阅览室、侨法宣传角。发挥宣传侨法和侨务政策，开展侨务知识宣讲培训，组织侨界联谊、帮扶活动等功能。</w:t>
      </w:r>
      <w:r>
        <w:rPr>
          <w:rFonts w:hint="eastAsia" w:ascii="方正仿宋简体" w:eastAsia="方正仿宋简体"/>
          <w:bCs/>
          <w:sz w:val="33"/>
          <w:szCs w:val="33"/>
        </w:rPr>
        <w:t>借助该平台，传统节日开展传统文化展，端午、中秋等节日开展主题游园活动，感恩节开展感恩亲子活动，国庆节开展“侨心向党”主题活动</w:t>
      </w:r>
      <w:r>
        <w:rPr>
          <w:rFonts w:hint="eastAsia" w:ascii="方正仿宋简体" w:eastAsia="方正仿宋简体"/>
          <w:bCs/>
          <w:sz w:val="33"/>
          <w:szCs w:val="33"/>
          <w:lang w:eastAsia="zh-CN"/>
        </w:rPr>
        <w:t>……</w:t>
      </w:r>
      <w:r>
        <w:rPr>
          <w:rFonts w:hint="eastAsia" w:ascii="方正仿宋简体" w:eastAsia="方正仿宋简体"/>
          <w:bCs/>
          <w:sz w:val="33"/>
          <w:szCs w:val="33"/>
        </w:rPr>
        <w:t>通过一系列特色活动的开展，拉近与归侨侨眷之间的距离，扩大侨联影响力、</w:t>
      </w:r>
      <w:r>
        <w:rPr>
          <w:rFonts w:hint="eastAsia" w:ascii="方正仿宋简体" w:eastAsia="方正仿宋简体"/>
          <w:sz w:val="33"/>
          <w:szCs w:val="33"/>
        </w:rPr>
        <w:t>展现侨联新形象、传递侨界正能量。</w:t>
      </w:r>
      <w:r>
        <w:rPr>
          <w:rFonts w:hint="eastAsia" w:ascii="方正仿宋简体" w:hAnsi="方正仿宋简体" w:eastAsia="方正仿宋简体" w:cs="方正仿宋简体"/>
          <w:b/>
          <w:color w:val="000000"/>
          <w:sz w:val="33"/>
          <w:szCs w:val="33"/>
        </w:rPr>
        <w:t>三是建立了侨务引智平台“侨智园”。</w:t>
      </w:r>
      <w:r>
        <w:rPr>
          <w:rFonts w:hint="eastAsia" w:ascii="方正仿宋简体" w:eastAsia="方正仿宋简体"/>
          <w:sz w:val="33"/>
          <w:szCs w:val="33"/>
        </w:rPr>
        <w:t>2016年，我会与资阳市精工砖机有限公司共同打造“侨智园”，设有生产车间、科技成果展示间、活动室、宣传栏。以“以侨引才、以侨引智”为目标，整合全区侨商、侨领、侨眷以及侨务系统的信息资源，为高层次人才回国创业发展提供项目对接、创业培训、政策支持等服务，为各类创新创业活动提供数据支撑，加强与高校、科研院所、技术机构等的联系，打造“智汇资阳”侨品牌。</w:t>
      </w:r>
      <w:r>
        <w:rPr>
          <w:rFonts w:hint="eastAsia" w:ascii="方正仿宋简体" w:hAnsi="方正仿宋简体" w:eastAsia="方正仿宋简体" w:cs="方正仿宋简体"/>
          <w:b/>
          <w:color w:val="000000"/>
          <w:sz w:val="33"/>
          <w:szCs w:val="33"/>
        </w:rPr>
        <w:t>四是建立了侨务法制平台“法律服务站”。</w:t>
      </w:r>
      <w:r>
        <w:rPr>
          <w:rFonts w:hint="eastAsia" w:ascii="方正仿宋简体" w:eastAsia="方正仿宋简体"/>
          <w:sz w:val="33"/>
          <w:szCs w:val="33"/>
        </w:rPr>
        <w:t>为提高为侨服务水平，2017年7月在蜀缘（资阳）律师事务所建立了“为侨法律服务站”，</w:t>
      </w:r>
      <w:r>
        <w:rPr>
          <w:rFonts w:hint="eastAsia" w:ascii="方正仿宋简体" w:hAnsi="Calibri" w:eastAsia="方正仿宋简体"/>
          <w:sz w:val="33"/>
          <w:szCs w:val="33"/>
        </w:rPr>
        <w:t>在工作日免费为侨界群众提供现场法律咨询服务，并开通电话咨询，为侨界群众提供更加快捷的服务，</w:t>
      </w:r>
      <w:r>
        <w:rPr>
          <w:rFonts w:hint="eastAsia" w:ascii="方正仿宋简体" w:eastAsia="方正仿宋简体"/>
          <w:sz w:val="33"/>
          <w:szCs w:val="33"/>
        </w:rPr>
        <w:t>为侨界困难人员依法提供法律援助服务。</w:t>
      </w:r>
      <w:r>
        <w:rPr>
          <w:rFonts w:hint="eastAsia" w:ascii="方正仿宋简体" w:eastAsia="方正仿宋简体"/>
          <w:sz w:val="33"/>
          <w:szCs w:val="33"/>
          <w:lang w:eastAsia="zh-CN"/>
        </w:rPr>
        <w:t>截至目前</w:t>
      </w:r>
      <w:r>
        <w:rPr>
          <w:rFonts w:hint="eastAsia" w:ascii="方正仿宋简体" w:eastAsia="方正仿宋简体"/>
          <w:sz w:val="33"/>
          <w:szCs w:val="33"/>
        </w:rPr>
        <w:t>，共接待归侨侨眷法律咨询二十余起，为侨属企业提供法律援助五起，切实维护了我区侨界群众和侨属企业的合法权益，开启了我区侨益保护的新篇章。</w:t>
      </w:r>
    </w:p>
    <w:p>
      <w:pPr>
        <w:pStyle w:val="15"/>
        <w:spacing w:line="580" w:lineRule="exact"/>
        <w:ind w:left="0" w:leftChars="0" w:firstLine="0" w:firstLineChars="0"/>
        <w:rPr>
          <w:rFonts w:ascii="方正仿宋简体" w:hAnsi="方正仿宋简体" w:eastAsia="方正仿宋简体" w:cs="方正仿宋简体"/>
          <w:bCs/>
          <w:color w:val="000000"/>
          <w:sz w:val="33"/>
          <w:szCs w:val="33"/>
        </w:rPr>
      </w:pPr>
      <w:r>
        <w:rPr>
          <w:rFonts w:hint="eastAsia" w:ascii="方正仿宋简体" w:hAnsi="方正仿宋简体" w:eastAsia="方正仿宋简体" w:cs="方正仿宋简体"/>
          <w:bCs/>
          <w:color w:val="000000"/>
          <w:sz w:val="33"/>
          <w:szCs w:val="33"/>
        </w:rPr>
        <w:t>　</w:t>
      </w:r>
      <w:r>
        <w:rPr>
          <w:rFonts w:hint="eastAsia" w:ascii="方正楷体简体" w:hAnsi="方正楷体简体" w:eastAsia="方正楷体简体" w:cs="方正楷体简体"/>
          <w:b/>
          <w:color w:val="000000"/>
          <w:sz w:val="33"/>
          <w:szCs w:val="33"/>
        </w:rPr>
        <w:t>　（2）整合优势资源，服务经济社会作出新贡献</w:t>
      </w:r>
    </w:p>
    <w:p>
      <w:pPr>
        <w:spacing w:line="580" w:lineRule="exact"/>
        <w:ind w:firstLine="663" w:firstLineChars="200"/>
        <w:rPr>
          <w:rFonts w:ascii="方正仿宋简体" w:eastAsia="方正仿宋简体"/>
          <w:sz w:val="33"/>
          <w:szCs w:val="33"/>
        </w:rPr>
      </w:pPr>
      <w:r>
        <w:rPr>
          <w:rFonts w:hint="eastAsia" w:ascii="方正仿宋简体" w:eastAsia="方正仿宋简体"/>
          <w:b/>
          <w:sz w:val="33"/>
          <w:szCs w:val="33"/>
        </w:rPr>
        <w:t>一是内引外联，</w:t>
      </w:r>
      <w:r>
        <w:rPr>
          <w:rFonts w:hint="eastAsia" w:ascii="方正仿宋简体" w:hAnsi="仿宋" w:eastAsia="方正仿宋简体" w:cs="仿宋"/>
          <w:b/>
          <w:sz w:val="33"/>
          <w:szCs w:val="33"/>
        </w:rPr>
        <w:t>组织参与涉侨经济活动</w:t>
      </w:r>
      <w:r>
        <w:rPr>
          <w:rFonts w:hint="eastAsia" w:ascii="方正仿宋简体" w:eastAsia="方正仿宋简体"/>
          <w:b/>
          <w:sz w:val="33"/>
          <w:szCs w:val="33"/>
        </w:rPr>
        <w:t>。</w:t>
      </w:r>
      <w:r>
        <w:rPr>
          <w:rFonts w:hint="eastAsia" w:ascii="方正仿宋简体" w:eastAsia="方正仿宋简体"/>
          <w:sz w:val="33"/>
          <w:szCs w:val="33"/>
        </w:rPr>
        <w:t>组织我区侨企精工机械有限公司参加四川</w:t>
      </w:r>
      <w:r>
        <w:rPr>
          <w:rFonts w:hint="eastAsia" w:ascii="方正仿宋简体" w:eastAsia="方正仿宋简体"/>
          <w:sz w:val="33"/>
          <w:szCs w:val="33"/>
          <w:lang w:eastAsia="zh-CN"/>
        </w:rPr>
        <w:t>－</w:t>
      </w:r>
      <w:r>
        <w:rPr>
          <w:rFonts w:hint="eastAsia" w:ascii="方正仿宋简体" w:eastAsia="方正仿宋简体"/>
          <w:sz w:val="33"/>
          <w:szCs w:val="33"/>
        </w:rPr>
        <w:t>台湾精密机械制造业双向对接会，加强交流合作，增进业界了解，推动项目合作；助推四川省机械设计院领导到精工机械有限公司进行实地考察，达成双方合作驱动机器人产业发展初步协议；协助引进侨资企业经东实业有限公司在雁江区投资3000万元建设纸业项目；协助市侨联引进侨企杭州物恋科技有限公司在我区投资建立资阳市物恋电子商务有限公司。二</w:t>
      </w:r>
      <w:r>
        <w:rPr>
          <w:rFonts w:hint="eastAsia" w:ascii="方正仿宋简体" w:eastAsia="方正仿宋简体"/>
          <w:b/>
          <w:sz w:val="33"/>
          <w:szCs w:val="33"/>
        </w:rPr>
        <w:t>是主动作为，积极开展侨企跟踪服务。</w:t>
      </w:r>
      <w:r>
        <w:rPr>
          <w:rFonts w:hint="eastAsia" w:ascii="方正仿宋简体" w:eastAsia="方正仿宋简体"/>
          <w:bCs/>
          <w:sz w:val="33"/>
          <w:szCs w:val="33"/>
        </w:rPr>
        <w:t>切实开展“走企业、促发展”活动，坚持每季度组织侨联委员、侨界代表深入侨属企业调研考察，了解企业发展情况、生产困境，分析原因，积极建言献策，形成调研报告十余篇，争取相关部门的支持，为促进企业可持续发展贡献力量，</w:t>
      </w:r>
      <w:r>
        <w:rPr>
          <w:rFonts w:hint="eastAsia" w:ascii="方正仿宋简体" w:hAnsi="Calibri" w:eastAsia="方正仿宋简体"/>
          <w:bCs/>
          <w:sz w:val="33"/>
          <w:szCs w:val="33"/>
        </w:rPr>
        <w:t>进一步融洽了政商关系，</w:t>
      </w:r>
      <w:r>
        <w:rPr>
          <w:rFonts w:hint="eastAsia" w:ascii="方正仿宋简体" w:hAnsi="方正仿宋简体" w:eastAsia="方正仿宋简体" w:cs="方正仿宋简体"/>
          <w:bCs/>
          <w:sz w:val="33"/>
          <w:szCs w:val="33"/>
        </w:rPr>
        <w:t>提高企业对党委政府的认同度、满意度。</w:t>
      </w:r>
      <w:r>
        <w:rPr>
          <w:rFonts w:hint="eastAsia" w:ascii="方正仿宋简体" w:hAnsi="方正仿宋简体" w:eastAsia="方正仿宋简体" w:cs="方正仿宋简体"/>
          <w:b/>
          <w:sz w:val="33"/>
          <w:szCs w:val="33"/>
        </w:rPr>
        <w:t>三是</w:t>
      </w:r>
      <w:r>
        <w:rPr>
          <w:rFonts w:hint="eastAsia" w:ascii="方正仿宋简体" w:eastAsia="方正仿宋简体"/>
          <w:b/>
          <w:sz w:val="33"/>
          <w:szCs w:val="33"/>
        </w:rPr>
        <w:t>牵线搭桥，助力慈善公益事业。</w:t>
      </w:r>
      <w:r>
        <w:rPr>
          <w:rFonts w:hint="eastAsia" w:ascii="方正仿宋简体" w:eastAsia="方正仿宋简体"/>
          <w:bCs/>
          <w:sz w:val="33"/>
          <w:szCs w:val="33"/>
        </w:rPr>
        <w:t>切实开展“情暖侨心”系列活动，每年投入一万元，助推侨界教育事业发展，通过开展“侨爱进校园”、“欢乐庆六一”等主题活动，关爱学生；在资阳中学实验学校开展“澳大利亚魏基成慈善列车冬衣捐赠活动”</w:t>
      </w:r>
      <w:r>
        <w:rPr>
          <w:rFonts w:hint="eastAsia" w:ascii="方正仿宋简体" w:eastAsia="方正仿宋简体"/>
          <w:bCs/>
          <w:sz w:val="33"/>
          <w:szCs w:val="33"/>
          <w:lang w:val="en-US" w:eastAsia="zh-CN"/>
        </w:rPr>
        <w:t>,</w:t>
      </w:r>
      <w:r>
        <w:rPr>
          <w:rFonts w:hint="eastAsia" w:ascii="方正仿宋简体" w:eastAsia="方正仿宋简体"/>
          <w:bCs/>
          <w:sz w:val="33"/>
          <w:szCs w:val="33"/>
        </w:rPr>
        <w:t>为全校60名小学生送去了过冬棉衣</w:t>
      </w:r>
      <w:r>
        <w:rPr>
          <w:rFonts w:hint="eastAsia" w:ascii="方正仿宋简体" w:eastAsia="方正仿宋简体"/>
          <w:bCs/>
          <w:sz w:val="33"/>
          <w:szCs w:val="33"/>
          <w:lang w:val="en-US" w:eastAsia="zh-CN"/>
        </w:rPr>
        <w:t>;</w:t>
      </w:r>
      <w:r>
        <w:rPr>
          <w:rFonts w:hint="eastAsia" w:ascii="方正仿宋简体" w:eastAsia="方正仿宋简体"/>
          <w:bCs/>
          <w:sz w:val="33"/>
          <w:szCs w:val="33"/>
        </w:rPr>
        <w:t>在贫困村丹山镇牌坊村开展“侨心向党 助力学子送温暖”活动，为牌坊小学30多名困难学生送去了学习用具和过冬棉衣。</w:t>
      </w:r>
    </w:p>
    <w:p>
      <w:pPr>
        <w:pStyle w:val="15"/>
        <w:spacing w:line="580" w:lineRule="exact"/>
        <w:ind w:left="0" w:leftChars="0" w:firstLine="0" w:firstLineChars="0"/>
        <w:rPr>
          <w:rFonts w:ascii="方正楷体简体" w:hAnsi="方正楷体简体" w:eastAsia="方正楷体简体" w:cs="方正楷体简体"/>
          <w:b/>
          <w:color w:val="000000"/>
          <w:sz w:val="33"/>
          <w:szCs w:val="33"/>
        </w:rPr>
      </w:pPr>
      <w:r>
        <w:rPr>
          <w:rFonts w:hint="eastAsia" w:ascii="方正仿宋简体" w:hAnsi="方正仿宋简体" w:eastAsia="方正仿宋简体" w:cs="方正仿宋简体"/>
          <w:bCs/>
          <w:color w:val="000000"/>
          <w:sz w:val="33"/>
          <w:szCs w:val="33"/>
        </w:rPr>
        <w:t>　　</w:t>
      </w:r>
      <w:r>
        <w:rPr>
          <w:rFonts w:hint="eastAsia" w:ascii="方正楷体简体" w:hAnsi="方正楷体简体" w:eastAsia="方正楷体简体" w:cs="方正楷体简体"/>
          <w:b/>
          <w:color w:val="000000"/>
          <w:sz w:val="33"/>
          <w:szCs w:val="33"/>
        </w:rPr>
        <w:t>（3）深化侨惠民生，扎实为侨服务实现新效能</w:t>
      </w:r>
    </w:p>
    <w:p>
      <w:pPr>
        <w:pStyle w:val="15"/>
        <w:spacing w:line="580" w:lineRule="exact"/>
        <w:ind w:left="0" w:leftChars="0" w:firstLine="0" w:firstLineChars="0"/>
        <w:rPr>
          <w:rFonts w:ascii="方正仿宋简体" w:hAnsi="方正仿宋简体" w:eastAsia="方正仿宋简体" w:cs="方正仿宋简体"/>
          <w:bCs/>
          <w:color w:val="000000"/>
          <w:sz w:val="33"/>
          <w:szCs w:val="33"/>
        </w:rPr>
      </w:pPr>
      <w:r>
        <w:rPr>
          <w:rFonts w:hint="eastAsia" w:ascii="方正仿宋简体" w:hAnsi="方正仿宋简体" w:eastAsia="方正仿宋简体" w:cs="方正仿宋简体"/>
          <w:bCs/>
          <w:color w:val="000000"/>
          <w:sz w:val="33"/>
          <w:szCs w:val="33"/>
        </w:rPr>
        <w:t xml:space="preserve">　  </w:t>
      </w:r>
      <w:r>
        <w:rPr>
          <w:rFonts w:hint="eastAsia" w:ascii="方正仿宋简体" w:hAnsi="方正仿宋简体" w:eastAsia="方正仿宋简体" w:cs="方正仿宋简体"/>
          <w:b/>
          <w:color w:val="000000"/>
          <w:sz w:val="33"/>
          <w:szCs w:val="33"/>
        </w:rPr>
        <w:t>一是侨法宣传形式多。</w:t>
      </w:r>
      <w:r>
        <w:rPr>
          <w:rFonts w:hint="eastAsia" w:ascii="方正仿宋简体" w:hAnsi="方正仿宋简体" w:eastAsia="方正仿宋简体" w:cs="方正仿宋简体"/>
          <w:bCs/>
          <w:color w:val="000000"/>
          <w:sz w:val="33"/>
          <w:szCs w:val="33"/>
        </w:rPr>
        <w:t>利用微信公众号、抖音等新媒介进行宣传，开展侨法街头宣传、“侨法知识问答”、“侨法知识讲堂”进社区等系列活动，五年来，以“侨法宣传周”和“12•4全国法制宣传日”为契机开展侨法宣传主题活动十余场次，向各镇街、单位、侨界群众共发放侨法宣传资料上万份，营造爱侨护侨良好氛围。</w:t>
      </w:r>
      <w:r>
        <w:rPr>
          <w:rFonts w:hint="eastAsia" w:ascii="方正仿宋简体" w:hAnsi="方正仿宋简体" w:eastAsia="方正仿宋简体" w:cs="方正仿宋简体"/>
          <w:b/>
          <w:color w:val="000000"/>
          <w:sz w:val="33"/>
          <w:szCs w:val="33"/>
        </w:rPr>
        <w:t>二是参政议政质量高。</w:t>
      </w:r>
      <w:r>
        <w:rPr>
          <w:rFonts w:hint="eastAsia" w:ascii="方正仿宋简体" w:hAnsi="方正仿宋简体" w:eastAsia="方正仿宋简体" w:cs="方正仿宋简体"/>
          <w:bCs/>
          <w:color w:val="000000"/>
          <w:sz w:val="33"/>
          <w:szCs w:val="33"/>
        </w:rPr>
        <w:t>建立《区侨联参政议政工作制度》，明确任务要求、调研机制、奖励考核机制等，组织、引导侨界政协委员积极参政议政；五年来共撰写集体提案10余件，个人提案35件；反映侨情民意50余篇。多篇提案获得区政协优秀提案奖，每件提案均得到交办单位的满意答复，为党委、政府科学决策提供了重要依据。</w:t>
      </w:r>
      <w:r>
        <w:rPr>
          <w:rFonts w:hint="eastAsia" w:ascii="方正仿宋简体" w:hAnsi="方正仿宋简体" w:eastAsia="方正仿宋简体" w:cs="方正仿宋简体"/>
          <w:b/>
          <w:color w:val="000000"/>
          <w:sz w:val="33"/>
          <w:szCs w:val="33"/>
        </w:rPr>
        <w:t>三是凝聚侨心作用大。</w:t>
      </w:r>
      <w:r>
        <w:rPr>
          <w:rFonts w:hint="eastAsia" w:ascii="方正仿宋简体" w:hAnsi="方正仿宋简体" w:eastAsia="方正仿宋简体" w:cs="方正仿宋简体"/>
          <w:bCs/>
          <w:color w:val="000000"/>
          <w:sz w:val="33"/>
          <w:szCs w:val="33"/>
        </w:rPr>
        <w:t>广泛开展“侨联委员进侨家走访月”、“暖侨心、听侨声”走访活动，深入群众倾听诉求；持续做好“送温暖、献爱心”品牌活动，</w:t>
      </w:r>
      <w:r>
        <w:rPr>
          <w:rFonts w:hint="eastAsia" w:ascii="方正仿宋简体" w:hAnsi="仿宋" w:eastAsia="方正仿宋简体" w:cs="仿宋"/>
          <w:bCs/>
          <w:sz w:val="33"/>
          <w:szCs w:val="33"/>
        </w:rPr>
        <w:t>五年来共走访对象300余名，发放慰问金(品)近10万元。</w:t>
      </w:r>
      <w:r>
        <w:rPr>
          <w:rFonts w:hint="eastAsia" w:ascii="方正仿宋简体" w:hAnsi="方正仿宋简体" w:eastAsia="方正仿宋简体" w:cs="方正仿宋简体"/>
          <w:bCs/>
          <w:color w:val="000000"/>
          <w:sz w:val="33"/>
          <w:szCs w:val="33"/>
        </w:rPr>
        <w:t>组织</w:t>
      </w:r>
      <w:r>
        <w:rPr>
          <w:rFonts w:hint="eastAsia" w:ascii="方正仿宋简体" w:eastAsia="方正仿宋简体"/>
          <w:sz w:val="33"/>
          <w:szCs w:val="33"/>
        </w:rPr>
        <w:t>召开“三胞三属”迎春座谈会、中秋联谊会等，与归侨侨眷代表欢聚一堂，共叙友情；重要节日前夕，通过发送邮件、短信、贺卡等形式为全区归侨侨眷、侨属企业、退休干部职工等送去节日祝福。</w:t>
      </w:r>
    </w:p>
    <w:p>
      <w:pPr>
        <w:pStyle w:val="15"/>
        <w:spacing w:line="580" w:lineRule="exact"/>
        <w:ind w:left="0" w:leftChars="0" w:firstLine="0" w:firstLineChars="0"/>
        <w:rPr>
          <w:rFonts w:ascii="方正仿宋简体" w:hAnsi="方正仿宋简体" w:eastAsia="方正仿宋简体" w:cs="方正仿宋简体"/>
          <w:bCs/>
          <w:color w:val="000000"/>
          <w:sz w:val="33"/>
          <w:szCs w:val="33"/>
        </w:rPr>
      </w:pPr>
      <w:r>
        <w:rPr>
          <w:rFonts w:hint="eastAsia" w:ascii="方正楷体简体" w:hAnsi="方正楷体简体" w:eastAsia="方正楷体简体" w:cs="方正楷体简体"/>
          <w:b/>
          <w:color w:val="000000"/>
          <w:sz w:val="33"/>
          <w:szCs w:val="33"/>
        </w:rPr>
        <w:t>　　（4）拓展交流联谊，提升自身建设达到新水平</w:t>
      </w:r>
    </w:p>
    <w:p>
      <w:pPr>
        <w:pStyle w:val="15"/>
        <w:spacing w:line="580" w:lineRule="exact"/>
        <w:ind w:left="0" w:leftChars="0" w:firstLine="664" w:firstLineChars="0"/>
        <w:rPr>
          <w:rFonts w:ascii="方正仿宋简体" w:hAnsi="方正仿宋简体" w:eastAsia="方正仿宋简体" w:cs="方正仿宋简体"/>
          <w:bCs/>
          <w:color w:val="000000"/>
          <w:sz w:val="33"/>
          <w:szCs w:val="33"/>
        </w:rPr>
      </w:pPr>
      <w:r>
        <w:rPr>
          <w:rFonts w:hint="eastAsia" w:ascii="方正仿宋简体" w:hAnsi="方正仿宋简体" w:eastAsia="方正仿宋简体" w:cs="方正仿宋简体"/>
          <w:b/>
          <w:color w:val="000000"/>
          <w:sz w:val="33"/>
          <w:szCs w:val="33"/>
        </w:rPr>
        <w:t>一是建立联谊机制促交流。</w:t>
      </w:r>
      <w:r>
        <w:rPr>
          <w:rFonts w:hint="eastAsia" w:ascii="方正仿宋简体" w:hAnsi="方正仿宋简体" w:eastAsia="方正仿宋简体" w:cs="方正仿宋简体"/>
          <w:bCs/>
          <w:color w:val="000000"/>
          <w:sz w:val="33"/>
          <w:szCs w:val="33"/>
        </w:rPr>
        <w:t>通过短信、QQ、微信等方式加强与海外侨胞的感情连接，增强他们对祖国的认可和热情，自觉参与海外联谊工作，特别是在帮助留学生、新侨尽早融入当地主流社会中发挥着积极作用。</w:t>
      </w:r>
      <w:r>
        <w:rPr>
          <w:rFonts w:hint="eastAsia" w:ascii="方正仿宋简体" w:hAnsi="方正仿宋简体" w:eastAsia="方正仿宋简体" w:cs="方正仿宋简体"/>
          <w:b/>
          <w:color w:val="000000"/>
          <w:sz w:val="33"/>
          <w:szCs w:val="33"/>
        </w:rPr>
        <w:t>二是主动交流互访谋发展。</w:t>
      </w:r>
      <w:r>
        <w:rPr>
          <w:rFonts w:hint="eastAsia" w:ascii="方正仿宋简体" w:hAnsi="方正仿宋简体" w:eastAsia="方正仿宋简体" w:cs="方正仿宋简体"/>
          <w:bCs/>
          <w:color w:val="000000"/>
          <w:sz w:val="33"/>
          <w:szCs w:val="33"/>
        </w:rPr>
        <w:t>先后与简阳市侨联、重庆市大足区侨联、重庆市潼南区侨联以及市内兄弟区县侨联互访交流学习考察，并与大足区侨联缔结友好侨联。通过交流互访，</w:t>
      </w:r>
      <w:r>
        <w:rPr>
          <w:rFonts w:hint="eastAsia" w:ascii="方正仿宋简体" w:hAnsi="仿宋" w:eastAsia="方正仿宋简体" w:cs="仿宋"/>
          <w:sz w:val="33"/>
          <w:szCs w:val="33"/>
        </w:rPr>
        <w:t>学习优秀工作经验，促进我区侨务工作的开展。</w:t>
      </w:r>
      <w:r>
        <w:rPr>
          <w:rFonts w:hint="eastAsia" w:ascii="方正仿宋简体" w:hAnsi="仿宋" w:eastAsia="方正仿宋简体" w:cs="仿宋"/>
          <w:b/>
          <w:bCs/>
          <w:sz w:val="33"/>
          <w:szCs w:val="33"/>
        </w:rPr>
        <w:t>三是强化队伍建设提素质。</w:t>
      </w:r>
      <w:r>
        <w:rPr>
          <w:rFonts w:hint="eastAsia" w:ascii="方正仿宋简体" w:hAnsi="仿宋" w:eastAsia="方正仿宋简体" w:cs="仿宋"/>
          <w:sz w:val="33"/>
          <w:szCs w:val="33"/>
        </w:rPr>
        <w:t>深化侨联改革，</w:t>
      </w:r>
      <w:r>
        <w:rPr>
          <w:rFonts w:ascii="方正仿宋简体" w:eastAsia="方正仿宋简体"/>
          <w:sz w:val="33"/>
          <w:szCs w:val="33"/>
        </w:rPr>
        <w:t>建立</w:t>
      </w:r>
      <w:r>
        <w:rPr>
          <w:rFonts w:hint="eastAsia" w:ascii="方正仿宋简体" w:eastAsia="方正仿宋简体"/>
          <w:sz w:val="33"/>
          <w:szCs w:val="33"/>
        </w:rPr>
        <w:t>健全</w:t>
      </w:r>
      <w:r>
        <w:rPr>
          <w:rFonts w:ascii="方正仿宋简体" w:eastAsia="方正仿宋简体"/>
          <w:sz w:val="33"/>
          <w:szCs w:val="33"/>
        </w:rPr>
        <w:t>学习机制，制订详细的年度学习计划和学习安排，</w:t>
      </w:r>
      <w:r>
        <w:rPr>
          <w:rFonts w:hint="eastAsia" w:ascii="方正仿宋简体" w:hAnsi="仿宋" w:eastAsia="方正仿宋简体" w:cs="仿宋"/>
          <w:sz w:val="33"/>
          <w:szCs w:val="33"/>
        </w:rPr>
        <w:t>夯实理论基础；</w:t>
      </w:r>
      <w:r>
        <w:rPr>
          <w:rFonts w:hint="eastAsia" w:ascii="方正仿宋简体" w:eastAsia="方正仿宋简体"/>
          <w:sz w:val="33"/>
          <w:szCs w:val="33"/>
        </w:rPr>
        <w:t>参加侨务系统专题培训，提高侨联队伍</w:t>
      </w:r>
      <w:r>
        <w:rPr>
          <w:rFonts w:ascii="方正仿宋简体" w:eastAsia="方正仿宋简体"/>
          <w:sz w:val="33"/>
          <w:szCs w:val="33"/>
        </w:rPr>
        <w:t>政策水平和业务能力</w:t>
      </w:r>
      <w:r>
        <w:rPr>
          <w:rFonts w:hint="eastAsia" w:ascii="方正仿宋简体" w:eastAsia="方正仿宋简体"/>
          <w:sz w:val="33"/>
          <w:szCs w:val="33"/>
        </w:rPr>
        <w:t>；参与重走长征路红色教育活动，继承和发扬艰苦朴素、不怕吃苦的长征精神；建立健全职工日常管理制度，</w:t>
      </w:r>
      <w:r>
        <w:rPr>
          <w:rFonts w:ascii="方正仿宋简体" w:eastAsia="方正仿宋简体"/>
          <w:sz w:val="33"/>
          <w:szCs w:val="33"/>
        </w:rPr>
        <w:t>提高</w:t>
      </w:r>
      <w:r>
        <w:rPr>
          <w:rFonts w:hint="eastAsia" w:ascii="方正仿宋简体" w:eastAsia="方正仿宋简体"/>
          <w:sz w:val="33"/>
          <w:szCs w:val="33"/>
        </w:rPr>
        <w:t>干部职工</w:t>
      </w:r>
      <w:r>
        <w:rPr>
          <w:rFonts w:ascii="方正仿宋简体" w:eastAsia="方正仿宋简体"/>
          <w:sz w:val="33"/>
          <w:szCs w:val="33"/>
        </w:rPr>
        <w:t>大局意识和责任意识</w:t>
      </w:r>
      <w:r>
        <w:rPr>
          <w:rFonts w:hint="eastAsia" w:ascii="方正仿宋简体" w:eastAsia="方正仿宋简体"/>
          <w:sz w:val="33"/>
          <w:szCs w:val="33"/>
        </w:rPr>
        <w:t>；</w:t>
      </w:r>
      <w:r>
        <w:rPr>
          <w:rFonts w:ascii="方正仿宋简体" w:eastAsia="方正仿宋简体"/>
          <w:sz w:val="33"/>
          <w:szCs w:val="33"/>
        </w:rPr>
        <w:t>树立</w:t>
      </w:r>
      <w:r>
        <w:rPr>
          <w:rFonts w:hint="eastAsia" w:ascii="方正仿宋简体" w:eastAsia="方正仿宋简体"/>
          <w:sz w:val="33"/>
          <w:szCs w:val="33"/>
        </w:rPr>
        <w:t>“</w:t>
      </w:r>
      <w:r>
        <w:rPr>
          <w:rFonts w:ascii="方正仿宋简体" w:eastAsia="方正仿宋简体"/>
          <w:sz w:val="33"/>
          <w:szCs w:val="33"/>
        </w:rPr>
        <w:t>为侨服务无小事</w:t>
      </w:r>
      <w:r>
        <w:rPr>
          <w:rFonts w:hint="eastAsia" w:ascii="方正仿宋简体" w:eastAsia="方正仿宋简体"/>
          <w:sz w:val="33"/>
          <w:szCs w:val="33"/>
        </w:rPr>
        <w:t>”</w:t>
      </w:r>
      <w:r>
        <w:rPr>
          <w:rFonts w:ascii="方正仿宋简体" w:eastAsia="方正仿宋简体"/>
          <w:sz w:val="33"/>
          <w:szCs w:val="33"/>
        </w:rPr>
        <w:t>的</w:t>
      </w:r>
      <w:r>
        <w:rPr>
          <w:rFonts w:hint="eastAsia" w:ascii="方正仿宋简体" w:eastAsia="方正仿宋简体"/>
          <w:sz w:val="33"/>
          <w:szCs w:val="33"/>
        </w:rPr>
        <w:t>工作</w:t>
      </w:r>
      <w:r>
        <w:rPr>
          <w:rFonts w:ascii="方正仿宋简体" w:eastAsia="方正仿宋简体"/>
          <w:sz w:val="33"/>
          <w:szCs w:val="33"/>
        </w:rPr>
        <w:t>观念，</w:t>
      </w:r>
      <w:r>
        <w:rPr>
          <w:rFonts w:hint="eastAsia" w:ascii="方正仿宋简体" w:eastAsia="方正仿宋简体"/>
          <w:sz w:val="33"/>
          <w:szCs w:val="33"/>
        </w:rPr>
        <w:t>深入基层，贴近群众，</w:t>
      </w:r>
      <w:r>
        <w:rPr>
          <w:rFonts w:ascii="方正仿宋简体" w:eastAsia="方正仿宋简体"/>
          <w:sz w:val="33"/>
          <w:szCs w:val="33"/>
        </w:rPr>
        <w:t>自觉高效落实各项工作。</w:t>
      </w:r>
    </w:p>
    <w:p>
      <w:pPr>
        <w:pStyle w:val="3"/>
        <w:bidi w:val="0"/>
        <w:ind w:firstLine="643" w:firstLineChars="200"/>
        <w:rPr>
          <w:rStyle w:val="29"/>
          <w:rFonts w:ascii="黑体" w:hAnsi="黑体" w:eastAsia="黑体"/>
          <w:b/>
          <w:bCs/>
        </w:rPr>
      </w:pPr>
      <w:bookmarkStart w:id="39" w:name="_Toc1822"/>
      <w:r>
        <w:rPr>
          <w:rStyle w:val="29"/>
          <w:rFonts w:hint="eastAsia" w:ascii="黑体" w:hAnsi="黑体" w:eastAsia="黑体"/>
          <w:b/>
          <w:bCs/>
        </w:rPr>
        <w:t>二、机构设置</w:t>
      </w:r>
      <w:bookmarkEnd w:id="37"/>
      <w:bookmarkEnd w:id="38"/>
      <w:bookmarkEnd w:id="39"/>
    </w:p>
    <w:p>
      <w:pPr>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独立预算单位一个。</w:t>
      </w:r>
      <w:bookmarkStart w:id="40" w:name="_Toc15377204"/>
      <w:bookmarkStart w:id="41" w:name="_Toc17103552"/>
    </w:p>
    <w:p>
      <w:pPr>
        <w:snapToGrid w:val="0"/>
        <w:spacing w:line="500" w:lineRule="exact"/>
        <w:ind w:firstLine="640" w:firstLineChars="200"/>
        <w:rPr>
          <w:rFonts w:ascii="仿宋_GB2312" w:eastAsia="仿宋_GB2312"/>
          <w:sz w:val="32"/>
          <w:szCs w:val="32"/>
        </w:rPr>
      </w:pPr>
    </w:p>
    <w:p>
      <w:pPr>
        <w:rPr>
          <w:rStyle w:val="28"/>
          <w:rFonts w:hint="eastAsia" w:ascii="黑体" w:hAnsi="黑体" w:eastAsia="黑体"/>
        </w:rPr>
      </w:pPr>
      <w:bookmarkStart w:id="42" w:name="_Toc14457"/>
      <w:r>
        <w:rPr>
          <w:rStyle w:val="28"/>
          <w:rFonts w:hint="eastAsia" w:ascii="黑体" w:hAnsi="黑体" w:eastAsia="黑体"/>
        </w:rPr>
        <w:br w:type="page"/>
      </w:r>
    </w:p>
    <w:p>
      <w:pPr>
        <w:pStyle w:val="2"/>
        <w:bidi w:val="0"/>
        <w:jc w:val="center"/>
        <w:rPr>
          <w:rStyle w:val="28"/>
          <w:rFonts w:ascii="黑体" w:hAnsi="黑体" w:eastAsia="黑体"/>
          <w:b/>
          <w:bCs/>
        </w:rPr>
      </w:pPr>
      <w:r>
        <w:rPr>
          <w:rStyle w:val="28"/>
          <w:rFonts w:hint="eastAsia" w:ascii="黑体" w:hAnsi="黑体" w:eastAsia="黑体"/>
          <w:b/>
          <w:bCs/>
        </w:rPr>
        <w:t>第二部分</w:t>
      </w:r>
      <w:r>
        <w:rPr>
          <w:rStyle w:val="28"/>
          <w:rFonts w:hint="eastAsia" w:ascii="黑体" w:hAnsi="黑体"/>
          <w:b/>
          <w:bCs/>
        </w:rPr>
        <w:t xml:space="preserve"> </w:t>
      </w:r>
      <w:r>
        <w:rPr>
          <w:rStyle w:val="28"/>
          <w:rFonts w:hint="eastAsia" w:ascii="黑体" w:hAnsi="黑体" w:eastAsia="黑体"/>
          <w:b/>
          <w:bCs/>
        </w:rPr>
        <w:t>20</w:t>
      </w:r>
      <w:r>
        <w:rPr>
          <w:rStyle w:val="28"/>
          <w:rFonts w:hint="eastAsia" w:ascii="黑体" w:hAnsi="黑体" w:eastAsia="黑体"/>
          <w:b/>
          <w:bCs/>
          <w:lang w:val="en-US" w:eastAsia="zh-CN"/>
        </w:rPr>
        <w:t>20</w:t>
      </w:r>
      <w:r>
        <w:rPr>
          <w:rStyle w:val="28"/>
          <w:rFonts w:hint="eastAsia" w:ascii="黑体" w:hAnsi="黑体" w:eastAsia="黑体"/>
          <w:b/>
          <w:bCs/>
        </w:rPr>
        <w:t>年度部门决算情况说明</w:t>
      </w:r>
      <w:bookmarkEnd w:id="40"/>
      <w:bookmarkEnd w:id="41"/>
      <w:bookmarkEnd w:id="42"/>
    </w:p>
    <w:p>
      <w:pPr>
        <w:snapToGrid w:val="0"/>
        <w:spacing w:line="500" w:lineRule="exact"/>
        <w:ind w:firstLine="883" w:firstLineChars="200"/>
        <w:rPr>
          <w:rStyle w:val="28"/>
          <w:rFonts w:ascii="黑体" w:hAnsi="黑体" w:eastAsia="黑体"/>
        </w:rPr>
      </w:pPr>
    </w:p>
    <w:p>
      <w:pPr>
        <w:pStyle w:val="3"/>
        <w:numPr>
          <w:ilvl w:val="0"/>
          <w:numId w:val="1"/>
        </w:numPr>
        <w:bidi w:val="0"/>
        <w:rPr>
          <w:rStyle w:val="29"/>
          <w:rFonts w:ascii="黑体" w:hAnsi="黑体" w:eastAsia="黑体"/>
          <w:b w:val="0"/>
          <w:bCs/>
        </w:rPr>
      </w:pPr>
      <w:bookmarkStart w:id="43" w:name="_Toc54"/>
      <w:bookmarkStart w:id="44" w:name="_Toc17103553"/>
      <w:bookmarkStart w:id="45" w:name="_Toc15377205"/>
      <w:r>
        <w:rPr>
          <w:rFonts w:hint="eastAsia" w:ascii="黑体" w:hAnsi="黑体" w:eastAsia="黑体"/>
          <w:color w:val="000000"/>
          <w:sz w:val="32"/>
          <w:szCs w:val="32"/>
        </w:rPr>
        <w:t>收</w:t>
      </w:r>
      <w:r>
        <w:rPr>
          <w:rStyle w:val="29"/>
          <w:rFonts w:hint="eastAsia" w:ascii="黑体" w:hAnsi="黑体" w:eastAsia="黑体"/>
          <w:b w:val="0"/>
          <w:bCs/>
        </w:rPr>
        <w:t>入支出决算总体情况说明</w:t>
      </w:r>
      <w:bookmarkEnd w:id="43"/>
      <w:bookmarkEnd w:id="44"/>
      <w:bookmarkEnd w:id="4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49.65</w:t>
      </w:r>
      <w:r>
        <w:rPr>
          <w:rFonts w:hint="eastAsia" w:ascii="仿宋" w:hAnsi="仿宋" w:eastAsia="仿宋"/>
          <w:color w:val="000000"/>
          <w:sz w:val="32"/>
          <w:szCs w:val="32"/>
        </w:rPr>
        <w:t>万元，与20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年相比，收入</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15.27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44</w:t>
      </w:r>
      <w:r>
        <w:rPr>
          <w:rFonts w:hint="eastAsia" w:ascii="仿宋" w:hAnsi="仿宋" w:eastAsia="仿宋"/>
          <w:color w:val="000000"/>
          <w:sz w:val="32"/>
          <w:szCs w:val="32"/>
        </w:rPr>
        <w:t>%。主要变动原因是人员工资</w:t>
      </w:r>
      <w:r>
        <w:rPr>
          <w:rFonts w:hint="eastAsia" w:ascii="仿宋" w:hAnsi="仿宋" w:eastAsia="仿宋"/>
          <w:color w:val="000000"/>
          <w:sz w:val="32"/>
          <w:szCs w:val="32"/>
          <w:lang w:eastAsia="zh-CN"/>
        </w:rPr>
        <w:t>、奖金</w:t>
      </w:r>
      <w:r>
        <w:rPr>
          <w:rFonts w:hint="eastAsia" w:ascii="仿宋" w:hAnsi="仿宋" w:eastAsia="仿宋"/>
          <w:color w:val="000000"/>
          <w:sz w:val="32"/>
          <w:szCs w:val="32"/>
        </w:rPr>
        <w:t xml:space="preserve">增加造成的。 </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4000" w:lineRule="exact"/>
        <w:ind w:firstLine="640" w:firstLineChars="200"/>
        <w:jc w:val="left"/>
        <w:rPr>
          <w:rFonts w:ascii="黑体" w:hAnsi="黑体" w:eastAsia="黑体"/>
          <w:color w:val="000000"/>
          <w:sz w:val="32"/>
          <w:szCs w:val="32"/>
        </w:rPr>
      </w:pPr>
      <w:r>
        <w:rPr>
          <w:rFonts w:ascii="仿宋_GB2312" w:eastAsia="仿宋_GB2312"/>
          <w:color w:val="000000"/>
          <w:sz w:val="32"/>
          <w:szCs w:val="32"/>
        </w:rPr>
        <w:drawing>
          <wp:inline distT="0" distB="0" distL="0" distR="0">
            <wp:extent cx="2638425" cy="1914525"/>
            <wp:effectExtent l="19050" t="0" r="9525" b="0"/>
            <wp:docPr id="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46" w:name="_Toc15377206"/>
      <w:bookmarkStart w:id="47" w:name="_Toc17103554"/>
    </w:p>
    <w:p>
      <w:pPr>
        <w:pStyle w:val="3"/>
        <w:bidi w:val="0"/>
        <w:ind w:firstLine="643" w:firstLineChars="200"/>
        <w:rPr>
          <w:rStyle w:val="29"/>
          <w:rFonts w:ascii="黑体" w:hAnsi="黑体" w:eastAsia="黑体"/>
          <w:b w:val="0"/>
          <w:bCs/>
        </w:rPr>
      </w:pPr>
      <w:bookmarkStart w:id="48" w:name="_Toc28548"/>
      <w:r>
        <w:rPr>
          <w:rFonts w:hint="eastAsia" w:ascii="黑体" w:hAnsi="黑体" w:eastAsia="黑体"/>
          <w:color w:val="000000"/>
          <w:sz w:val="32"/>
          <w:szCs w:val="32"/>
        </w:rPr>
        <w:t>二、收</w:t>
      </w:r>
      <w:r>
        <w:rPr>
          <w:rStyle w:val="29"/>
          <w:rFonts w:hint="eastAsia" w:ascii="黑体" w:hAnsi="黑体" w:eastAsia="黑体"/>
          <w:b w:val="0"/>
          <w:bCs/>
        </w:rPr>
        <w:t>入决算情况说明</w:t>
      </w:r>
      <w:bookmarkEnd w:id="46"/>
      <w:bookmarkEnd w:id="47"/>
      <w:bookmarkEnd w:id="48"/>
    </w:p>
    <w:p>
      <w:pPr>
        <w:spacing w:line="600" w:lineRule="exact"/>
        <w:ind w:firstLine="640" w:firstLineChars="200"/>
        <w:outlineLvl w:val="1"/>
        <w:rPr>
          <w:rFonts w:ascii="仿宋" w:hAnsi="仿宋" w:eastAsia="仿宋"/>
          <w:color w:val="000000"/>
          <w:sz w:val="32"/>
          <w:szCs w:val="32"/>
        </w:rPr>
      </w:pPr>
      <w:bookmarkStart w:id="49" w:name="_Toc17103555"/>
      <w:bookmarkStart w:id="50" w:name="_Toc19607"/>
      <w:bookmarkStart w:id="51" w:name="_Toc21077"/>
      <w:bookmarkStart w:id="52" w:name="_Toc53"/>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47.88</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47.88</w:t>
      </w:r>
      <w:r>
        <w:rPr>
          <w:rFonts w:hint="eastAsia" w:ascii="仿宋" w:hAnsi="仿宋" w:eastAsia="仿宋"/>
          <w:color w:val="000000"/>
          <w:sz w:val="32"/>
          <w:szCs w:val="32"/>
        </w:rPr>
        <w:t>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49"/>
      <w:bookmarkEnd w:id="50"/>
      <w:bookmarkEnd w:id="51"/>
      <w:bookmarkEnd w:id="52"/>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2600" w:lineRule="exact"/>
        <w:ind w:firstLine="640" w:firstLineChars="200"/>
        <w:rPr>
          <w:rFonts w:ascii="仿宋_GB2312" w:eastAsia="仿宋_GB2312"/>
          <w:color w:val="FF0000"/>
          <w:sz w:val="32"/>
          <w:szCs w:val="32"/>
        </w:rPr>
      </w:pPr>
      <w:r>
        <w:rPr>
          <w:rFonts w:ascii="仿宋_GB2312" w:eastAsia="仿宋_GB2312"/>
          <w:color w:val="FF0000"/>
          <w:sz w:val="32"/>
          <w:szCs w:val="32"/>
        </w:rPr>
        <w:drawing>
          <wp:inline distT="0" distB="0" distL="0" distR="0">
            <wp:extent cx="1971675" cy="1257300"/>
            <wp:effectExtent l="19050" t="0" r="9525" b="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
        <w:bidi w:val="0"/>
        <w:ind w:firstLine="640" w:firstLineChars="200"/>
        <w:rPr>
          <w:rStyle w:val="29"/>
          <w:rFonts w:hint="eastAsia" w:ascii="黑体" w:hAnsi="黑体" w:eastAsia="黑体"/>
          <w:b w:val="0"/>
          <w:bCs/>
        </w:rPr>
      </w:pPr>
      <w:bookmarkStart w:id="53" w:name="_Toc15377207"/>
      <w:bookmarkStart w:id="54" w:name="_Toc17103556"/>
      <w:bookmarkStart w:id="55" w:name="_Toc23489"/>
      <w:r>
        <w:rPr>
          <w:rStyle w:val="29"/>
          <w:rFonts w:hint="eastAsia" w:ascii="黑体" w:hAnsi="黑体" w:eastAsia="黑体"/>
          <w:b w:val="0"/>
          <w:bCs/>
          <w:lang w:eastAsia="zh-CN"/>
        </w:rPr>
        <w:t>三、</w:t>
      </w:r>
      <w:r>
        <w:rPr>
          <w:rStyle w:val="29"/>
          <w:rFonts w:hint="eastAsia" w:ascii="黑体" w:hAnsi="黑体" w:eastAsia="黑体"/>
          <w:b w:val="0"/>
          <w:bCs/>
        </w:rPr>
        <w:t>支出决算情况说明</w:t>
      </w:r>
      <w:bookmarkEnd w:id="53"/>
      <w:bookmarkEnd w:id="54"/>
      <w:bookmarkEnd w:id="55"/>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49.07</w:t>
      </w:r>
      <w:r>
        <w:rPr>
          <w:rFonts w:hint="eastAsia" w:ascii="仿宋" w:hAnsi="仿宋" w:eastAsia="仿宋"/>
          <w:color w:val="000000"/>
          <w:sz w:val="32"/>
          <w:szCs w:val="32"/>
        </w:rPr>
        <w:t>元，其中：基本支出</w:t>
      </w:r>
      <w:r>
        <w:rPr>
          <w:rFonts w:hint="eastAsia" w:ascii="仿宋" w:hAnsi="仿宋" w:eastAsia="仿宋"/>
          <w:color w:val="000000"/>
          <w:sz w:val="32"/>
          <w:szCs w:val="32"/>
          <w:lang w:val="en-US" w:eastAsia="zh-CN"/>
        </w:rPr>
        <w:t>42.06</w:t>
      </w:r>
      <w:r>
        <w:rPr>
          <w:rFonts w:hint="eastAsia" w:ascii="仿宋" w:hAnsi="仿宋" w:eastAsia="仿宋"/>
          <w:color w:val="000000"/>
          <w:sz w:val="32"/>
          <w:szCs w:val="32"/>
        </w:rPr>
        <w:t>万元，占8</w:t>
      </w:r>
      <w:r>
        <w:rPr>
          <w:rFonts w:hint="eastAsia" w:ascii="仿宋" w:hAnsi="仿宋" w:eastAsia="仿宋"/>
          <w:color w:val="000000"/>
          <w:sz w:val="32"/>
          <w:szCs w:val="32"/>
          <w:lang w:val="en-US" w:eastAsia="zh-CN"/>
        </w:rPr>
        <w:t>6</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7.01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14</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2800" w:lineRule="exact"/>
        <w:ind w:firstLine="640" w:firstLineChars="200"/>
        <w:rPr>
          <w:rFonts w:ascii="仿宋_GB2312" w:eastAsia="仿宋_GB2312"/>
          <w:color w:val="FF0000"/>
          <w:sz w:val="32"/>
          <w:szCs w:val="32"/>
        </w:rPr>
      </w:pPr>
      <w:r>
        <w:rPr>
          <w:rFonts w:ascii="仿宋_GB2312" w:eastAsia="仿宋_GB2312"/>
          <w:color w:val="FF0000"/>
          <w:sz w:val="32"/>
          <w:szCs w:val="32"/>
        </w:rPr>
        <w:drawing>
          <wp:inline distT="0" distB="0" distL="0" distR="0">
            <wp:extent cx="1971675" cy="1171575"/>
            <wp:effectExtent l="19050" t="0" r="9525"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3"/>
        <w:bidi w:val="0"/>
        <w:ind w:firstLine="643" w:firstLineChars="200"/>
        <w:rPr>
          <w:rStyle w:val="29"/>
          <w:rFonts w:ascii="黑体" w:hAnsi="黑体" w:eastAsia="黑体"/>
          <w:b w:val="0"/>
          <w:bCs/>
        </w:rPr>
      </w:pPr>
      <w:bookmarkStart w:id="56" w:name="_Toc17103557"/>
      <w:bookmarkStart w:id="57" w:name="_Toc25590"/>
      <w:bookmarkStart w:id="58" w:name="_Toc15377208"/>
      <w:r>
        <w:rPr>
          <w:rFonts w:hint="eastAsia" w:ascii="黑体" w:hAnsi="黑体" w:eastAsia="黑体"/>
          <w:color w:val="000000"/>
          <w:sz w:val="32"/>
          <w:szCs w:val="32"/>
        </w:rPr>
        <w:t>四、财</w:t>
      </w:r>
      <w:r>
        <w:rPr>
          <w:rStyle w:val="29"/>
          <w:rFonts w:hint="eastAsia" w:ascii="黑体" w:hAnsi="黑体" w:eastAsia="黑体"/>
          <w:b w:val="0"/>
          <w:bCs/>
        </w:rPr>
        <w:t>政拨款收入支出决算总体情况说明</w:t>
      </w:r>
      <w:bookmarkEnd w:id="56"/>
      <w:bookmarkEnd w:id="57"/>
      <w:bookmarkEnd w:id="58"/>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年度财政拨款收、支总计</w:t>
      </w:r>
      <w:r>
        <w:rPr>
          <w:rFonts w:hint="eastAsia" w:ascii="仿宋" w:hAnsi="仿宋" w:eastAsia="仿宋"/>
          <w:color w:val="000000"/>
          <w:sz w:val="32"/>
          <w:szCs w:val="32"/>
          <w:lang w:val="en-US" w:eastAsia="zh-CN"/>
        </w:rPr>
        <w:t>49.65</w:t>
      </w:r>
      <w:r>
        <w:rPr>
          <w:rFonts w:hint="eastAsia" w:ascii="仿宋" w:hAnsi="仿宋" w:eastAsia="仿宋"/>
          <w:color w:val="000000"/>
          <w:sz w:val="32"/>
          <w:szCs w:val="32"/>
        </w:rPr>
        <w:t>元，与20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年相比，财政拨款收、支总计</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15.27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15.27</w:t>
      </w:r>
      <w:r>
        <w:rPr>
          <w:rFonts w:hint="eastAsia" w:ascii="仿宋" w:hAnsi="仿宋" w:eastAsia="仿宋"/>
          <w:color w:val="000000"/>
          <w:sz w:val="32"/>
          <w:szCs w:val="32"/>
        </w:rPr>
        <w:t>%，主要变动原因是人员工资</w:t>
      </w:r>
      <w:r>
        <w:rPr>
          <w:rFonts w:hint="eastAsia" w:ascii="仿宋" w:hAnsi="仿宋" w:eastAsia="仿宋"/>
          <w:color w:val="000000"/>
          <w:sz w:val="32"/>
          <w:szCs w:val="32"/>
          <w:lang w:eastAsia="zh-CN"/>
        </w:rPr>
        <w:t>、奖金</w:t>
      </w:r>
      <w:r>
        <w:rPr>
          <w:rFonts w:hint="eastAsia" w:ascii="仿宋" w:hAnsi="仿宋" w:eastAsia="仿宋"/>
          <w:color w:val="000000"/>
          <w:sz w:val="32"/>
          <w:szCs w:val="32"/>
        </w:rPr>
        <w:t xml:space="preserve">增加造成的。 </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（除国有资本经营预算外，数据来源于财决</w:t>
      </w:r>
      <w:r>
        <w:rPr>
          <w:rFonts w:ascii="仿宋" w:hAnsi="仿宋" w:eastAsia="仿宋"/>
          <w:b/>
          <w:color w:val="000000" w:themeColor="text1"/>
          <w:sz w:val="32"/>
          <w:szCs w:val="32"/>
          <w14:textFill>
            <w14:solidFill>
              <w14:schemeClr w14:val="tx1"/>
            </w14:solidFill>
          </w14:textFill>
        </w:rPr>
        <w:t>Z01-1</w:t>
      </w:r>
      <w:r>
        <w:rPr>
          <w:rFonts w:hint="eastAsia" w:ascii="仿宋" w:hAnsi="仿宋" w:eastAsia="仿宋"/>
          <w:b/>
          <w:color w:val="000000" w:themeColor="text1"/>
          <w:sz w:val="32"/>
          <w:szCs w:val="32"/>
          <w14:textFill>
            <w14:solidFill>
              <w14:schemeClr w14:val="tx1"/>
            </w14:solidFill>
          </w14:textFill>
        </w:rPr>
        <w:t>表，口径为“总计”数+国有资本经营预算。）</w:t>
      </w:r>
    </w:p>
    <w:p>
      <w:pPr>
        <w:spacing w:line="3600" w:lineRule="exact"/>
        <w:ind w:firstLine="641"/>
        <w:rPr>
          <w:rFonts w:ascii="仿宋" w:hAnsi="仿宋" w:eastAsia="仿宋"/>
          <w:b/>
          <w:color w:val="00B050"/>
          <w:sz w:val="32"/>
          <w:szCs w:val="32"/>
        </w:rPr>
      </w:pPr>
      <w:r>
        <w:rPr>
          <w:rFonts w:ascii="仿宋" w:hAnsi="仿宋" w:eastAsia="仿宋"/>
          <w:b/>
          <w:color w:val="00B050"/>
          <w:sz w:val="32"/>
          <w:szCs w:val="32"/>
        </w:rPr>
        <w:drawing>
          <wp:inline distT="0" distB="0" distL="0" distR="0">
            <wp:extent cx="2638425" cy="1676400"/>
            <wp:effectExtent l="19050" t="0" r="9525" b="0"/>
            <wp:docPr id="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3"/>
        <w:bidi w:val="0"/>
        <w:ind w:firstLine="643" w:firstLineChars="200"/>
        <w:rPr>
          <w:rStyle w:val="29"/>
          <w:rFonts w:ascii="黑体" w:hAnsi="黑体" w:eastAsia="黑体"/>
          <w:b w:val="0"/>
          <w:bCs/>
        </w:rPr>
      </w:pPr>
      <w:bookmarkStart w:id="59" w:name="_Toc16489"/>
      <w:bookmarkStart w:id="60" w:name="_Toc15377209"/>
      <w:bookmarkStart w:id="61" w:name="_Toc17103558"/>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9"/>
          <w:rFonts w:hint="eastAsia" w:ascii="黑体" w:hAnsi="黑体" w:eastAsia="黑体"/>
          <w:b w:val="0"/>
          <w:bCs/>
        </w:rPr>
        <w:t>般公共预算财政拨款支出决算情况说明</w:t>
      </w:r>
      <w:bookmarkEnd w:id="59"/>
      <w:bookmarkEnd w:id="60"/>
      <w:bookmarkEnd w:id="61"/>
    </w:p>
    <w:p>
      <w:pPr>
        <w:pStyle w:val="4"/>
        <w:bidi w:val="0"/>
        <w:ind w:firstLine="643" w:firstLineChars="200"/>
      </w:pPr>
      <w:bookmarkStart w:id="62" w:name="_Toc15377210"/>
      <w:bookmarkStart w:id="63" w:name="_Toc3802"/>
      <w:r>
        <w:rPr>
          <w:rFonts w:hint="eastAsia"/>
        </w:rPr>
        <w:t>（一）一般公共预算财政拨款支出决算总体情况</w:t>
      </w:r>
      <w:bookmarkEnd w:id="62"/>
      <w:bookmarkEnd w:id="6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49.07</w:t>
      </w:r>
      <w:r>
        <w:rPr>
          <w:rFonts w:hint="eastAsia" w:ascii="仿宋" w:hAnsi="仿宋" w:eastAsia="仿宋"/>
          <w:color w:val="000000"/>
          <w:sz w:val="32"/>
          <w:szCs w:val="32"/>
        </w:rPr>
        <w:t>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16.46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50</w:t>
      </w:r>
      <w:r>
        <w:rPr>
          <w:rFonts w:ascii="仿宋" w:hAnsi="仿宋" w:eastAsia="仿宋"/>
          <w:color w:val="000000"/>
          <w:sz w:val="32"/>
          <w:szCs w:val="32"/>
        </w:rPr>
        <w:t>%</w:t>
      </w:r>
      <w:r>
        <w:rPr>
          <w:rFonts w:hint="eastAsia" w:ascii="仿宋" w:hAnsi="仿宋" w:eastAsia="仿宋"/>
          <w:color w:val="000000"/>
          <w:sz w:val="32"/>
          <w:szCs w:val="32"/>
        </w:rPr>
        <w:t>。主要变动原因是人员工资</w:t>
      </w:r>
      <w:r>
        <w:rPr>
          <w:rFonts w:hint="eastAsia" w:ascii="仿宋" w:hAnsi="仿宋" w:eastAsia="仿宋"/>
          <w:color w:val="000000"/>
          <w:sz w:val="32"/>
          <w:szCs w:val="32"/>
          <w:lang w:eastAsia="zh-CN"/>
        </w:rPr>
        <w:t>、奖金</w:t>
      </w:r>
      <w:r>
        <w:rPr>
          <w:rFonts w:hint="eastAsia" w:ascii="仿宋" w:hAnsi="仿宋" w:eastAsia="仿宋"/>
          <w:color w:val="000000"/>
          <w:sz w:val="32"/>
          <w:szCs w:val="32"/>
        </w:rPr>
        <w:t>增加造成的。</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40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inline distT="0" distB="0" distL="0" distR="0">
            <wp:extent cx="2019300" cy="1990725"/>
            <wp:effectExtent l="19050" t="0" r="19050" b="0"/>
            <wp:docPr id="1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4"/>
        <w:bidi w:val="0"/>
        <w:ind w:firstLine="643" w:firstLineChars="200"/>
      </w:pPr>
      <w:bookmarkStart w:id="64" w:name="_Toc19656"/>
      <w:bookmarkStart w:id="65" w:name="_Toc15377211"/>
      <w:r>
        <w:rPr>
          <w:rFonts w:hint="eastAsia"/>
        </w:rPr>
        <w:t>（二）一般公共预算财政拨款支出决算结构情况</w:t>
      </w:r>
      <w:bookmarkEnd w:id="64"/>
      <w:bookmarkEnd w:id="6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49.07</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40.64</w:t>
      </w:r>
      <w:r>
        <w:rPr>
          <w:rFonts w:hint="eastAsia" w:ascii="仿宋" w:hAnsi="仿宋" w:eastAsia="仿宋"/>
          <w:color w:val="000000" w:themeColor="text1"/>
          <w:sz w:val="32"/>
          <w:szCs w:val="32"/>
          <w14:textFill>
            <w14:solidFill>
              <w14:schemeClr w14:val="tx1"/>
            </w14:solidFill>
          </w14:textFill>
        </w:rPr>
        <w:t>万元，占83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14:textFill>
            <w14:solidFill>
              <w14:schemeClr w14:val="tx1"/>
            </w14:solidFill>
          </w14:textFill>
        </w:rPr>
        <w:t>0万元，占0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支出0万元，占0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5.13</w:t>
      </w:r>
      <w:r>
        <w:rPr>
          <w:rFonts w:hint="eastAsia" w:ascii="仿宋" w:hAnsi="仿宋" w:eastAsia="仿宋"/>
          <w:color w:val="000000" w:themeColor="text1"/>
          <w:sz w:val="32"/>
          <w:szCs w:val="32"/>
          <w14:textFill>
            <w14:solidFill>
              <w14:schemeClr w14:val="tx1"/>
            </w14:solidFill>
          </w14:textFill>
        </w:rPr>
        <w:t>万元，占1</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；医疗卫生支出1.</w:t>
      </w:r>
      <w:r>
        <w:rPr>
          <w:rFonts w:hint="eastAsia" w:ascii="仿宋" w:hAnsi="仿宋" w:eastAsia="仿宋"/>
          <w:color w:val="000000" w:themeColor="text1"/>
          <w:sz w:val="32"/>
          <w:szCs w:val="32"/>
          <w:lang w:val="en-US" w:eastAsia="zh-CN"/>
          <w14:textFill>
            <w14:solidFill>
              <w14:schemeClr w14:val="tx1"/>
            </w14:solidFill>
          </w14:textFill>
        </w:rPr>
        <w:t>09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2.21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（罗列全部功能分类科目，至类级。）</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3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inline distT="0" distB="0" distL="0" distR="0">
            <wp:extent cx="2828925" cy="1924050"/>
            <wp:effectExtent l="19050" t="0" r="9525" b="0"/>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4"/>
        <w:bidi w:val="0"/>
        <w:ind w:firstLine="643" w:firstLineChars="200"/>
      </w:pPr>
      <w:bookmarkStart w:id="66" w:name="_Toc15377212"/>
      <w:bookmarkStart w:id="67" w:name="_Toc5936"/>
      <w:r>
        <w:rPr>
          <w:rFonts w:hint="eastAsia"/>
        </w:rPr>
        <w:t>（三）一般公共预算财政拨款支出决算具体情况</w:t>
      </w:r>
      <w:bookmarkEnd w:id="66"/>
      <w:bookmarkEnd w:id="67"/>
    </w:p>
    <w:p>
      <w:pPr>
        <w:spacing w:line="600" w:lineRule="exact"/>
        <w:ind w:firstLine="643" w:firstLineChars="200"/>
        <w:outlineLvl w:val="2"/>
        <w:rPr>
          <w:rFonts w:ascii="仿宋" w:hAnsi="仿宋" w:eastAsia="仿宋"/>
          <w:color w:val="FF0000"/>
          <w:sz w:val="32"/>
          <w:szCs w:val="32"/>
        </w:rPr>
      </w:pPr>
      <w:bookmarkStart w:id="68" w:name="_Toc27536"/>
      <w:bookmarkStart w:id="69" w:name="_Toc13179"/>
      <w:bookmarkStart w:id="70" w:name="_Toc2076"/>
      <w:bookmarkStart w:id="71" w:name="_Toc15377444"/>
      <w:bookmarkStart w:id="72" w:name="_Toc15378460"/>
      <w:bookmarkStart w:id="73" w:name="_Toc15377213"/>
      <w:r>
        <w:rPr>
          <w:rFonts w:hint="eastAsia"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lang w:val="en-US" w:eastAsia="zh-CN"/>
          <w14:textFill>
            <w14:solidFill>
              <w14:schemeClr w14:val="tx1"/>
            </w14:solidFill>
          </w14:textFill>
        </w:rPr>
        <w:t>20</w:t>
      </w:r>
      <w:r>
        <w:rPr>
          <w:rFonts w:hint="eastAsia" w:ascii="仿宋" w:hAnsi="仿宋" w:eastAsia="仿宋"/>
          <w:b/>
          <w:color w:val="000000" w:themeColor="text1"/>
          <w:sz w:val="32"/>
          <w:szCs w:val="32"/>
          <w14:textFill>
            <w14:solidFill>
              <w14:schemeClr w14:val="tx1"/>
            </w14:solidFill>
          </w14:textFill>
        </w:rPr>
        <w:t>年一般公共预算支出决算数为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49.07</w:t>
      </w:r>
      <w:r>
        <w:rPr>
          <w:rFonts w:hint="eastAsia" w:ascii="仿宋" w:hAnsi="仿宋" w:eastAsia="仿宋"/>
          <w:b/>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w:t>
      </w:r>
      <w:r>
        <w:rPr>
          <w:rStyle w:val="18"/>
          <w:rFonts w:hint="eastAsia" w:ascii="仿宋" w:hAnsi="仿宋" w:eastAsia="仿宋"/>
          <w:bCs/>
          <w:color w:val="000000" w:themeColor="text1"/>
          <w:sz w:val="32"/>
          <w:szCs w:val="32"/>
          <w14:textFill>
            <w14:solidFill>
              <w14:schemeClr w14:val="tx1"/>
            </w14:solidFill>
          </w14:textFill>
        </w:rPr>
        <w:t>完成</w:t>
      </w:r>
      <w:r>
        <w:rPr>
          <w:rStyle w:val="18"/>
          <w:rFonts w:hint="eastAsia" w:ascii="仿宋" w:hAnsi="仿宋" w:eastAsia="仿宋"/>
          <w:bCs/>
          <w:color w:val="000000"/>
          <w:sz w:val="32"/>
          <w:szCs w:val="32"/>
        </w:rPr>
        <w:t>预算</w:t>
      </w:r>
      <w:r>
        <w:rPr>
          <w:rStyle w:val="18"/>
          <w:rFonts w:hint="eastAsia" w:ascii="仿宋" w:hAnsi="仿宋" w:eastAsia="仿宋"/>
          <w:bCs/>
          <w:color w:val="000000"/>
          <w:sz w:val="32"/>
          <w:szCs w:val="32"/>
          <w:lang w:val="en-US" w:eastAsia="zh-CN"/>
        </w:rPr>
        <w:t>100</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。其中：</w:t>
      </w:r>
      <w:bookmarkEnd w:id="68"/>
      <w:bookmarkEnd w:id="69"/>
      <w:bookmarkEnd w:id="70"/>
      <w:bookmarkEnd w:id="71"/>
      <w:bookmarkEnd w:id="72"/>
      <w:bookmarkEnd w:id="73"/>
    </w:p>
    <w:p>
      <w:pPr>
        <w:spacing w:line="600" w:lineRule="exact"/>
        <w:ind w:firstLine="643" w:firstLineChars="200"/>
        <w:rPr>
          <w:rFonts w:ascii="仿宋" w:hAnsi="仿宋" w:eastAsia="仿宋"/>
          <w:b/>
          <w:color w:val="000000"/>
          <w:sz w:val="32"/>
          <w:szCs w:val="32"/>
        </w:rPr>
      </w:pPr>
      <w:r>
        <w:rPr>
          <w:rStyle w:val="18"/>
          <w:rFonts w:ascii="仿宋" w:hAnsi="仿宋" w:eastAsia="仿宋"/>
          <w:bCs/>
          <w:color w:val="000000"/>
          <w:sz w:val="32"/>
          <w:szCs w:val="32"/>
        </w:rPr>
        <w:t>1.</w:t>
      </w:r>
      <w:r>
        <w:rPr>
          <w:rStyle w:val="18"/>
          <w:rFonts w:hint="eastAsia" w:ascii="仿宋" w:hAnsi="仿宋" w:eastAsia="仿宋"/>
          <w:bCs/>
          <w:color w:val="000000"/>
          <w:sz w:val="32"/>
          <w:szCs w:val="32"/>
        </w:rPr>
        <w:t>一般公共服务</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2012901群众团体事务行政运行支出决算为</w:t>
      </w:r>
      <w:r>
        <w:rPr>
          <w:rStyle w:val="18"/>
          <w:rFonts w:hint="eastAsia" w:ascii="仿宋" w:hAnsi="仿宋" w:eastAsia="仿宋"/>
          <w:b w:val="0"/>
          <w:bCs/>
          <w:color w:val="000000"/>
          <w:sz w:val="32"/>
          <w:szCs w:val="32"/>
          <w:lang w:val="en-US" w:eastAsia="zh-CN"/>
        </w:rPr>
        <w:t>33.63</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，决算数等于预算数。2012902群众团体事务一般行政管理事务支出决算为</w:t>
      </w:r>
      <w:r>
        <w:rPr>
          <w:rStyle w:val="18"/>
          <w:rFonts w:hint="eastAsia" w:ascii="仿宋" w:hAnsi="仿宋" w:eastAsia="仿宋"/>
          <w:b w:val="0"/>
          <w:bCs/>
          <w:color w:val="000000"/>
          <w:sz w:val="32"/>
          <w:szCs w:val="32"/>
          <w:lang w:val="en-US" w:eastAsia="zh-CN"/>
        </w:rPr>
        <w:t>6.41</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108</w:t>
      </w:r>
      <w:r>
        <w:rPr>
          <w:rStyle w:val="18"/>
          <w:rFonts w:hint="eastAsia" w:ascii="仿宋" w:hAnsi="仿宋" w:eastAsia="仿宋"/>
          <w:b w:val="0"/>
          <w:bCs/>
          <w:color w:val="000000"/>
          <w:sz w:val="32"/>
          <w:szCs w:val="32"/>
        </w:rPr>
        <w:t>%，决算数</w:t>
      </w:r>
      <w:r>
        <w:rPr>
          <w:rStyle w:val="18"/>
          <w:rFonts w:hint="eastAsia" w:ascii="仿宋" w:hAnsi="仿宋" w:eastAsia="仿宋"/>
          <w:b w:val="0"/>
          <w:bCs/>
          <w:color w:val="000000"/>
          <w:sz w:val="32"/>
          <w:szCs w:val="32"/>
          <w:lang w:eastAsia="zh-CN"/>
        </w:rPr>
        <w:t>大于</w:t>
      </w:r>
      <w:r>
        <w:rPr>
          <w:rStyle w:val="18"/>
          <w:rFonts w:hint="eastAsia" w:ascii="仿宋" w:hAnsi="仿宋" w:eastAsia="仿宋"/>
          <w:b w:val="0"/>
          <w:bCs/>
          <w:color w:val="000000"/>
          <w:sz w:val="32"/>
          <w:szCs w:val="32"/>
        </w:rPr>
        <w:t>预算数，主要是</w:t>
      </w:r>
      <w:r>
        <w:rPr>
          <w:rStyle w:val="18"/>
          <w:rFonts w:hint="eastAsia" w:ascii="仿宋" w:hAnsi="仿宋" w:eastAsia="仿宋"/>
          <w:b w:val="0"/>
          <w:bCs/>
          <w:color w:val="000000"/>
          <w:sz w:val="32"/>
          <w:szCs w:val="32"/>
          <w:lang w:eastAsia="zh-CN"/>
        </w:rPr>
        <w:t>拨付</w:t>
      </w:r>
      <w:r>
        <w:rPr>
          <w:rStyle w:val="18"/>
          <w:rFonts w:hint="eastAsia" w:ascii="仿宋" w:hAnsi="仿宋" w:eastAsia="仿宋"/>
          <w:b w:val="0"/>
          <w:bCs/>
          <w:color w:val="000000"/>
          <w:sz w:val="32"/>
          <w:szCs w:val="32"/>
          <w:lang w:val="en-US" w:eastAsia="zh-CN"/>
        </w:rPr>
        <w:t>2019年</w:t>
      </w:r>
      <w:r>
        <w:rPr>
          <w:rStyle w:val="18"/>
          <w:rFonts w:hint="eastAsia" w:ascii="仿宋" w:hAnsi="仿宋" w:eastAsia="仿宋"/>
          <w:b w:val="0"/>
          <w:bCs/>
          <w:color w:val="000000"/>
          <w:sz w:val="32"/>
          <w:szCs w:val="32"/>
        </w:rPr>
        <w:t>项目经费造成。20129</w:t>
      </w:r>
      <w:r>
        <w:rPr>
          <w:rStyle w:val="18"/>
          <w:rFonts w:hint="eastAsia" w:ascii="仿宋" w:hAnsi="仿宋" w:eastAsia="仿宋"/>
          <w:b w:val="0"/>
          <w:bCs/>
          <w:color w:val="000000"/>
          <w:sz w:val="32"/>
          <w:szCs w:val="32"/>
          <w:lang w:val="en-US" w:eastAsia="zh-CN"/>
        </w:rPr>
        <w:t>99</w:t>
      </w:r>
      <w:r>
        <w:rPr>
          <w:rStyle w:val="18"/>
          <w:rFonts w:hint="eastAsia" w:ascii="仿宋" w:hAnsi="仿宋" w:eastAsia="仿宋"/>
          <w:b w:val="0"/>
          <w:bCs/>
          <w:color w:val="000000"/>
          <w:sz w:val="32"/>
          <w:szCs w:val="32"/>
        </w:rPr>
        <w:t>群众团体事务</w:t>
      </w:r>
      <w:r>
        <w:rPr>
          <w:rStyle w:val="18"/>
          <w:rFonts w:hint="eastAsia" w:ascii="仿宋" w:hAnsi="仿宋" w:eastAsia="仿宋"/>
          <w:b w:val="0"/>
          <w:bCs/>
          <w:color w:val="000000"/>
          <w:sz w:val="32"/>
          <w:szCs w:val="32"/>
          <w:lang w:eastAsia="zh-CN"/>
        </w:rPr>
        <w:t>其他群众团体事务支出</w:t>
      </w:r>
      <w:r>
        <w:rPr>
          <w:rStyle w:val="18"/>
          <w:rFonts w:hint="eastAsia" w:ascii="仿宋" w:hAnsi="仿宋" w:eastAsia="仿宋"/>
          <w:b w:val="0"/>
          <w:bCs/>
          <w:color w:val="000000"/>
          <w:sz w:val="32"/>
          <w:szCs w:val="32"/>
        </w:rPr>
        <w:t>决算为</w:t>
      </w:r>
      <w:r>
        <w:rPr>
          <w:rStyle w:val="18"/>
          <w:rFonts w:hint="eastAsia" w:ascii="仿宋" w:hAnsi="仿宋" w:eastAsia="仿宋"/>
          <w:b w:val="0"/>
          <w:bCs/>
          <w:color w:val="000000"/>
          <w:sz w:val="32"/>
          <w:szCs w:val="32"/>
          <w:lang w:val="en-US" w:eastAsia="zh-CN"/>
        </w:rPr>
        <w:t>0.6</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8"/>
          <w:rFonts w:ascii="仿宋" w:hAnsi="仿宋" w:eastAsia="仿宋"/>
          <w:bCs/>
          <w:color w:val="000000"/>
          <w:sz w:val="32"/>
          <w:szCs w:val="32"/>
        </w:rPr>
        <w:t>2.</w:t>
      </w:r>
      <w:r>
        <w:rPr>
          <w:rStyle w:val="18"/>
          <w:rFonts w:hint="eastAsia" w:ascii="仿宋" w:hAnsi="仿宋" w:eastAsia="仿宋"/>
          <w:bCs/>
          <w:color w:val="000000"/>
          <w:sz w:val="32"/>
          <w:szCs w:val="32"/>
        </w:rPr>
        <w:t>教育（类）</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（款）</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支出决算为0万元，完成预算0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8"/>
          <w:rFonts w:ascii="仿宋" w:hAnsi="仿宋" w:eastAsia="仿宋"/>
          <w:bCs/>
          <w:color w:val="000000"/>
          <w:sz w:val="32"/>
          <w:szCs w:val="32"/>
        </w:rPr>
        <w:t>3.</w:t>
      </w:r>
      <w:r>
        <w:rPr>
          <w:rStyle w:val="18"/>
          <w:rFonts w:hint="eastAsia" w:ascii="仿宋" w:hAnsi="仿宋" w:eastAsia="仿宋"/>
          <w:bCs/>
          <w:color w:val="000000"/>
          <w:sz w:val="32"/>
          <w:szCs w:val="32"/>
        </w:rPr>
        <w:t>科学技术（类）</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（款）</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支出决算为0万元，完成预算0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等于预算数的主要原因是…。</w:t>
      </w:r>
    </w:p>
    <w:p>
      <w:pPr>
        <w:spacing w:line="600" w:lineRule="exact"/>
        <w:ind w:firstLine="643" w:firstLineChars="200"/>
        <w:rPr>
          <w:rStyle w:val="18"/>
          <w:rFonts w:hint="eastAsia" w:ascii="仿宋" w:hAnsi="仿宋" w:eastAsia="仿宋"/>
          <w:b w:val="0"/>
          <w:bCs/>
          <w:color w:val="000000"/>
          <w:sz w:val="32"/>
          <w:szCs w:val="32"/>
        </w:rPr>
      </w:pPr>
      <w:r>
        <w:rPr>
          <w:rStyle w:val="18"/>
          <w:rFonts w:ascii="仿宋" w:hAnsi="仿宋" w:eastAsia="仿宋"/>
          <w:bCs/>
          <w:color w:val="000000"/>
          <w:sz w:val="32"/>
          <w:szCs w:val="32"/>
        </w:rPr>
        <w:t>4.</w:t>
      </w:r>
      <w:r>
        <w:rPr>
          <w:rStyle w:val="18"/>
          <w:rFonts w:hint="eastAsia" w:ascii="仿宋" w:hAnsi="仿宋" w:eastAsia="仿宋"/>
          <w:bCs/>
          <w:color w:val="000000"/>
          <w:sz w:val="32"/>
          <w:szCs w:val="32"/>
        </w:rPr>
        <w:t>文化体育与传媒（类）</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（款）</w:t>
      </w:r>
      <w:r>
        <w:rPr>
          <w:rStyle w:val="18"/>
          <w:rFonts w:ascii="仿宋" w:hAnsi="仿宋" w:eastAsia="仿宋"/>
          <w:bCs/>
          <w:color w:val="000000"/>
          <w:sz w:val="32"/>
          <w:szCs w:val="32"/>
        </w:rPr>
        <w:t>***</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支出决算为0万元，完成预算0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，决算数小于</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等于预算数的主要原因是…。</w:t>
      </w:r>
    </w:p>
    <w:p>
      <w:pPr>
        <w:spacing w:line="600" w:lineRule="exact"/>
        <w:ind w:firstLine="643" w:firstLineChars="200"/>
        <w:rPr>
          <w:rStyle w:val="18"/>
          <w:rFonts w:hint="eastAsia" w:ascii="仿宋" w:hAnsi="仿宋" w:eastAsia="仿宋"/>
          <w:b w:val="0"/>
          <w:bCs/>
          <w:sz w:val="32"/>
          <w:szCs w:val="32"/>
        </w:rPr>
      </w:pPr>
      <w:r>
        <w:rPr>
          <w:rStyle w:val="18"/>
          <w:rFonts w:ascii="仿宋" w:hAnsi="仿宋" w:eastAsia="仿宋"/>
          <w:bCs/>
          <w:color w:val="000000"/>
          <w:sz w:val="32"/>
          <w:szCs w:val="32"/>
        </w:rPr>
        <w:t>5.</w:t>
      </w:r>
      <w:r>
        <w:rPr>
          <w:rStyle w:val="18"/>
          <w:rFonts w:hint="eastAsia" w:ascii="仿宋" w:hAnsi="仿宋" w:eastAsia="仿宋"/>
          <w:bCs/>
          <w:color w:val="000000"/>
          <w:sz w:val="32"/>
          <w:szCs w:val="32"/>
        </w:rPr>
        <w:t>社会保障和就业</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2080501</w:t>
      </w:r>
      <w:r>
        <w:rPr>
          <w:rStyle w:val="18"/>
          <w:rFonts w:hint="eastAsia" w:ascii="仿宋" w:hAnsi="仿宋" w:eastAsia="仿宋"/>
          <w:b w:val="0"/>
          <w:bCs/>
          <w:sz w:val="32"/>
          <w:szCs w:val="32"/>
        </w:rPr>
        <w:t>归口管理的行政单位离退休</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3.1</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，决算数等于预算数。2080505</w:t>
      </w:r>
      <w:r>
        <w:rPr>
          <w:rStyle w:val="18"/>
          <w:rFonts w:hint="eastAsia" w:ascii="仿宋" w:hAnsi="仿宋" w:eastAsia="仿宋"/>
          <w:b w:val="0"/>
          <w:bCs/>
          <w:sz w:val="32"/>
          <w:szCs w:val="32"/>
        </w:rPr>
        <w:t>机关事业单位基本养老保险缴费支出决算为</w:t>
      </w:r>
      <w:r>
        <w:rPr>
          <w:rStyle w:val="18"/>
          <w:rFonts w:hint="eastAsia" w:ascii="仿宋" w:hAnsi="仿宋" w:eastAsia="仿宋"/>
          <w:b w:val="0"/>
          <w:bCs/>
          <w:sz w:val="32"/>
          <w:szCs w:val="32"/>
          <w:lang w:val="en-US" w:eastAsia="zh-CN"/>
        </w:rPr>
        <w:t>1.97</w:t>
      </w:r>
      <w:r>
        <w:rPr>
          <w:rStyle w:val="18"/>
          <w:rFonts w:hint="eastAsia" w:ascii="仿宋" w:hAnsi="仿宋" w:eastAsia="仿宋"/>
          <w:b w:val="0"/>
          <w:bCs/>
          <w:sz w:val="32"/>
          <w:szCs w:val="32"/>
        </w:rPr>
        <w:t>万元，完成预算数91%，决算数小于预算数，主要原因是指标调整结余。</w:t>
      </w:r>
      <w:r>
        <w:rPr>
          <w:rStyle w:val="18"/>
          <w:rFonts w:hint="eastAsia" w:ascii="仿宋" w:hAnsi="仿宋" w:eastAsia="仿宋"/>
          <w:b w:val="0"/>
          <w:bCs/>
          <w:color w:val="000000"/>
          <w:sz w:val="32"/>
          <w:szCs w:val="32"/>
        </w:rPr>
        <w:t>2089901其他社会保障和就业支出</w:t>
      </w:r>
      <w:r>
        <w:rPr>
          <w:rStyle w:val="18"/>
          <w:rFonts w:hint="eastAsia" w:ascii="仿宋" w:hAnsi="仿宋" w:eastAsia="仿宋"/>
          <w:b w:val="0"/>
          <w:bCs/>
          <w:sz w:val="32"/>
          <w:szCs w:val="32"/>
        </w:rPr>
        <w:t>决算为0.0</w:t>
      </w:r>
      <w:r>
        <w:rPr>
          <w:rStyle w:val="18"/>
          <w:rFonts w:hint="eastAsia" w:ascii="仿宋" w:hAnsi="仿宋" w:eastAsia="仿宋"/>
          <w:b w:val="0"/>
          <w:bCs/>
          <w:sz w:val="32"/>
          <w:szCs w:val="32"/>
          <w:lang w:val="en-US" w:eastAsia="zh-CN"/>
        </w:rPr>
        <w:t>6</w:t>
      </w:r>
      <w:r>
        <w:rPr>
          <w:rStyle w:val="18"/>
          <w:rFonts w:hint="eastAsia" w:ascii="仿宋" w:hAnsi="仿宋" w:eastAsia="仿宋"/>
          <w:b w:val="0"/>
          <w:bCs/>
          <w:sz w:val="32"/>
          <w:szCs w:val="32"/>
        </w:rPr>
        <w:t>万元，完成预算数100%，决算数等于预算数。</w:t>
      </w:r>
    </w:p>
    <w:p>
      <w:pPr>
        <w:spacing w:line="600" w:lineRule="exact"/>
        <w:ind w:firstLine="643" w:firstLineChars="200"/>
        <w:rPr>
          <w:rStyle w:val="18"/>
          <w:rFonts w:ascii="仿宋" w:hAnsi="仿宋" w:eastAsia="仿宋"/>
          <w:b w:val="0"/>
          <w:bCs/>
          <w:color w:val="000000"/>
          <w:sz w:val="32"/>
          <w:szCs w:val="32"/>
        </w:rPr>
      </w:pPr>
      <w:r>
        <w:rPr>
          <w:rStyle w:val="18"/>
          <w:rFonts w:ascii="仿宋" w:hAnsi="仿宋" w:eastAsia="仿宋"/>
          <w:bCs/>
          <w:color w:val="000000"/>
          <w:sz w:val="32"/>
          <w:szCs w:val="32"/>
        </w:rPr>
        <w:t>6.</w:t>
      </w:r>
      <w:r>
        <w:rPr>
          <w:rStyle w:val="18"/>
          <w:rFonts w:hint="eastAsia" w:ascii="仿宋" w:hAnsi="仿宋" w:eastAsia="仿宋"/>
          <w:bCs/>
          <w:color w:val="000000"/>
          <w:sz w:val="32"/>
          <w:szCs w:val="32"/>
        </w:rPr>
        <w:t>医疗卫生与计划生育</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2101101</w:t>
      </w:r>
      <w:r>
        <w:rPr>
          <w:rStyle w:val="18"/>
          <w:rFonts w:hint="eastAsia" w:ascii="仿宋" w:hAnsi="仿宋" w:eastAsia="仿宋"/>
          <w:b w:val="0"/>
          <w:bCs/>
          <w:sz w:val="32"/>
          <w:szCs w:val="32"/>
        </w:rPr>
        <w:t>行政单位医疗</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0.86</w:t>
      </w:r>
      <w:r>
        <w:rPr>
          <w:rStyle w:val="18"/>
          <w:rFonts w:hint="eastAsia" w:ascii="仿宋" w:hAnsi="仿宋" w:eastAsia="仿宋"/>
          <w:b w:val="0"/>
          <w:bCs/>
          <w:color w:val="000000"/>
          <w:sz w:val="32"/>
          <w:szCs w:val="32"/>
        </w:rPr>
        <w:t>万元，完成预算100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，决算数等于预算数。2101103</w:t>
      </w:r>
      <w:r>
        <w:rPr>
          <w:rStyle w:val="18"/>
          <w:rFonts w:hint="eastAsia" w:ascii="仿宋" w:hAnsi="仿宋" w:eastAsia="仿宋"/>
          <w:b w:val="0"/>
          <w:bCs/>
          <w:sz w:val="32"/>
          <w:szCs w:val="32"/>
        </w:rPr>
        <w:t>公务员医疗补助支出决算为0.</w:t>
      </w:r>
      <w:r>
        <w:rPr>
          <w:rStyle w:val="18"/>
          <w:rFonts w:hint="eastAsia" w:ascii="仿宋" w:hAnsi="仿宋" w:eastAsia="仿宋"/>
          <w:b w:val="0"/>
          <w:bCs/>
          <w:sz w:val="32"/>
          <w:szCs w:val="32"/>
          <w:lang w:val="en-US" w:eastAsia="zh-CN"/>
        </w:rPr>
        <w:t>23</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hint="eastAsia" w:ascii="仿宋" w:hAnsi="仿宋" w:eastAsia="仿宋"/>
          <w:b w:val="0"/>
          <w:bCs/>
          <w:sz w:val="32"/>
          <w:szCs w:val="32"/>
        </w:rPr>
        <w:t>%，</w:t>
      </w:r>
      <w:r>
        <w:rPr>
          <w:rStyle w:val="18"/>
          <w:rFonts w:hint="eastAsia" w:ascii="仿宋" w:hAnsi="仿宋" w:eastAsia="仿宋"/>
          <w:b w:val="0"/>
          <w:bCs/>
          <w:color w:val="000000"/>
          <w:sz w:val="32"/>
          <w:szCs w:val="32"/>
        </w:rPr>
        <w:t>决算数</w:t>
      </w:r>
      <w:r>
        <w:rPr>
          <w:rStyle w:val="18"/>
          <w:rFonts w:hint="eastAsia" w:ascii="仿宋" w:hAnsi="仿宋" w:eastAsia="仿宋"/>
          <w:b w:val="0"/>
          <w:bCs/>
          <w:color w:val="000000"/>
          <w:sz w:val="32"/>
          <w:szCs w:val="32"/>
          <w:lang w:eastAsia="zh-CN"/>
        </w:rPr>
        <w:t>等</w:t>
      </w:r>
      <w:r>
        <w:rPr>
          <w:rStyle w:val="18"/>
          <w:rFonts w:hint="eastAsia" w:ascii="仿宋" w:hAnsi="仿宋" w:eastAsia="仿宋"/>
          <w:b w:val="0"/>
          <w:bCs/>
          <w:color w:val="000000"/>
          <w:sz w:val="32"/>
          <w:szCs w:val="32"/>
          <w:lang w:val="en-US" w:eastAsia="zh-CN"/>
        </w:rPr>
        <w:t xml:space="preserve"> </w:t>
      </w:r>
      <w:r>
        <w:rPr>
          <w:rStyle w:val="18"/>
          <w:rFonts w:hint="eastAsia" w:ascii="仿宋" w:hAnsi="仿宋" w:eastAsia="仿宋"/>
          <w:b w:val="0"/>
          <w:bCs/>
          <w:color w:val="000000"/>
          <w:sz w:val="32"/>
          <w:szCs w:val="32"/>
        </w:rPr>
        <w:t>于预算数。</w:t>
      </w:r>
    </w:p>
    <w:p>
      <w:pPr>
        <w:spacing w:line="600" w:lineRule="exact"/>
        <w:ind w:firstLine="640" w:firstLineChars="200"/>
        <w:rPr>
          <w:rFonts w:ascii="仿宋" w:hAnsi="仿宋" w:eastAsia="仿宋"/>
          <w:b/>
          <w:color w:val="000000"/>
          <w:sz w:val="32"/>
          <w:szCs w:val="32"/>
        </w:rPr>
      </w:pPr>
      <w:r>
        <w:rPr>
          <w:rStyle w:val="18"/>
          <w:rFonts w:hint="eastAsia" w:ascii="仿宋" w:hAnsi="仿宋" w:eastAsia="仿宋"/>
          <w:b w:val="0"/>
          <w:bCs/>
          <w:color w:val="000000"/>
          <w:sz w:val="32"/>
          <w:szCs w:val="32"/>
        </w:rPr>
        <w:t>7.住房保障支出：2210201住房公积金支出决算为</w:t>
      </w:r>
      <w:r>
        <w:rPr>
          <w:rStyle w:val="18"/>
          <w:rFonts w:hint="eastAsia" w:ascii="仿宋" w:hAnsi="仿宋" w:eastAsia="仿宋"/>
          <w:b w:val="0"/>
          <w:bCs/>
          <w:color w:val="000000"/>
          <w:sz w:val="32"/>
          <w:szCs w:val="32"/>
          <w:lang w:val="en-US" w:eastAsia="zh-CN"/>
        </w:rPr>
        <w:t>2.21</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w:t>
      </w:r>
      <w:r>
        <w:rPr>
          <w:rStyle w:val="18"/>
          <w:rFonts w:hint="eastAsia" w:ascii="仿宋" w:hAnsi="仿宋" w:eastAsia="仿宋"/>
          <w:b w:val="0"/>
          <w:bCs/>
          <w:color w:val="000000"/>
          <w:sz w:val="32"/>
          <w:szCs w:val="32"/>
        </w:rPr>
        <w:t>49%，决算数</w:t>
      </w:r>
      <w:r>
        <w:rPr>
          <w:rStyle w:val="18"/>
          <w:rFonts w:hint="eastAsia" w:ascii="仿宋" w:hAnsi="仿宋" w:eastAsia="仿宋"/>
          <w:b w:val="0"/>
          <w:bCs/>
          <w:color w:val="000000"/>
          <w:sz w:val="32"/>
          <w:szCs w:val="32"/>
          <w:lang w:eastAsia="zh-CN"/>
        </w:rPr>
        <w:t>大</w:t>
      </w:r>
      <w:r>
        <w:rPr>
          <w:rStyle w:val="18"/>
          <w:rFonts w:hint="eastAsia" w:ascii="仿宋" w:hAnsi="仿宋" w:eastAsia="仿宋"/>
          <w:b w:val="0"/>
          <w:bCs/>
          <w:color w:val="000000"/>
          <w:sz w:val="32"/>
          <w:szCs w:val="32"/>
        </w:rPr>
        <w:t>于预算数，主要原因是由于财政拨付</w:t>
      </w:r>
      <w:r>
        <w:rPr>
          <w:rStyle w:val="18"/>
          <w:rFonts w:hint="eastAsia" w:ascii="仿宋" w:hAnsi="仿宋" w:eastAsia="仿宋"/>
          <w:b w:val="0"/>
          <w:bCs/>
          <w:color w:val="000000"/>
          <w:sz w:val="32"/>
          <w:szCs w:val="32"/>
          <w:lang w:val="en-US" w:eastAsia="zh-CN"/>
        </w:rPr>
        <w:t>2019年未拨付经费</w:t>
      </w:r>
      <w:r>
        <w:rPr>
          <w:rStyle w:val="18"/>
          <w:rFonts w:hint="eastAsia" w:ascii="仿宋" w:hAnsi="仿宋" w:eastAsia="仿宋"/>
          <w:b w:val="0"/>
          <w:bCs/>
          <w:color w:val="000000"/>
          <w:sz w:val="32"/>
          <w:szCs w:val="32"/>
        </w:rPr>
        <w:t>造成。</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项级</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和调整预算数</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项级</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比较，与预算数持平可以不写原因。）</w:t>
      </w:r>
    </w:p>
    <w:p>
      <w:pPr>
        <w:pStyle w:val="3"/>
        <w:bidi w:val="0"/>
        <w:ind w:firstLine="643" w:firstLineChars="200"/>
        <w:rPr>
          <w:rStyle w:val="29"/>
          <w:b/>
          <w:bCs/>
        </w:rPr>
      </w:pPr>
      <w:bookmarkStart w:id="74" w:name="_Toc15377214"/>
      <w:bookmarkStart w:id="75" w:name="_Toc17103559"/>
      <w:bookmarkStart w:id="76" w:name="_Toc21270"/>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9"/>
          <w:rFonts w:hint="eastAsia" w:ascii="黑体" w:hAnsi="黑体" w:eastAsia="黑体"/>
          <w:b w:val="0"/>
          <w:bCs/>
        </w:rPr>
        <w:t>般公共预算财政拨款基本支出决算情况说明</w:t>
      </w:r>
      <w:bookmarkEnd w:id="74"/>
      <w:bookmarkEnd w:id="75"/>
      <w:bookmarkEnd w:id="76"/>
      <w:r>
        <w:rPr>
          <w:rStyle w:val="29"/>
          <w:rFonts w:ascii="黑体" w:hAnsi="黑体" w:eastAsia="黑体"/>
          <w:b w:val="0"/>
          <w:bCs/>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42.06</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w:t>
      </w:r>
      <w:r>
        <w:rPr>
          <w:rFonts w:hint="eastAsia" w:ascii="仿宋" w:hAnsi="仿宋" w:eastAsia="仿宋"/>
          <w:color w:val="000000"/>
          <w:sz w:val="32"/>
          <w:szCs w:val="32"/>
          <w:lang w:val="en-US" w:eastAsia="zh-CN"/>
        </w:rPr>
        <w:t>37.87</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公用经费</w:t>
      </w:r>
      <w:r>
        <w:rPr>
          <w:rFonts w:hint="eastAsia" w:ascii="仿宋" w:hAnsi="仿宋" w:eastAsia="仿宋"/>
          <w:color w:val="000000"/>
          <w:sz w:val="32"/>
          <w:szCs w:val="32"/>
          <w:lang w:val="en-US" w:eastAsia="zh-CN"/>
        </w:rPr>
        <w:t>4.19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FF0000"/>
          <w:sz w:val="32"/>
          <w:szCs w:val="32"/>
        </w:rPr>
      </w:pPr>
      <w:r>
        <w:rPr>
          <w:rFonts w:hint="eastAsia" w:ascii="仿宋" w:hAnsi="仿宋" w:eastAsia="仿宋"/>
          <w:b/>
          <w:color w:val="000000" w:themeColor="text1"/>
          <w:sz w:val="32"/>
          <w:szCs w:val="32"/>
          <w14:textFill>
            <w14:solidFill>
              <w14:schemeClr w14:val="tx1"/>
            </w14:solidFill>
          </w14:textFill>
        </w:rPr>
        <w:t>（数据来源财决</w:t>
      </w:r>
      <w:r>
        <w:rPr>
          <w:rFonts w:ascii="仿宋" w:hAnsi="仿宋" w:eastAsia="仿宋"/>
          <w:b/>
          <w:color w:val="000000" w:themeColor="text1"/>
          <w:sz w:val="32"/>
          <w:szCs w:val="32"/>
          <w14:textFill>
            <w14:solidFill>
              <w14:schemeClr w14:val="tx1"/>
            </w14:solidFill>
          </w14:textFill>
        </w:rPr>
        <w:t>0</w:t>
      </w:r>
      <w:r>
        <w:rPr>
          <w:rFonts w:hint="eastAsia" w:ascii="仿宋" w:hAnsi="仿宋" w:eastAsia="仿宋"/>
          <w:b/>
          <w:color w:val="000000" w:themeColor="text1"/>
          <w:sz w:val="32"/>
          <w:szCs w:val="32"/>
          <w14:textFill>
            <w14:solidFill>
              <w14:schemeClr w14:val="tx1"/>
            </w14:solidFill>
          </w14:textFill>
        </w:rPr>
        <w:t>7表，根据本部门实际支出情况罗列全部经济分类科目。）</w:t>
      </w:r>
    </w:p>
    <w:p>
      <w:pPr>
        <w:pStyle w:val="3"/>
        <w:bidi w:val="0"/>
        <w:ind w:firstLine="643" w:firstLineChars="200"/>
        <w:rPr>
          <w:rStyle w:val="29"/>
          <w:rFonts w:ascii="黑体" w:hAnsi="黑体" w:eastAsia="黑体"/>
          <w:b w:val="0"/>
          <w:bCs/>
        </w:rPr>
      </w:pPr>
      <w:bookmarkStart w:id="77" w:name="_Toc15377215"/>
      <w:bookmarkStart w:id="78" w:name="_Toc17103560"/>
      <w:bookmarkStart w:id="79" w:name="_Toc12359"/>
      <w:r>
        <w:rPr>
          <w:rFonts w:hint="eastAsia" w:ascii="黑体" w:eastAsia="黑体"/>
          <w:color w:val="000000"/>
          <w:sz w:val="32"/>
          <w:szCs w:val="32"/>
        </w:rPr>
        <w:t>七、</w:t>
      </w:r>
      <w:r>
        <w:rPr>
          <w:rStyle w:val="29"/>
          <w:rFonts w:hint="eastAsia" w:ascii="黑体" w:hAnsi="黑体" w:eastAsia="黑体"/>
          <w:b/>
          <w:bCs/>
        </w:rPr>
        <w:t>“</w:t>
      </w:r>
      <w:r>
        <w:rPr>
          <w:rStyle w:val="29"/>
          <w:rFonts w:hint="eastAsia" w:ascii="黑体" w:hAnsi="黑体" w:eastAsia="黑体"/>
          <w:b w:val="0"/>
          <w:bCs/>
        </w:rPr>
        <w:t>三公”经费财政拨款支出决算情况说明</w:t>
      </w:r>
      <w:bookmarkEnd w:id="77"/>
      <w:bookmarkEnd w:id="78"/>
      <w:bookmarkEnd w:id="79"/>
    </w:p>
    <w:p>
      <w:pPr>
        <w:pStyle w:val="4"/>
        <w:bidi w:val="0"/>
        <w:ind w:firstLine="643" w:firstLineChars="200"/>
      </w:pPr>
      <w:bookmarkStart w:id="80" w:name="_Toc15377216"/>
      <w:bookmarkStart w:id="81" w:name="_Toc22622"/>
      <w:r>
        <w:rPr>
          <w:rFonts w:hint="eastAsia"/>
        </w:rPr>
        <w:t>（一）“三公”经费财政拨款支出决算总体情况说明</w:t>
      </w:r>
      <w:bookmarkEnd w:id="80"/>
      <w:bookmarkEnd w:id="8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年“三公”经费财政拨款支出决算为0.</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55</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，决算数小于预算数（或与预算数持平）的主要原因是接待减少。</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14:textFill>
            <w14:solidFill>
              <w14:schemeClr w14:val="tx1"/>
            </w14:solidFill>
          </w14:textFill>
        </w:rPr>
        <w:t>算数，包括政府性基金支出决算情况。）</w:t>
      </w:r>
    </w:p>
    <w:p>
      <w:pPr>
        <w:pStyle w:val="4"/>
        <w:bidi w:val="0"/>
        <w:ind w:firstLine="643" w:firstLineChars="200"/>
      </w:pPr>
      <w:bookmarkStart w:id="82" w:name="_Toc15377217"/>
      <w:bookmarkStart w:id="83" w:name="_Toc28746"/>
      <w:r>
        <w:rPr>
          <w:rFonts w:hint="eastAsia"/>
        </w:rPr>
        <w:t>（二）“三公”经费财政拨款支出决算具体情况说明</w:t>
      </w:r>
      <w:bookmarkEnd w:id="82"/>
      <w:bookmarkEnd w:id="8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8"/>
          <w:rFonts w:hint="eastAsia" w:ascii="仿宋" w:hAnsi="仿宋" w:eastAsia="仿宋"/>
          <w:b w:val="0"/>
          <w:bCs/>
          <w:color w:val="000000"/>
          <w:sz w:val="32"/>
          <w:szCs w:val="32"/>
        </w:rPr>
        <w:t>完成预算0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开支内容包括：…（团组名称、出访地点、取得成效）等。</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8"/>
          <w:rFonts w:hint="eastAsia" w:ascii="仿宋" w:hAnsi="仿宋" w:eastAsia="仿宋"/>
          <w:b w:val="0"/>
          <w:bCs/>
          <w:color w:val="000000"/>
          <w:sz w:val="32"/>
          <w:szCs w:val="32"/>
        </w:rPr>
        <w:t>完成预算0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0万元。全年按规定更新购置公务用车0辆，其中：轿车0辆、金额0万元，越野车0辆、金额0万元，载客汽车0辆、金额0万元，主要用于…。截至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月底，单位共有公务用车0辆，其中：轿车0辆、越野车0辆、载客汽车0辆。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18"/>
          <w:rFonts w:hint="eastAsia" w:ascii="仿宋" w:hAnsi="仿宋" w:eastAsia="仿宋"/>
          <w:b w:val="0"/>
          <w:bCs/>
          <w:color w:val="000000"/>
          <w:sz w:val="32"/>
          <w:szCs w:val="32"/>
        </w:rPr>
        <w:t>完成预算0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9年增加0.0</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636</w:t>
      </w:r>
      <w:r>
        <w:rPr>
          <w:rFonts w:ascii="仿宋_GB2312" w:eastAsia="仿宋_GB2312"/>
          <w:color w:val="000000"/>
          <w:sz w:val="32"/>
          <w:szCs w:val="32"/>
        </w:rPr>
        <w:t>%</w:t>
      </w:r>
      <w:r>
        <w:rPr>
          <w:rFonts w:hint="eastAsia" w:ascii="仿宋_GB2312" w:eastAsia="仿宋_GB2312"/>
          <w:color w:val="000000"/>
          <w:sz w:val="32"/>
          <w:szCs w:val="32"/>
        </w:rPr>
        <w:t>。主要原因是增加临时性接待一次。</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主要用于执行公务、开展业务活动开支的交通费、住宿费、用餐费等。国内公务接待1批次，</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人次（不包括陪同人员），共计支出0.</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万元，具体内容包括：…（接待具体项目、金额）。其中：</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，外事接待0批次，0人，共计支出0万元，主要用于接待</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（具体项目）。主要用于……</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万元，主要用于……</w:t>
      </w:r>
      <w:bookmarkStart w:id="84" w:name="_Toc15377218"/>
    </w:p>
    <w:p>
      <w:pPr>
        <w:pStyle w:val="3"/>
        <w:bidi w:val="0"/>
        <w:ind w:firstLine="643" w:firstLineChars="200"/>
        <w:rPr>
          <w:rStyle w:val="29"/>
          <w:rFonts w:ascii="黑体" w:hAnsi="黑体" w:eastAsia="黑体"/>
          <w:b/>
          <w:bCs/>
        </w:rPr>
      </w:pPr>
      <w:bookmarkStart w:id="85" w:name="_Toc17103561"/>
      <w:bookmarkStart w:id="86" w:name="_Toc19040"/>
      <w:r>
        <w:rPr>
          <w:rFonts w:hint="eastAsia" w:ascii="黑体" w:eastAsia="黑体"/>
          <w:color w:val="000000"/>
          <w:sz w:val="32"/>
          <w:szCs w:val="32"/>
        </w:rPr>
        <w:t>八、</w:t>
      </w:r>
      <w:r>
        <w:rPr>
          <w:rStyle w:val="29"/>
          <w:rFonts w:hint="eastAsia" w:ascii="黑体" w:hAnsi="黑体" w:eastAsia="黑体"/>
          <w:b w:val="0"/>
          <w:bCs/>
        </w:rPr>
        <w:t>政府性基金预算支出决算情况说明</w:t>
      </w:r>
      <w:bookmarkEnd w:id="84"/>
      <w:bookmarkEnd w:id="85"/>
      <w:bookmarkEnd w:id="8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年政府性基金预算拨款支出0万元。</w:t>
      </w:r>
    </w:p>
    <w:p>
      <w:pPr>
        <w:pStyle w:val="3"/>
        <w:numPr>
          <w:ilvl w:val="0"/>
          <w:numId w:val="0"/>
        </w:numPr>
        <w:bidi w:val="0"/>
        <w:rPr>
          <w:rStyle w:val="29"/>
          <w:rFonts w:hint="eastAsia" w:ascii="黑体" w:hAnsi="黑体" w:eastAsia="黑体"/>
          <w:b w:val="0"/>
          <w:bCs/>
        </w:rPr>
      </w:pPr>
      <w:bookmarkStart w:id="87" w:name="_Toc15377219"/>
      <w:bookmarkStart w:id="88" w:name="_Toc17103562"/>
      <w:r>
        <w:rPr>
          <w:rStyle w:val="29"/>
          <w:rFonts w:hint="eastAsia" w:ascii="黑体" w:hAnsi="黑体" w:eastAsia="黑体"/>
          <w:b w:val="0"/>
          <w:bCs/>
          <w:lang w:val="en-US" w:eastAsia="zh-CN"/>
        </w:rPr>
        <w:t xml:space="preserve">   </w:t>
      </w:r>
      <w:bookmarkStart w:id="89" w:name="_Toc7998"/>
      <w:r>
        <w:rPr>
          <w:rStyle w:val="29"/>
          <w:rFonts w:hint="eastAsia" w:ascii="黑体" w:hAnsi="黑体" w:eastAsia="黑体"/>
          <w:b w:val="0"/>
          <w:bCs/>
          <w:lang w:val="en-US" w:eastAsia="zh-CN"/>
        </w:rPr>
        <w:t>九、</w:t>
      </w:r>
      <w:r>
        <w:rPr>
          <w:rStyle w:val="29"/>
          <w:rFonts w:hint="eastAsia" w:ascii="黑体" w:hAnsi="黑体" w:eastAsia="黑体"/>
          <w:b w:val="0"/>
          <w:bCs/>
        </w:rPr>
        <w:t>国有资本经营预算支出决算情况说明</w:t>
      </w:r>
      <w:bookmarkEnd w:id="87"/>
      <w:bookmarkEnd w:id="88"/>
      <w:bookmarkEnd w:id="8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020</w:t>
      </w:r>
      <w:r>
        <w:rPr>
          <w:rFonts w:hint="eastAsia" w:ascii="仿宋_GB2312" w:eastAsia="仿宋_GB2312"/>
          <w:color w:val="000000"/>
          <w:sz w:val="32"/>
          <w:szCs w:val="32"/>
        </w:rPr>
        <w:t>年国有资本经营预算拨款支出0万元。</w:t>
      </w:r>
    </w:p>
    <w:p>
      <w:pPr>
        <w:pStyle w:val="3"/>
        <w:numPr>
          <w:ilvl w:val="0"/>
          <w:numId w:val="2"/>
        </w:numPr>
        <w:bidi w:val="0"/>
        <w:rPr>
          <w:rStyle w:val="29"/>
          <w:rFonts w:ascii="黑体" w:hAnsi="黑体" w:eastAsia="黑体"/>
          <w:b w:val="0"/>
          <w:bCs/>
        </w:rPr>
      </w:pPr>
      <w:bookmarkStart w:id="90" w:name="_Toc17103563"/>
      <w:bookmarkStart w:id="91" w:name="_Toc23859"/>
      <w:r>
        <w:rPr>
          <w:rStyle w:val="29"/>
          <w:rFonts w:hint="eastAsia" w:ascii="黑体" w:hAnsi="黑体" w:eastAsia="黑体"/>
          <w:b w:val="0"/>
          <w:bCs/>
        </w:rPr>
        <w:t>预算绩效情况说明</w:t>
      </w:r>
      <w:bookmarkEnd w:id="90"/>
      <w:bookmarkEnd w:id="91"/>
    </w:p>
    <w:p>
      <w:pPr>
        <w:pStyle w:val="4"/>
        <w:numPr>
          <w:ilvl w:val="0"/>
          <w:numId w:val="0"/>
        </w:numPr>
        <w:bidi w:val="0"/>
        <w:ind w:firstLine="643" w:firstLineChars="200"/>
      </w:pPr>
      <w:bookmarkStart w:id="92" w:name="_Toc31704"/>
      <w:r>
        <w:rPr>
          <w:rFonts w:hint="eastAsia"/>
          <w:lang w:eastAsia="zh-CN"/>
        </w:rPr>
        <w:t>（一）</w:t>
      </w:r>
      <w:r>
        <w:rPr>
          <w:rFonts w:hint="eastAsia"/>
        </w:rPr>
        <w:t>预算绩效管理工作开展情况。</w:t>
      </w:r>
      <w:bookmarkEnd w:id="92"/>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0项目开展了预算事前绩效评估，对0个项目编制了绩效目标，预算执行过程中，选取0个项目开展绩效监控，年终执行完毕后，对0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年部门整体支出开展绩效自评，从评价情况来看基本已经完成。本部门还自行组织了0个项目绩效评价，从评价情况来看…………（简要说明项目绩效情况）。</w:t>
      </w:r>
    </w:p>
    <w:p>
      <w:pPr>
        <w:pStyle w:val="4"/>
        <w:bidi w:val="0"/>
        <w:ind w:firstLine="643" w:firstLineChars="200"/>
        <w:rPr>
          <w:rFonts w:ascii="仿宋_GB2312" w:hAnsi="仿宋_GB2312" w:eastAsia="仿宋_GB2312" w:cs="仿宋_GB2312"/>
          <w:sz w:val="32"/>
          <w:szCs w:val="32"/>
        </w:rPr>
      </w:pPr>
      <w:bookmarkStart w:id="93" w:name="_Toc11205"/>
      <w:r>
        <w:rPr>
          <w:rFonts w:hint="eastAsia" w:ascii="仿宋" w:hAnsi="仿宋" w:eastAsia="仿宋" w:cs="楷体_GB2312"/>
          <w:b/>
          <w:bCs/>
          <w:sz w:val="32"/>
          <w:szCs w:val="32"/>
          <w:lang w:eastAsia="zh-CN"/>
        </w:rPr>
        <w:t>（二）</w:t>
      </w: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无项目绩效目标。本单位部门项目绩效目标个数在5个以上的，选取5个项目进行公开，目标个数在5个以下的，全部进行公开，公开内容包括完成情况综述和完成情况表）。</w:t>
      </w:r>
      <w:bookmarkEnd w:id="93"/>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项目绩效目标完成情况综述。项目全年预算数0万元，执行数为0万元，完成预算的0%。通过项目实施，保障（支持、促进、提高……）了XXXXXXX(按照项目总体目标简要描述项目成效），发现的主要问题：XXXXXXXX。下一步改进措施：XXXXXX</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tabs>
          <w:tab w:val="left" w:pos="312"/>
        </w:tabs>
        <w:spacing w:line="580" w:lineRule="exact"/>
        <w:rPr>
          <w:rFonts w:ascii="仿宋_GB2312" w:hAnsi="仿宋_GB2312" w:eastAsia="仿宋_GB2312" w:cs="仿宋_GB2312"/>
          <w:sz w:val="32"/>
          <w:szCs w:val="32"/>
        </w:rPr>
      </w:pPr>
    </w:p>
    <w:p>
      <w:r>
        <w:br w:type="page"/>
      </w:r>
    </w:p>
    <w:tbl>
      <w:tblPr>
        <w:tblStyle w:val="16"/>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bookmarkStart w:id="141" w:name="_GoBack"/>
            <w:bookmarkEnd w:id="141"/>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pStyle w:val="4"/>
        <w:bidi w:val="0"/>
        <w:ind w:firstLine="643" w:firstLineChars="200"/>
      </w:pPr>
      <w:bookmarkStart w:id="94" w:name="_Toc30746"/>
      <w:r>
        <w:rPr>
          <w:rFonts w:hint="eastAsia"/>
          <w:lang w:eastAsia="zh-CN"/>
        </w:rPr>
        <w:t>（三）</w:t>
      </w:r>
      <w:r>
        <w:rPr>
          <w:rFonts w:hint="eastAsia"/>
        </w:rPr>
        <w:t>部门开展绩效评价结果。</w:t>
      </w:r>
      <w:bookmarkEnd w:id="94"/>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年部门整体支出绩效评价情况开展自评，《区侨联部门20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年部门整体支出绩效评价报告》见附件。</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本部门自行组织对0项目、0项目开展了绩效评价，《XXX项目2019年绩效评价报告》见附件。（非涉密部门均需公开部门整体支出评价报告，部门自行组织的绩效评价情况根据部门实际公开）</w:t>
      </w:r>
    </w:p>
    <w:p>
      <w:pPr>
        <w:pStyle w:val="3"/>
        <w:bidi w:val="0"/>
        <w:ind w:firstLine="643" w:firstLineChars="200"/>
        <w:rPr>
          <w:rStyle w:val="29"/>
          <w:rFonts w:ascii="黑体" w:hAnsi="黑体" w:eastAsia="黑体"/>
          <w:b/>
          <w:bCs/>
        </w:rPr>
      </w:pPr>
      <w:bookmarkStart w:id="95" w:name="_Toc17103564"/>
      <w:bookmarkStart w:id="96" w:name="_Toc15377221"/>
      <w:bookmarkStart w:id="97" w:name="_Toc16314"/>
      <w:r>
        <w:rPr>
          <w:rFonts w:hint="eastAsia" w:ascii="黑体" w:hAnsi="黑体" w:eastAsia="黑体"/>
          <w:color w:val="000000"/>
          <w:sz w:val="32"/>
          <w:szCs w:val="32"/>
        </w:rPr>
        <w:t>十</w:t>
      </w:r>
      <w:r>
        <w:rPr>
          <w:rStyle w:val="29"/>
          <w:rFonts w:hint="eastAsia" w:ascii="黑体" w:hAnsi="黑体" w:eastAsia="黑体"/>
          <w:b/>
          <w:bCs/>
        </w:rPr>
        <w:t>一、</w:t>
      </w:r>
      <w:r>
        <w:rPr>
          <w:rStyle w:val="29"/>
          <w:rFonts w:hint="eastAsia" w:ascii="黑体" w:hAnsi="黑体" w:eastAsia="黑体"/>
          <w:b w:val="0"/>
          <w:bCs/>
        </w:rPr>
        <w:t>其他重要事项的情况说明</w:t>
      </w:r>
      <w:bookmarkEnd w:id="95"/>
      <w:bookmarkEnd w:id="96"/>
      <w:bookmarkEnd w:id="97"/>
    </w:p>
    <w:p>
      <w:pPr>
        <w:pStyle w:val="4"/>
        <w:bidi w:val="0"/>
        <w:ind w:firstLine="643" w:firstLineChars="200"/>
      </w:pPr>
      <w:bookmarkStart w:id="98" w:name="_Toc15377222"/>
      <w:bookmarkStart w:id="99" w:name="_Toc24626"/>
      <w:r>
        <w:rPr>
          <w:rFonts w:hint="eastAsia"/>
        </w:rPr>
        <w:t>（一）机关运行经费支出情况</w:t>
      </w:r>
      <w:bookmarkEnd w:id="98"/>
      <w:bookmarkEnd w:id="99"/>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年，侨联机关运行经费支出4.</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年减少0.</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1万元，减少</w:t>
      </w:r>
      <w:r>
        <w:rPr>
          <w:rFonts w:hint="eastAsia" w:ascii="仿宋_GB2312" w:eastAsia="仿宋_GB2312"/>
          <w:color w:val="000000"/>
          <w:sz w:val="32"/>
          <w:szCs w:val="32"/>
          <w:lang w:val="en-US" w:eastAsia="zh-CN"/>
        </w:rPr>
        <w:t>0.2</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主要原因是经费支出减少。</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pStyle w:val="4"/>
        <w:bidi w:val="0"/>
        <w:ind w:firstLine="643" w:firstLineChars="200"/>
      </w:pPr>
      <w:bookmarkStart w:id="100" w:name="_Toc15377223"/>
      <w:bookmarkStart w:id="101" w:name="_Toc24884"/>
      <w:r>
        <w:rPr>
          <w:rFonts w:hint="eastAsia"/>
        </w:rPr>
        <w:t>（二）政府采购支出情况</w:t>
      </w:r>
      <w:bookmarkEnd w:id="100"/>
      <w:bookmarkEnd w:id="10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年，侨联本年政府采购支出总额0万元，其中：政府采购货物支出0万元、政府采购工程支出0万元、政府采购服务支出0万元。主要用于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02" w:name="_Toc13322"/>
      <w:bookmarkStart w:id="103" w:name="_Toc25839"/>
      <w:bookmarkStart w:id="104" w:name="_Toc7583"/>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bookmarkEnd w:id="102"/>
      <w:bookmarkEnd w:id="103"/>
      <w:bookmarkEnd w:id="104"/>
    </w:p>
    <w:p>
      <w:pPr>
        <w:pStyle w:val="4"/>
        <w:bidi w:val="0"/>
        <w:ind w:firstLine="643" w:firstLineChars="200"/>
      </w:pPr>
      <w:bookmarkStart w:id="105" w:name="_Toc15377224"/>
      <w:bookmarkStart w:id="106" w:name="_Toc13815"/>
      <w:r>
        <w:rPr>
          <w:rFonts w:hint="eastAsia"/>
        </w:rPr>
        <w:t>（三）国有资产占有使用情况</w:t>
      </w:r>
      <w:bookmarkEnd w:id="105"/>
      <w:bookmarkEnd w:id="106"/>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日，侨联共有车辆0辆，其中：部级领导干部用车0辆、一般公务用车0辆、一般执法执勤用车0辆、特种专业技术用车0辆、其他用车0辆，</w:t>
      </w:r>
      <w:r>
        <w:rPr>
          <w:rFonts w:hint="eastAsia" w:ascii="仿宋_GB2312" w:eastAsia="仿宋_GB2312"/>
          <w:color w:val="000000" w:themeColor="text1"/>
          <w:sz w:val="32"/>
          <w:szCs w:val="32"/>
          <w14:textFill>
            <w14:solidFill>
              <w14:schemeClr w14:val="tx1"/>
            </w14:solidFill>
          </w14:textFill>
        </w:rPr>
        <w:t>其他用车主要是用于……单价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万元以上通用设备0台（套），单价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07" w:name="_Toc29191"/>
      <w:bookmarkStart w:id="108" w:name="_Toc22744"/>
      <w:bookmarkStart w:id="109" w:name="_Toc8275"/>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bookmarkEnd w:id="107"/>
      <w:bookmarkEnd w:id="108"/>
      <w:bookmarkEnd w:id="109"/>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pStyle w:val="2"/>
        <w:numPr>
          <w:ilvl w:val="0"/>
          <w:numId w:val="4"/>
        </w:numPr>
        <w:bidi w:val="0"/>
        <w:jc w:val="center"/>
        <w:rPr>
          <w:rStyle w:val="28"/>
          <w:rFonts w:ascii="黑体" w:hAnsi="黑体" w:eastAsia="黑体"/>
          <w:b w:val="0"/>
          <w:bCs/>
        </w:rPr>
      </w:pPr>
      <w:bookmarkStart w:id="110" w:name="_Toc15377225"/>
      <w:bookmarkStart w:id="111" w:name="_Toc17103565"/>
      <w:bookmarkStart w:id="112" w:name="_Toc12930"/>
      <w:r>
        <w:rPr>
          <w:rFonts w:hint="eastAsia" w:ascii="黑体" w:hAnsi="黑体" w:eastAsia="黑体"/>
          <w:b/>
          <w:color w:val="000000"/>
          <w:sz w:val="44"/>
          <w:szCs w:val="44"/>
        </w:rPr>
        <w:t>名</w:t>
      </w:r>
      <w:r>
        <w:rPr>
          <w:rStyle w:val="28"/>
          <w:rFonts w:hint="eastAsia" w:ascii="黑体" w:hAnsi="黑体" w:eastAsia="黑体"/>
          <w:b w:val="0"/>
          <w:bCs/>
        </w:rPr>
        <w:t>词解释</w:t>
      </w:r>
      <w:bookmarkEnd w:id="110"/>
      <w:bookmarkEnd w:id="111"/>
      <w:bookmarkEnd w:id="112"/>
    </w:p>
    <w:p>
      <w:pPr>
        <w:spacing w:line="600" w:lineRule="exact"/>
        <w:jc w:val="left"/>
        <w:rPr>
          <w:rFonts w:ascii="宋体"/>
          <w:b/>
          <w:color w:val="000000"/>
          <w:sz w:val="44"/>
          <w:szCs w:val="44"/>
        </w:rPr>
      </w:pP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其中2012901一般公共服务支出中群众团体事务支出中的行政运行指的是各级人员团体、社会团体、群众团体以及工会、妇联、共青团组织等行政单位的基本支出；2012902一般公共服务支出中群众团体事务支出中的一般行政管理事务指的是各级人员团体、社会团体、群众团体以及工会、妇联、共青团组织等行政单位未单独设置项级科目的其他项目支出；2012999一般公共服务支出中群众团体事务支出中的其他群众团体事务指的是各级人员团体、社会团体、群众团体以及工会、妇联、共青团组织等其他用于群众团体事务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其中2080501归口管理的行政单位离退休支出指的是反映实行归口管理的行政单位（包括实行公务员事业单位）开支的离退休经费；2080505社会保障和就业中的机关事业单位基本养老保险缴费支出指的是机关事业单位实施养老保险制度由单位缴纳的基本养老保险费支出；2089901其他社会就业支出指的是反映除社会保障和就业支出以外其他用于社会保障和就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其中2101101行政单位医疗指反映财政部门集中安排的行政单位基本医疗保险缴费经费，未参加医疗保险的行政单位的公费医疗经费，按国家规定享受离休人员、红军老战士待遇人员的医疗经费。2101103公务医疗补助指反映财政部门集中安排的公务员医疗补助经费。</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住房保障：指2210201住房保障支出中的住房公积金支出指的是行政事业单位按人力资源和社会保障部、财政部规定的基本工资和津贴补贴以及规定比例为职工缴纳的住房公积金。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6"/>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pStyle w:val="2"/>
        <w:bidi w:val="0"/>
        <w:jc w:val="center"/>
        <w:rPr>
          <w:rStyle w:val="28"/>
          <w:rFonts w:ascii="黑体" w:hAnsi="黑体" w:eastAsia="黑体"/>
          <w:b w:val="0"/>
          <w:bCs/>
        </w:rPr>
      </w:pPr>
      <w:bookmarkStart w:id="113" w:name="_Toc15377226"/>
      <w:r>
        <w:rPr>
          <w:rFonts w:ascii="宋体"/>
          <w:b/>
          <w:color w:val="000000"/>
          <w:sz w:val="44"/>
          <w:szCs w:val="44"/>
        </w:rPr>
        <w:br w:type="page"/>
      </w:r>
      <w:bookmarkStart w:id="114" w:name="_Toc17103566"/>
      <w:bookmarkStart w:id="115" w:name="_Toc1499"/>
      <w:r>
        <w:rPr>
          <w:rFonts w:hint="eastAsia" w:ascii="黑体" w:hAnsi="黑体" w:eastAsia="黑体"/>
          <w:color w:val="000000"/>
          <w:sz w:val="44"/>
          <w:szCs w:val="44"/>
        </w:rPr>
        <w:t>第</w:t>
      </w:r>
      <w:r>
        <w:rPr>
          <w:rStyle w:val="28"/>
          <w:rFonts w:hint="eastAsia" w:ascii="黑体" w:hAnsi="黑体" w:eastAsia="黑体"/>
          <w:b w:val="0"/>
          <w:bCs/>
        </w:rPr>
        <w:t>四部分 附件</w:t>
      </w:r>
      <w:bookmarkEnd w:id="114"/>
      <w:bookmarkEnd w:id="115"/>
    </w:p>
    <w:p>
      <w:pPr>
        <w:pStyle w:val="3"/>
        <w:bidi w:val="0"/>
        <w:rPr>
          <w:rStyle w:val="28"/>
          <w:rFonts w:ascii="仿宋" w:hAnsi="仿宋" w:eastAsia="仿宋"/>
          <w:b w:val="0"/>
          <w:bCs w:val="0"/>
          <w:sz w:val="32"/>
          <w:szCs w:val="32"/>
        </w:rPr>
      </w:pPr>
      <w:bookmarkStart w:id="116" w:name="_Toc17103567"/>
      <w:bookmarkStart w:id="117" w:name="_Toc13587"/>
      <w:r>
        <w:rPr>
          <w:rStyle w:val="28"/>
          <w:rFonts w:hint="eastAsia" w:ascii="仿宋" w:hAnsi="仿宋" w:eastAsia="仿宋"/>
          <w:b w:val="0"/>
          <w:bCs w:val="0"/>
          <w:sz w:val="32"/>
          <w:szCs w:val="32"/>
        </w:rPr>
        <w:t>附件1</w:t>
      </w:r>
      <w:bookmarkEnd w:id="116"/>
      <w:bookmarkEnd w:id="117"/>
    </w:p>
    <w:p>
      <w:pPr>
        <w:spacing w:line="600" w:lineRule="exact"/>
        <w:jc w:val="center"/>
        <w:outlineLvl w:val="0"/>
        <w:rPr>
          <w:rFonts w:ascii="黑体" w:hAnsi="黑体" w:eastAsia="黑体" w:cs="方正小标宋简体"/>
          <w:sz w:val="36"/>
          <w:szCs w:val="36"/>
        </w:rPr>
      </w:pPr>
      <w:bookmarkStart w:id="118" w:name="_Toc15396616"/>
      <w:bookmarkStart w:id="119" w:name="_Toc17103568"/>
      <w:bookmarkStart w:id="120" w:name="_Toc24944"/>
      <w:bookmarkStart w:id="121" w:name="_Toc138"/>
      <w:bookmarkStart w:id="122" w:name="_Toc5848"/>
      <w:r>
        <w:rPr>
          <w:rFonts w:hint="eastAsia" w:ascii="黑体" w:hAnsi="黑体" w:eastAsia="黑体" w:cs="方正小标宋简体"/>
          <w:sz w:val="36"/>
          <w:szCs w:val="36"/>
        </w:rPr>
        <w:t>区侨联部门20</w:t>
      </w:r>
      <w:r>
        <w:rPr>
          <w:rFonts w:hint="eastAsia" w:ascii="黑体" w:hAnsi="黑体" w:eastAsia="黑体" w:cs="方正小标宋简体"/>
          <w:sz w:val="36"/>
          <w:szCs w:val="36"/>
          <w:lang w:val="en-US" w:eastAsia="zh-CN"/>
        </w:rPr>
        <w:t>20</w:t>
      </w:r>
      <w:r>
        <w:rPr>
          <w:rFonts w:hint="eastAsia" w:ascii="黑体" w:hAnsi="黑体" w:eastAsia="黑体" w:cs="方正小标宋简体"/>
          <w:sz w:val="36"/>
          <w:szCs w:val="36"/>
        </w:rPr>
        <w:t>年部门整体支出绩效评价报告</w:t>
      </w:r>
      <w:bookmarkEnd w:id="118"/>
      <w:bookmarkEnd w:id="119"/>
      <w:bookmarkEnd w:id="120"/>
      <w:bookmarkEnd w:id="121"/>
      <w:bookmarkEnd w:id="122"/>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r>
        <w:rPr>
          <w:rFonts w:hint="eastAsia" w:ascii="仿宋" w:hAnsi="仿宋" w:eastAsia="仿宋" w:cs="仿宋_GB2312"/>
          <w:sz w:val="32"/>
          <w:szCs w:val="32"/>
        </w:rPr>
        <w:t>行政单位</w:t>
      </w:r>
    </w:p>
    <w:p>
      <w:pPr>
        <w:snapToGrid w:val="0"/>
        <w:spacing w:line="500" w:lineRule="exact"/>
        <w:ind w:firstLine="640" w:firstLineChars="200"/>
        <w:rPr>
          <w:rFonts w:ascii="仿宋_GB2312" w:eastAsia="仿宋_GB2312"/>
          <w:sz w:val="32"/>
          <w:szCs w:val="32"/>
        </w:rPr>
      </w:pPr>
      <w:r>
        <w:rPr>
          <w:rFonts w:ascii="仿宋" w:hAnsi="仿宋" w:eastAsia="仿宋" w:cs="仿宋_GB2312"/>
          <w:sz w:val="32"/>
          <w:szCs w:val="32"/>
        </w:rPr>
        <w:t>（二）机构职能。</w:t>
      </w:r>
      <w:r>
        <w:rPr>
          <w:rFonts w:hint="eastAsia" w:ascii="仿宋_GB2312" w:eastAsia="仿宋_GB2312"/>
          <w:sz w:val="32"/>
          <w:szCs w:val="32"/>
        </w:rPr>
        <w:t>群众工作，参政议政，维护侨益，海外联谊。</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r>
        <w:rPr>
          <w:rFonts w:hint="eastAsia" w:ascii="仿宋" w:hAnsi="仿宋" w:eastAsia="仿宋" w:cs="仿宋_GB2312"/>
          <w:sz w:val="32"/>
          <w:szCs w:val="32"/>
        </w:rPr>
        <w:t>编制2人，在职人员2人。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r>
        <w:rPr>
          <w:rFonts w:hint="eastAsia" w:ascii="仿宋" w:hAnsi="仿宋" w:eastAsia="仿宋" w:cs="仿宋_GB2312"/>
          <w:sz w:val="32"/>
          <w:szCs w:val="32"/>
        </w:rPr>
        <w:t>财政资金收入</w:t>
      </w:r>
      <w:r>
        <w:rPr>
          <w:rFonts w:hint="eastAsia" w:ascii="仿宋" w:hAnsi="仿宋" w:eastAsia="仿宋"/>
          <w:color w:val="000000"/>
          <w:sz w:val="32"/>
          <w:szCs w:val="32"/>
          <w:lang w:val="en-US" w:eastAsia="zh-CN"/>
        </w:rPr>
        <w:t>47.88</w:t>
      </w:r>
      <w:r>
        <w:rPr>
          <w:rFonts w:hint="eastAsia" w:ascii="仿宋" w:hAnsi="仿宋" w:eastAsia="仿宋"/>
          <w:color w:val="000000"/>
          <w:sz w:val="32"/>
          <w:szCs w:val="32"/>
        </w:rPr>
        <w:t>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r>
        <w:rPr>
          <w:rFonts w:hint="eastAsia" w:ascii="仿宋" w:hAnsi="仿宋" w:eastAsia="仿宋" w:cs="仿宋_GB2312"/>
          <w:sz w:val="32"/>
          <w:szCs w:val="32"/>
        </w:rPr>
        <w:t>财政资金</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49.07</w:t>
      </w:r>
      <w:r>
        <w:rPr>
          <w:rFonts w:hint="eastAsia" w:ascii="仿宋" w:hAnsi="仿宋" w:eastAsia="仿宋"/>
          <w:color w:val="000000"/>
          <w:sz w:val="32"/>
          <w:szCs w:val="32"/>
        </w:rPr>
        <w:t>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r>
        <w:rPr>
          <w:rFonts w:hint="eastAsia" w:ascii="黑体" w:hAnsi="黑体" w:eastAsia="黑体" w:cs="黑体"/>
          <w:sz w:val="32"/>
          <w:szCs w:val="32"/>
        </w:rPr>
        <w:t>（本单位无预算项目绩效）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pageBreakBefore w:val="0"/>
        <w:kinsoku/>
        <w:wordWrap/>
        <w:overflowPunct/>
        <w:topLinePunct w:val="0"/>
        <w:bidi w:val="0"/>
        <w:spacing w:line="56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一）评价结论。</w:t>
      </w:r>
      <w:r>
        <w:rPr>
          <w:rFonts w:hint="eastAsia" w:ascii="仿宋" w:hAnsi="仿宋" w:eastAsia="仿宋" w:cs="仿宋_GB2312"/>
          <w:sz w:val="32"/>
          <w:szCs w:val="32"/>
        </w:rPr>
        <w:t>本单位除</w:t>
      </w:r>
      <w:r>
        <w:rPr>
          <w:rFonts w:hint="eastAsia" w:ascii="仿宋" w:hAnsi="仿宋" w:eastAsia="仿宋" w:cs="仿宋_GB2312"/>
          <w:sz w:val="32"/>
          <w:szCs w:val="32"/>
          <w:lang w:eastAsia="zh-CN"/>
        </w:rPr>
        <w:t>少量</w:t>
      </w:r>
      <w:r>
        <w:rPr>
          <w:rFonts w:hint="eastAsia" w:ascii="仿宋" w:hAnsi="仿宋" w:eastAsia="仿宋" w:cs="仿宋_GB2312"/>
          <w:sz w:val="32"/>
          <w:szCs w:val="32"/>
        </w:rPr>
        <w:t>专项经费未全部到位，基本性支出均已经全部列支。</w:t>
      </w:r>
    </w:p>
    <w:p>
      <w:pPr>
        <w:pageBreakBefore w:val="0"/>
        <w:kinsoku/>
        <w:wordWrap/>
        <w:overflowPunct/>
        <w:topLinePunct w:val="0"/>
        <w:bidi w:val="0"/>
        <w:spacing w:line="56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（二）存在问题。</w:t>
      </w:r>
      <w:r>
        <w:rPr>
          <w:rFonts w:hint="eastAsia" w:ascii="仿宋" w:hAnsi="仿宋" w:eastAsia="仿宋" w:cs="仿宋_GB2312"/>
          <w:sz w:val="32"/>
          <w:szCs w:val="32"/>
        </w:rPr>
        <w:t>专项经费</w:t>
      </w:r>
      <w:r>
        <w:rPr>
          <w:rFonts w:hint="eastAsia" w:ascii="仿宋" w:hAnsi="仿宋" w:eastAsia="仿宋" w:cs="仿宋_GB2312"/>
          <w:sz w:val="32"/>
          <w:szCs w:val="32"/>
          <w:lang w:eastAsia="zh-CN"/>
        </w:rPr>
        <w:t>部分未</w:t>
      </w:r>
      <w:r>
        <w:rPr>
          <w:rFonts w:hint="eastAsia" w:ascii="仿宋" w:hAnsi="仿宋" w:eastAsia="仿宋" w:cs="仿宋_GB2312"/>
          <w:sz w:val="32"/>
          <w:szCs w:val="32"/>
        </w:rPr>
        <w:t>及时支付。</w:t>
      </w:r>
    </w:p>
    <w:p>
      <w:pPr>
        <w:spacing w:line="580" w:lineRule="exact"/>
        <w:ind w:firstLine="640" w:firstLineChars="200"/>
        <w:rPr>
          <w:rFonts w:ascii="仿宋_GB2312" w:hAnsi="仿宋_GB2312" w:eastAsia="仿宋_GB2312" w:cs="仿宋_GB2312"/>
          <w:sz w:val="32"/>
          <w:szCs w:val="32"/>
        </w:rPr>
      </w:pPr>
      <w:r>
        <w:rPr>
          <w:rFonts w:ascii="仿宋" w:hAnsi="仿宋" w:eastAsia="仿宋" w:cs="仿宋_GB2312"/>
          <w:sz w:val="32"/>
          <w:szCs w:val="32"/>
        </w:rPr>
        <w:t>（三）改进建议。</w:t>
      </w:r>
      <w:r>
        <w:rPr>
          <w:rFonts w:hint="eastAsia" w:ascii="仿宋" w:hAnsi="仿宋" w:eastAsia="仿宋" w:cs="仿宋_GB2312"/>
          <w:sz w:val="32"/>
          <w:szCs w:val="32"/>
        </w:rPr>
        <w:t>按照专项经费进度进行支付。</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bidi w:val="0"/>
        <w:rPr>
          <w:rStyle w:val="28"/>
          <w:rFonts w:ascii="仿宋" w:hAnsi="仿宋" w:eastAsia="仿宋"/>
          <w:b w:val="0"/>
          <w:bCs w:val="0"/>
          <w:sz w:val="32"/>
          <w:szCs w:val="32"/>
        </w:rPr>
      </w:pPr>
      <w:bookmarkStart w:id="123" w:name="_Toc17103569"/>
      <w:bookmarkStart w:id="124" w:name="_Toc8625"/>
      <w:r>
        <w:rPr>
          <w:rStyle w:val="28"/>
          <w:rFonts w:hint="eastAsia" w:ascii="仿宋" w:hAnsi="仿宋" w:eastAsia="仿宋"/>
          <w:b w:val="0"/>
          <w:bCs w:val="0"/>
          <w:sz w:val="32"/>
          <w:szCs w:val="32"/>
        </w:rPr>
        <w:t>附件2</w:t>
      </w:r>
      <w:bookmarkEnd w:id="123"/>
      <w:bookmarkEnd w:id="124"/>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w:t>
      </w:r>
      <w:r>
        <w:rPr>
          <w:rFonts w:hint="eastAsia" w:ascii="黑体" w:hAnsi="黑体" w:eastAsia="黑体" w:cs="方正小标宋简体"/>
          <w:sz w:val="44"/>
          <w:szCs w:val="44"/>
          <w:lang w:val="en-US" w:eastAsia="zh-CN"/>
        </w:rPr>
        <w:t>20</w:t>
      </w:r>
      <w:r>
        <w:rPr>
          <w:rFonts w:hint="eastAsia" w:ascii="黑体" w:hAnsi="黑体" w:eastAsia="黑体" w:cs="方正小标宋简体"/>
          <w:sz w:val="44"/>
          <w:szCs w:val="44"/>
        </w:rPr>
        <w:t>年XXX项目支出绩效评价报告</w:t>
      </w:r>
    </w:p>
    <w:p>
      <w:pPr>
        <w:spacing w:line="58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（一）评价结论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（二）绩效分析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1、项目决策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2、项目管理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3、项目绩效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960" w:firstLineChars="300"/>
        <w:textAlignment w:val="auto"/>
        <w:rPr>
          <w:rFonts w:ascii="仿宋" w:hAnsi="仿宋" w:eastAsia="仿宋" w:cs="仿宋_GB2312"/>
          <w:sz w:val="32"/>
          <w:szCs w:val="32"/>
        </w:rPr>
      </w:pPr>
      <w:r>
        <w:rPr>
          <w:rFonts w:hint="eastAsia" w:ascii="仿宋" w:hAnsi="仿宋" w:eastAsia="仿宋" w:cs="仿宋_GB2312"/>
          <w:sz w:val="32"/>
          <w:szCs w:val="32"/>
          <w:lang w:eastAsia="zh-CN"/>
        </w:rPr>
        <w:t>四、</w:t>
      </w:r>
      <w:r>
        <w:rPr>
          <w:rFonts w:ascii="仿宋" w:hAnsi="仿宋" w:eastAsia="仿宋" w:cs="仿宋_GB2312"/>
          <w:sz w:val="32"/>
          <w:szCs w:val="32"/>
        </w:rPr>
        <w:t>相关措施建议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960" w:firstLineChars="3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无</w:t>
      </w:r>
    </w:p>
    <w:p>
      <w:pPr>
        <w:rPr>
          <w:rFonts w:hint="eastAsia" w:ascii="黑体" w:hAnsi="黑体" w:eastAsia="黑体"/>
          <w:color w:val="000000"/>
          <w:sz w:val="44"/>
          <w:szCs w:val="44"/>
        </w:rPr>
      </w:pPr>
      <w:bookmarkStart w:id="125" w:name="_Toc17103570"/>
      <w:r>
        <w:rPr>
          <w:rFonts w:hint="eastAsia" w:ascii="黑体" w:hAnsi="黑体" w:eastAsia="黑体"/>
          <w:color w:val="000000"/>
          <w:sz w:val="44"/>
          <w:szCs w:val="44"/>
        </w:rPr>
        <w:br w:type="page"/>
      </w:r>
    </w:p>
    <w:p>
      <w:pPr>
        <w:pStyle w:val="2"/>
        <w:bidi w:val="0"/>
        <w:jc w:val="center"/>
        <w:rPr>
          <w:rStyle w:val="28"/>
          <w:rFonts w:hint="eastAsia" w:ascii="黑体" w:hAnsi="黑体" w:eastAsia="黑体"/>
          <w:b w:val="0"/>
          <w:bCs/>
        </w:rPr>
      </w:pPr>
      <w:bookmarkStart w:id="126" w:name="_Toc13656"/>
      <w:r>
        <w:rPr>
          <w:rFonts w:hint="eastAsia" w:ascii="黑体" w:hAnsi="黑体" w:eastAsia="黑体"/>
          <w:color w:val="000000"/>
          <w:sz w:val="44"/>
          <w:szCs w:val="44"/>
        </w:rPr>
        <w:t>第</w:t>
      </w:r>
      <w:r>
        <w:rPr>
          <w:rStyle w:val="28"/>
          <w:rFonts w:hint="eastAsia" w:ascii="黑体" w:hAnsi="黑体" w:eastAsia="黑体"/>
          <w:b w:val="0"/>
          <w:bCs/>
        </w:rPr>
        <w:t>五部分 附表</w:t>
      </w:r>
      <w:bookmarkEnd w:id="113"/>
      <w:bookmarkEnd w:id="125"/>
      <w:bookmarkEnd w:id="126"/>
    </w:p>
    <w:p>
      <w:pPr>
        <w:spacing w:line="600" w:lineRule="exact"/>
        <w:outlineLvl w:val="0"/>
        <w:rPr>
          <w:rStyle w:val="28"/>
          <w:rFonts w:hint="eastAsia" w:ascii="黑体" w:hAnsi="黑体" w:eastAsia="黑体"/>
          <w:b w:val="0"/>
        </w:rPr>
      </w:pPr>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rPr>
      </w:pPr>
      <w:bookmarkStart w:id="127" w:name="_Toc20409"/>
      <w:r>
        <w:rPr>
          <w:rFonts w:hint="eastAsia" w:ascii="方正仿宋简体" w:hAnsi="方正仿宋简体" w:eastAsia="方正仿宋简体" w:cs="方正仿宋简体"/>
          <w:b w:val="0"/>
          <w:bCs w:val="0"/>
        </w:rPr>
        <w:t>一、收入支出决算总表</w:t>
      </w:r>
      <w:bookmarkEnd w:id="127"/>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rPr>
      </w:pPr>
      <w:bookmarkStart w:id="128" w:name="_Toc27337"/>
      <w:r>
        <w:rPr>
          <w:rFonts w:hint="eastAsia" w:ascii="方正仿宋简体" w:hAnsi="方正仿宋简体" w:eastAsia="方正仿宋简体" w:cs="方正仿宋简体"/>
          <w:b w:val="0"/>
          <w:bCs w:val="0"/>
        </w:rPr>
        <w:t>二、收入决算表</w:t>
      </w:r>
      <w:bookmarkEnd w:id="128"/>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rPr>
      </w:pPr>
      <w:bookmarkStart w:id="129" w:name="_Toc23666"/>
      <w:r>
        <w:rPr>
          <w:rFonts w:hint="eastAsia" w:ascii="方正仿宋简体" w:hAnsi="方正仿宋简体" w:eastAsia="方正仿宋简体" w:cs="方正仿宋简体"/>
          <w:b w:val="0"/>
          <w:bCs w:val="0"/>
        </w:rPr>
        <w:t>三、支出决算表</w:t>
      </w:r>
      <w:bookmarkEnd w:id="129"/>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rPr>
      </w:pPr>
      <w:bookmarkStart w:id="130" w:name="_Toc31382"/>
      <w:r>
        <w:rPr>
          <w:rFonts w:hint="eastAsia" w:ascii="方正仿宋简体" w:hAnsi="方正仿宋简体" w:eastAsia="方正仿宋简体" w:cs="方正仿宋简体"/>
          <w:b w:val="0"/>
          <w:bCs w:val="0"/>
        </w:rPr>
        <w:t>四、财政拨款收入支出决算总表</w:t>
      </w:r>
      <w:bookmarkEnd w:id="130"/>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rPr>
      </w:pPr>
      <w:bookmarkStart w:id="131" w:name="_Toc21439"/>
      <w:r>
        <w:rPr>
          <w:rFonts w:hint="eastAsia" w:ascii="方正仿宋简体" w:hAnsi="方正仿宋简体" w:eastAsia="方正仿宋简体" w:cs="方正仿宋简体"/>
          <w:b w:val="0"/>
          <w:bCs w:val="0"/>
        </w:rPr>
        <w:t>五、财政拨款支出决算明细表</w:t>
      </w:r>
      <w:bookmarkEnd w:id="131"/>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rPr>
      </w:pPr>
      <w:bookmarkStart w:id="132" w:name="_Toc18103"/>
      <w:r>
        <w:rPr>
          <w:rFonts w:hint="eastAsia" w:ascii="方正仿宋简体" w:hAnsi="方正仿宋简体" w:eastAsia="方正仿宋简体" w:cs="方正仿宋简体"/>
          <w:b w:val="0"/>
          <w:bCs w:val="0"/>
        </w:rPr>
        <w:t>六、一般公共预算财政拨款支出决算表</w:t>
      </w:r>
      <w:bookmarkEnd w:id="132"/>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rPr>
      </w:pPr>
      <w:bookmarkStart w:id="133" w:name="_Toc26344"/>
      <w:r>
        <w:rPr>
          <w:rFonts w:hint="eastAsia" w:ascii="方正仿宋简体" w:hAnsi="方正仿宋简体" w:eastAsia="方正仿宋简体" w:cs="方正仿宋简体"/>
          <w:b w:val="0"/>
          <w:bCs w:val="0"/>
        </w:rPr>
        <w:t>七、一般公共预算财政拨款支出决算明细表</w:t>
      </w:r>
      <w:bookmarkEnd w:id="133"/>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rPr>
      </w:pPr>
      <w:bookmarkStart w:id="134" w:name="_Toc32184"/>
      <w:r>
        <w:rPr>
          <w:rFonts w:hint="eastAsia" w:ascii="方正仿宋简体" w:hAnsi="方正仿宋简体" w:eastAsia="方正仿宋简体" w:cs="方正仿宋简体"/>
          <w:b w:val="0"/>
          <w:bCs w:val="0"/>
        </w:rPr>
        <w:t>八、一般公共预算财政拨款基本支出决算表</w:t>
      </w:r>
      <w:bookmarkEnd w:id="134"/>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rPr>
      </w:pPr>
      <w:bookmarkStart w:id="135" w:name="_Toc27401"/>
      <w:r>
        <w:rPr>
          <w:rFonts w:hint="eastAsia" w:ascii="方正仿宋简体" w:hAnsi="方正仿宋简体" w:eastAsia="方正仿宋简体" w:cs="方正仿宋简体"/>
          <w:b w:val="0"/>
          <w:bCs w:val="0"/>
        </w:rPr>
        <w:t>九、一般公共预算财政拨款项目支出决算表</w:t>
      </w:r>
      <w:bookmarkEnd w:id="135"/>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rPr>
      </w:pPr>
      <w:bookmarkStart w:id="136" w:name="_Toc1543"/>
      <w:r>
        <w:rPr>
          <w:rFonts w:hint="eastAsia" w:ascii="方正仿宋简体" w:hAnsi="方正仿宋简体" w:eastAsia="方正仿宋简体" w:cs="方正仿宋简体"/>
          <w:b w:val="0"/>
          <w:bCs w:val="0"/>
        </w:rPr>
        <w:t>十、一般公共预算财政拨款“三公”经费支出决算表</w:t>
      </w:r>
      <w:bookmarkEnd w:id="136"/>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rPr>
      </w:pPr>
      <w:bookmarkStart w:id="137" w:name="_Toc25519"/>
      <w:r>
        <w:rPr>
          <w:rFonts w:hint="eastAsia" w:ascii="方正仿宋简体" w:hAnsi="方正仿宋简体" w:eastAsia="方正仿宋简体" w:cs="方正仿宋简体"/>
          <w:b w:val="0"/>
          <w:bCs w:val="0"/>
        </w:rPr>
        <w:t>十一、政府性基金预算财政拨款收入支出决算表</w:t>
      </w:r>
      <w:bookmarkEnd w:id="137"/>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rPr>
      </w:pPr>
      <w:bookmarkStart w:id="138" w:name="_Toc30846"/>
      <w:r>
        <w:rPr>
          <w:rFonts w:hint="eastAsia" w:ascii="方正仿宋简体" w:hAnsi="方正仿宋简体" w:eastAsia="方正仿宋简体" w:cs="方正仿宋简体"/>
          <w:b w:val="0"/>
          <w:bCs w:val="0"/>
        </w:rPr>
        <w:t>十二、政府性基金预算财政拨款“三公”经费支出决算表</w:t>
      </w:r>
      <w:bookmarkEnd w:id="138"/>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rPr>
      </w:pPr>
      <w:bookmarkStart w:id="139" w:name="_Toc17322"/>
      <w:r>
        <w:rPr>
          <w:rFonts w:hint="eastAsia" w:ascii="方正仿宋简体" w:hAnsi="方正仿宋简体" w:eastAsia="方正仿宋简体" w:cs="方正仿宋简体"/>
          <w:b w:val="0"/>
          <w:bCs w:val="0"/>
        </w:rPr>
        <w:t>十三、国有资本经营预算财政拨款收入支出决算表</w:t>
      </w:r>
      <w:bookmarkEnd w:id="139"/>
    </w:p>
    <w:p>
      <w:pPr>
        <w:pStyle w:val="4"/>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简体" w:hAnsi="方正仿宋简体" w:eastAsia="方正仿宋简体" w:cs="方正仿宋简体"/>
          <w:b w:val="0"/>
          <w:bCs w:val="0"/>
          <w:szCs w:val="32"/>
        </w:rPr>
      </w:pPr>
      <w:bookmarkStart w:id="140" w:name="_Toc19597"/>
      <w:r>
        <w:rPr>
          <w:rFonts w:hint="eastAsia" w:ascii="方正仿宋简体" w:hAnsi="方正仿宋简体" w:eastAsia="方正仿宋简体" w:cs="方正仿宋简体"/>
          <w:b w:val="0"/>
          <w:bCs w:val="0"/>
        </w:rPr>
        <w:t>十四、国有资本经营预算财政拨款支出决算表</w:t>
      </w:r>
      <w:bookmarkEnd w:id="140"/>
    </w:p>
    <w:p>
      <w:pPr>
        <w:spacing w:line="600" w:lineRule="exact"/>
        <w:outlineLvl w:val="0"/>
        <w:rPr>
          <w:rStyle w:val="28"/>
          <w:rFonts w:hint="eastAsia" w:ascii="黑体" w:hAnsi="黑体" w:eastAsia="黑体"/>
          <w:b w:val="0"/>
        </w:rPr>
      </w:pPr>
    </w:p>
    <w:sectPr>
      <w:headerReference r:id="rId3" w:type="default"/>
      <w:footerReference r:id="rId4" w:type="default"/>
      <w:pgSz w:w="11906" w:h="16838"/>
      <w:pgMar w:top="1440" w:right="1080" w:bottom="1440" w:left="108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10"/>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M2E1ZGVlNzgyNzY2MGQyMTI0MGQ0ZjhiZDgwZTUifQ=="/>
  </w:docVars>
  <w:rsids>
    <w:rsidRoot w:val="00F1361C"/>
    <w:rsid w:val="000222C6"/>
    <w:rsid w:val="0002549F"/>
    <w:rsid w:val="0003385C"/>
    <w:rsid w:val="00046DB1"/>
    <w:rsid w:val="0006487A"/>
    <w:rsid w:val="00065F8F"/>
    <w:rsid w:val="00076404"/>
    <w:rsid w:val="000768F2"/>
    <w:rsid w:val="0009184B"/>
    <w:rsid w:val="0009593C"/>
    <w:rsid w:val="000B047F"/>
    <w:rsid w:val="000B5923"/>
    <w:rsid w:val="000B5A48"/>
    <w:rsid w:val="000B6FF3"/>
    <w:rsid w:val="000C3467"/>
    <w:rsid w:val="000C3CA6"/>
    <w:rsid w:val="000C4B1E"/>
    <w:rsid w:val="000D1267"/>
    <w:rsid w:val="000D1D50"/>
    <w:rsid w:val="000D5782"/>
    <w:rsid w:val="000E03AC"/>
    <w:rsid w:val="000E6613"/>
    <w:rsid w:val="000E7119"/>
    <w:rsid w:val="00114E9B"/>
    <w:rsid w:val="0014729F"/>
    <w:rsid w:val="00157BAB"/>
    <w:rsid w:val="0016128B"/>
    <w:rsid w:val="001654D1"/>
    <w:rsid w:val="0018106D"/>
    <w:rsid w:val="001877A7"/>
    <w:rsid w:val="00191536"/>
    <w:rsid w:val="00196687"/>
    <w:rsid w:val="001A7127"/>
    <w:rsid w:val="001C0962"/>
    <w:rsid w:val="001D7531"/>
    <w:rsid w:val="001E737D"/>
    <w:rsid w:val="001F0336"/>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C4E4C"/>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0B5C"/>
    <w:rsid w:val="00406254"/>
    <w:rsid w:val="004223DE"/>
    <w:rsid w:val="00434489"/>
    <w:rsid w:val="00437085"/>
    <w:rsid w:val="00443880"/>
    <w:rsid w:val="004464F4"/>
    <w:rsid w:val="00452F14"/>
    <w:rsid w:val="00471401"/>
    <w:rsid w:val="00473F31"/>
    <w:rsid w:val="0048263A"/>
    <w:rsid w:val="0048396E"/>
    <w:rsid w:val="00487E5D"/>
    <w:rsid w:val="004A711F"/>
    <w:rsid w:val="004B199D"/>
    <w:rsid w:val="004B4690"/>
    <w:rsid w:val="004B68E8"/>
    <w:rsid w:val="004E0A2D"/>
    <w:rsid w:val="004E206B"/>
    <w:rsid w:val="004E6DF7"/>
    <w:rsid w:val="004F0FBD"/>
    <w:rsid w:val="00505A47"/>
    <w:rsid w:val="00512FDA"/>
    <w:rsid w:val="00520DA0"/>
    <w:rsid w:val="005410B3"/>
    <w:rsid w:val="00565B46"/>
    <w:rsid w:val="005664BB"/>
    <w:rsid w:val="0057481D"/>
    <w:rsid w:val="0058486E"/>
    <w:rsid w:val="005B25CF"/>
    <w:rsid w:val="005D1C8B"/>
    <w:rsid w:val="005D5CED"/>
    <w:rsid w:val="005F1A4C"/>
    <w:rsid w:val="00603DC2"/>
    <w:rsid w:val="00605688"/>
    <w:rsid w:val="006070AF"/>
    <w:rsid w:val="00607E6C"/>
    <w:rsid w:val="006101B1"/>
    <w:rsid w:val="00614E44"/>
    <w:rsid w:val="00622830"/>
    <w:rsid w:val="00630AEF"/>
    <w:rsid w:val="006325F8"/>
    <w:rsid w:val="00634C9A"/>
    <w:rsid w:val="006440E4"/>
    <w:rsid w:val="006545FB"/>
    <w:rsid w:val="0066343B"/>
    <w:rsid w:val="00664777"/>
    <w:rsid w:val="006748A4"/>
    <w:rsid w:val="00683E73"/>
    <w:rsid w:val="006A3141"/>
    <w:rsid w:val="006A5E34"/>
    <w:rsid w:val="006B2422"/>
    <w:rsid w:val="006B2B9A"/>
    <w:rsid w:val="006C1937"/>
    <w:rsid w:val="006D65B1"/>
    <w:rsid w:val="006F020C"/>
    <w:rsid w:val="007127B7"/>
    <w:rsid w:val="0072750B"/>
    <w:rsid w:val="007416B6"/>
    <w:rsid w:val="00746F48"/>
    <w:rsid w:val="0075404D"/>
    <w:rsid w:val="0076182A"/>
    <w:rsid w:val="00767B7E"/>
    <w:rsid w:val="007770C3"/>
    <w:rsid w:val="00784D24"/>
    <w:rsid w:val="00785FBA"/>
    <w:rsid w:val="00786E4A"/>
    <w:rsid w:val="007875EB"/>
    <w:rsid w:val="0079426B"/>
    <w:rsid w:val="007D312A"/>
    <w:rsid w:val="007D3F19"/>
    <w:rsid w:val="007D7ECD"/>
    <w:rsid w:val="007E23B0"/>
    <w:rsid w:val="007E6A10"/>
    <w:rsid w:val="007F1991"/>
    <w:rsid w:val="007F2C2F"/>
    <w:rsid w:val="007F55FC"/>
    <w:rsid w:val="007F5665"/>
    <w:rsid w:val="00800112"/>
    <w:rsid w:val="00803C97"/>
    <w:rsid w:val="008076A0"/>
    <w:rsid w:val="0081102C"/>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8F6469"/>
    <w:rsid w:val="00900B08"/>
    <w:rsid w:val="00902155"/>
    <w:rsid w:val="00902FA3"/>
    <w:rsid w:val="00906F8D"/>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9F7F49"/>
    <w:rsid w:val="00A04EB0"/>
    <w:rsid w:val="00A13CC1"/>
    <w:rsid w:val="00A16847"/>
    <w:rsid w:val="00A237D8"/>
    <w:rsid w:val="00A268C4"/>
    <w:rsid w:val="00A307CD"/>
    <w:rsid w:val="00A37748"/>
    <w:rsid w:val="00A40A00"/>
    <w:rsid w:val="00A4142F"/>
    <w:rsid w:val="00A56DF2"/>
    <w:rsid w:val="00A67AB5"/>
    <w:rsid w:val="00A91760"/>
    <w:rsid w:val="00A93B00"/>
    <w:rsid w:val="00A93C21"/>
    <w:rsid w:val="00AC3C6A"/>
    <w:rsid w:val="00AC706B"/>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4E1C"/>
    <w:rsid w:val="00B53C56"/>
    <w:rsid w:val="00B77EA6"/>
    <w:rsid w:val="00B81598"/>
    <w:rsid w:val="00B841F1"/>
    <w:rsid w:val="00B944D6"/>
    <w:rsid w:val="00BB4DF0"/>
    <w:rsid w:val="00BC289F"/>
    <w:rsid w:val="00BC5361"/>
    <w:rsid w:val="00BC5460"/>
    <w:rsid w:val="00BC6B50"/>
    <w:rsid w:val="00BC7EFF"/>
    <w:rsid w:val="00BD0E25"/>
    <w:rsid w:val="00BF5BD6"/>
    <w:rsid w:val="00C03E31"/>
    <w:rsid w:val="00C06393"/>
    <w:rsid w:val="00C33E72"/>
    <w:rsid w:val="00C354B2"/>
    <w:rsid w:val="00C35554"/>
    <w:rsid w:val="00C42709"/>
    <w:rsid w:val="00C507D2"/>
    <w:rsid w:val="00C533CC"/>
    <w:rsid w:val="00C5751C"/>
    <w:rsid w:val="00C61BFC"/>
    <w:rsid w:val="00C62B85"/>
    <w:rsid w:val="00C65438"/>
    <w:rsid w:val="00C91CBB"/>
    <w:rsid w:val="00CA5629"/>
    <w:rsid w:val="00CC09B6"/>
    <w:rsid w:val="00CC666F"/>
    <w:rsid w:val="00CD1E3F"/>
    <w:rsid w:val="00CE44F6"/>
    <w:rsid w:val="00CE49DA"/>
    <w:rsid w:val="00CE7B61"/>
    <w:rsid w:val="00D00095"/>
    <w:rsid w:val="00D10236"/>
    <w:rsid w:val="00D20620"/>
    <w:rsid w:val="00D26091"/>
    <w:rsid w:val="00D34E7C"/>
    <w:rsid w:val="00D35489"/>
    <w:rsid w:val="00D51276"/>
    <w:rsid w:val="00D57356"/>
    <w:rsid w:val="00D7035F"/>
    <w:rsid w:val="00DA65AC"/>
    <w:rsid w:val="00DB1913"/>
    <w:rsid w:val="00DB283C"/>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94A58"/>
    <w:rsid w:val="00EA010F"/>
    <w:rsid w:val="00EA4E89"/>
    <w:rsid w:val="00EB1BDB"/>
    <w:rsid w:val="00ED1B63"/>
    <w:rsid w:val="00ED3C1F"/>
    <w:rsid w:val="00ED4085"/>
    <w:rsid w:val="00ED420E"/>
    <w:rsid w:val="00EE2F57"/>
    <w:rsid w:val="00EF4C34"/>
    <w:rsid w:val="00EF77C6"/>
    <w:rsid w:val="00F019D6"/>
    <w:rsid w:val="00F05438"/>
    <w:rsid w:val="00F1361C"/>
    <w:rsid w:val="00F13CB8"/>
    <w:rsid w:val="00F160C7"/>
    <w:rsid w:val="00F36D8F"/>
    <w:rsid w:val="00F417B1"/>
    <w:rsid w:val="00F602DF"/>
    <w:rsid w:val="00F81FD9"/>
    <w:rsid w:val="00F841AA"/>
    <w:rsid w:val="00F946E4"/>
    <w:rsid w:val="00FA23E8"/>
    <w:rsid w:val="00FD3CC1"/>
    <w:rsid w:val="00FF1E02"/>
    <w:rsid w:val="00FF30B4"/>
    <w:rsid w:val="0CDF76BE"/>
    <w:rsid w:val="10C055FF"/>
    <w:rsid w:val="16BB723D"/>
    <w:rsid w:val="17B60C6C"/>
    <w:rsid w:val="240371BF"/>
    <w:rsid w:val="29FD04D3"/>
    <w:rsid w:val="319F7F4E"/>
    <w:rsid w:val="49431BE4"/>
    <w:rsid w:val="648A0DF9"/>
    <w:rsid w:val="764E54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firstLineChars="200"/>
    </w:pPr>
    <w:rPr>
      <w:rFonts w:ascii="Calibri" w:hAnsi="Calibri"/>
      <w:szCs w:val="20"/>
    </w:rPr>
  </w:style>
  <w:style w:type="paragraph" w:styleId="6">
    <w:name w:val="Body Text"/>
    <w:basedOn w:val="1"/>
    <w:link w:val="25"/>
    <w:uiPriority w:val="99"/>
    <w:pPr>
      <w:spacing w:beforeLines="30"/>
    </w:pPr>
    <w:rPr>
      <w:rFonts w:ascii="仿宋_GB2312" w:eastAsia="仿宋_GB2312"/>
      <w:kern w:val="0"/>
      <w:sz w:val="30"/>
    </w:rPr>
  </w:style>
  <w:style w:type="paragraph" w:styleId="7">
    <w:name w:val="Body Text Indent"/>
    <w:basedOn w:val="1"/>
    <w:semiHidden/>
    <w:unhideWhenUsed/>
    <w:qFormat/>
    <w:uiPriority w:val="99"/>
    <w:pPr>
      <w:spacing w:after="120"/>
      <w:ind w:left="420" w:left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uiPriority w:val="99"/>
    <w:rPr>
      <w:sz w:val="18"/>
      <w:szCs w:val="18"/>
    </w:rPr>
  </w:style>
  <w:style w:type="paragraph" w:styleId="10">
    <w:name w:val="footer"/>
    <w:basedOn w:val="1"/>
    <w:link w:val="23"/>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Autospacing="1" w:afterAutospacing="1"/>
      <w:jc w:val="left"/>
    </w:pPr>
    <w:rPr>
      <w:rFonts w:cs="Times New Roman"/>
      <w:kern w:val="0"/>
      <w:sz w:val="24"/>
      <w:szCs w:val="24"/>
    </w:rPr>
  </w:style>
  <w:style w:type="paragraph" w:styleId="15">
    <w:name w:val="Body Text First Indent 2"/>
    <w:basedOn w:val="7"/>
    <w:qFormat/>
    <w:uiPriority w:val="99"/>
    <w:pPr>
      <w:spacing w:line="600" w:lineRule="exact"/>
      <w:ind w:firstLine="420" w:firstLineChars="200"/>
    </w:pPr>
  </w:style>
  <w:style w:type="character" w:styleId="18">
    <w:name w:val="Strong"/>
    <w:basedOn w:val="17"/>
    <w:qFormat/>
    <w:uiPriority w:val="99"/>
    <w:rPr>
      <w:b/>
    </w:rPr>
  </w:style>
  <w:style w:type="character" w:styleId="19">
    <w:name w:val="Hyperlink"/>
    <w:basedOn w:val="17"/>
    <w:unhideWhenUsed/>
    <w:uiPriority w:val="99"/>
    <w:rPr>
      <w:color w:val="0000FF" w:themeColor="hyperlink"/>
      <w:u w:val="single"/>
      <w14:textFill>
        <w14:solidFill>
          <w14:schemeClr w14:val="hlink"/>
        </w14:solidFill>
      </w14:textFill>
    </w:rPr>
  </w:style>
  <w:style w:type="character" w:customStyle="1" w:styleId="20">
    <w:name w:val="Header Char"/>
    <w:basedOn w:val="17"/>
    <w:semiHidden/>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2"/>
    <w:qFormat/>
    <w:uiPriority w:val="9"/>
    <w:rPr>
      <w:rFonts w:ascii="Times New Roman" w:hAnsi="Times New Roman"/>
      <w:b/>
      <w:bCs/>
      <w:kern w:val="44"/>
      <w:sz w:val="44"/>
      <w:szCs w:val="44"/>
    </w:rPr>
  </w:style>
  <w:style w:type="character" w:customStyle="1" w:styleId="29">
    <w:name w:val="标题 2 Char"/>
    <w:basedOn w:val="17"/>
    <w:link w:val="3"/>
    <w:qFormat/>
    <w:uiPriority w:val="9"/>
    <w:rPr>
      <w:rFonts w:asciiTheme="majorHAnsi" w:hAnsiTheme="majorHAnsi" w:eastAsiaTheme="majorEastAsia" w:cstheme="majorBidi"/>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9"/>
    <w:semiHidden/>
    <w:qFormat/>
    <w:uiPriority w:val="99"/>
    <w:rPr>
      <w:rFonts w:ascii="Times New Roman" w:hAnsi="Times New Roman"/>
      <w:kern w:val="2"/>
      <w:sz w:val="18"/>
      <w:szCs w:val="18"/>
    </w:rPr>
  </w:style>
  <w:style w:type="character" w:customStyle="1" w:styleId="32">
    <w:name w:val="标题 3 Char"/>
    <w:basedOn w:val="17"/>
    <w:link w:val="4"/>
    <w:qFormat/>
    <w:uiPriority w:val="9"/>
    <w:rPr>
      <w:rFonts w:ascii="Times New Roman" w:hAnsi="Times New Roman"/>
      <w:b/>
      <w:bCs/>
      <w:kern w:val="2"/>
      <w:sz w:val="32"/>
      <w:szCs w:val="32"/>
    </w:rPr>
  </w:style>
  <w:style w:type="paragraph" w:customStyle="1" w:styleId="33">
    <w:name w:val="List Paragraph1"/>
    <w:basedOn w:val="1"/>
    <w:uiPriority w:val="0"/>
    <w:pPr>
      <w:spacing w:line="600" w:lineRule="exact"/>
      <w:ind w:firstLine="420" w:firstLineChars="200"/>
      <w:outlineLvl w:val="1"/>
    </w:pPr>
    <w:rPr>
      <w:rFonts w:ascii="Calibri" w:hAnsi="Calibri" w:eastAsia="仿宋"/>
      <w:color w:val="000000"/>
      <w:sz w:val="32"/>
      <w:szCs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34.38</c:v>
                </c:pt>
                <c:pt idx="1">
                  <c:v>49.65</c:v>
                </c:pt>
              </c:numCache>
            </c:numRef>
          </c:val>
        </c:ser>
        <c:ser>
          <c:idx val="1"/>
          <c:order val="1"/>
          <c:tx>
            <c:strRef>
              <c:f>Sheet1!$C$1</c:f>
              <c:strCache>
                <c:ptCount val="1"/>
                <c:pt idx="0">
                  <c:v>支出</c:v>
                </c:pt>
              </c:strCache>
            </c:strRef>
          </c:tx>
          <c:invertIfNegative val="0"/>
          <c:dLbls>
            <c:delete val="1"/>
          </c:dLbls>
          <c:cat>
            <c:strRef>
              <c:f>Sheet1!$A$2:$A$3</c:f>
              <c:strCache>
                <c:ptCount val="2"/>
                <c:pt idx="0">
                  <c:v>2019年</c:v>
                </c:pt>
                <c:pt idx="1">
                  <c:v>2020年</c:v>
                </c:pt>
              </c:strCache>
            </c:strRef>
          </c:cat>
          <c:val>
            <c:numRef>
              <c:f>Sheet1!$C$2:$C$3</c:f>
              <c:numCache>
                <c:formatCode>General</c:formatCode>
                <c:ptCount val="2"/>
                <c:pt idx="0">
                  <c:v>34.38</c:v>
                </c:pt>
                <c:pt idx="1">
                  <c:v>49.65</c:v>
                </c:pt>
              </c:numCache>
            </c:numRef>
          </c:val>
        </c:ser>
        <c:dLbls>
          <c:showLegendKey val="0"/>
          <c:showVal val="0"/>
          <c:showCatName val="0"/>
          <c:showSerName val="0"/>
          <c:showPercent val="0"/>
          <c:showBubbleSize val="0"/>
        </c:dLbls>
        <c:gapWidth val="150"/>
        <c:axId val="284875008"/>
        <c:axId val="192045056"/>
      </c:barChart>
      <c:catAx>
        <c:axId val="2848750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2045056"/>
        <c:crosses val="autoZero"/>
        <c:auto val="1"/>
        <c:lblAlgn val="ctr"/>
        <c:lblOffset val="100"/>
        <c:noMultiLvlLbl val="0"/>
      </c:catAx>
      <c:valAx>
        <c:axId val="1920450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487500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本年收入</c:v>
                </c:pt>
              </c:strCache>
            </c:strRef>
          </c:tx>
          <c:explosion val="0"/>
          <c:dPt>
            <c:idx val="0"/>
            <c:bubble3D val="0"/>
          </c:dPt>
          <c:dLbls>
            <c:delete val="1"/>
          </c:dLbls>
          <c:cat>
            <c:strRef>
              <c:f>Sheet1!$A$2</c:f>
              <c:strCache>
                <c:ptCount val="1"/>
                <c:pt idx="0">
                  <c:v>一般公共预算财政拨款收入</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本年支出</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0%</c:formatCode>
                <c:ptCount val="2"/>
                <c:pt idx="0">
                  <c:v>0.86</c:v>
                </c:pt>
                <c:pt idx="1">
                  <c:v>0.14</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财政拨款收入</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34.38</c:v>
                </c:pt>
                <c:pt idx="1">
                  <c:v>49.65</c:v>
                </c:pt>
              </c:numCache>
            </c:numRef>
          </c:val>
        </c:ser>
        <c:ser>
          <c:idx val="1"/>
          <c:order val="1"/>
          <c:tx>
            <c:strRef>
              <c:f>Sheet1!$C$1</c:f>
              <c:strCache>
                <c:ptCount val="1"/>
                <c:pt idx="0">
                  <c:v>财政拨款支出</c:v>
                </c:pt>
              </c:strCache>
            </c:strRef>
          </c:tx>
          <c:invertIfNegative val="0"/>
          <c:dLbls>
            <c:delete val="1"/>
          </c:dLbls>
          <c:cat>
            <c:strRef>
              <c:f>Sheet1!$A$2:$A$3</c:f>
              <c:strCache>
                <c:ptCount val="2"/>
                <c:pt idx="0">
                  <c:v>2019年</c:v>
                </c:pt>
                <c:pt idx="1">
                  <c:v>2020年</c:v>
                </c:pt>
              </c:strCache>
            </c:strRef>
          </c:cat>
          <c:val>
            <c:numRef>
              <c:f>Sheet1!$C$2:$C$3</c:f>
              <c:numCache>
                <c:formatCode>General</c:formatCode>
                <c:ptCount val="2"/>
                <c:pt idx="0">
                  <c:v>34.38</c:v>
                </c:pt>
                <c:pt idx="1">
                  <c:v>49.65</c:v>
                </c:pt>
              </c:numCache>
            </c:numRef>
          </c:val>
        </c:ser>
        <c:dLbls>
          <c:showLegendKey val="0"/>
          <c:showVal val="0"/>
          <c:showCatName val="0"/>
          <c:showSerName val="0"/>
          <c:showPercent val="0"/>
          <c:showBubbleSize val="0"/>
        </c:dLbls>
        <c:gapWidth val="150"/>
        <c:axId val="248635776"/>
        <c:axId val="248637312"/>
      </c:barChart>
      <c:catAx>
        <c:axId val="24863577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8637312"/>
        <c:crosses val="autoZero"/>
        <c:auto val="1"/>
        <c:lblAlgn val="ctr"/>
        <c:lblOffset val="100"/>
        <c:noMultiLvlLbl val="0"/>
      </c:catAx>
      <c:valAx>
        <c:axId val="2486373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8635776"/>
        <c:crosses val="autoZero"/>
        <c:crossBetween val="between"/>
      </c:valAx>
    </c:plotArea>
    <c:legend>
      <c:legendPos val="r"/>
      <c:layout/>
      <c:overlay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sz="1000" baseline="0"/>
              <a:t>一般公共预算财政拨款支出</a:t>
            </a:r>
            <a:endParaRPr lang="zh-CN" altLang="en-US" sz="1000" baseline="0"/>
          </a:p>
        </c:rich>
      </c:tx>
      <c:layout/>
      <c:overlay val="0"/>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32.61</c:v>
                </c:pt>
                <c:pt idx="1">
                  <c:v>49.07</c:v>
                </c:pt>
              </c:numCache>
            </c:numRef>
          </c:val>
        </c:ser>
        <c:dLbls>
          <c:showLegendKey val="0"/>
          <c:showVal val="0"/>
          <c:showCatName val="0"/>
          <c:showSerName val="0"/>
          <c:showPercent val="0"/>
          <c:showBubbleSize val="0"/>
        </c:dLbls>
        <c:gapWidth val="150"/>
        <c:axId val="191918080"/>
        <c:axId val="191919616"/>
      </c:barChart>
      <c:catAx>
        <c:axId val="1919180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1919616"/>
        <c:crosses val="autoZero"/>
        <c:auto val="1"/>
        <c:lblAlgn val="ctr"/>
        <c:lblOffset val="100"/>
        <c:noMultiLvlLbl val="0"/>
      </c:catAx>
      <c:valAx>
        <c:axId val="1919196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191808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Lbls>
            <c:delete val="1"/>
          </c:dLbls>
          <c:cat>
            <c:strRef>
              <c:f>Sheet1!$A$2:$A$5</c:f>
              <c:strCache>
                <c:ptCount val="4"/>
                <c:pt idx="0">
                  <c:v>一般公共服务类</c:v>
                </c:pt>
                <c:pt idx="1">
                  <c:v>社会保障就业类</c:v>
                </c:pt>
                <c:pt idx="2">
                  <c:v>医疗卫生支出</c:v>
                </c:pt>
                <c:pt idx="3">
                  <c:v>住房保障支出</c:v>
                </c:pt>
              </c:strCache>
            </c:strRef>
          </c:cat>
          <c:val>
            <c:numRef>
              <c:f>Sheet1!$B$2:$B$5</c:f>
              <c:numCache>
                <c:formatCode>0%</c:formatCode>
                <c:ptCount val="4"/>
                <c:pt idx="0">
                  <c:v>0.83</c:v>
                </c:pt>
                <c:pt idx="1">
                  <c:v>0.1</c:v>
                </c:pt>
                <c:pt idx="2">
                  <c:v>0.02</c:v>
                </c:pt>
                <c:pt idx="3">
                  <c:v>0.05</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E7E9-0F42-4E8B-AB3C-B7CAB4DCED97}">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32</Pages>
  <Words>13345</Words>
  <Characters>14077</Characters>
  <Lines>86</Lines>
  <Paragraphs>24</Paragraphs>
  <TotalTime>17</TotalTime>
  <ScaleCrop>false</ScaleCrop>
  <LinksUpToDate>false</LinksUpToDate>
  <CharactersWithSpaces>14262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2020-08-18T02:34:00Z</dcterms:created>
  <dc:creator>张彬茜</dc:creator>
  <cp:lastModifiedBy>糖糖</cp:lastModifiedBy>
  <cp:lastPrinted>2019-08-01T00:48:00Z</cp:lastPrinted>
  <dcterms:modified xsi:type="dcterms:W3CDTF">2022-10-17T02:55:08Z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1DCEFC35EFB8431DB9B573533BDD91A2</vt:lpwstr>
  </property>
</Properties>
</file>