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597"/>
      <w:bookmarkStart w:id="3" w:name="_Toc15378441"/>
      <w:bookmarkStart w:id="4" w:name="_Toc15396475"/>
      <w:bookmarkStart w:id="5" w:name="_Toc15377193"/>
      <w:bookmarkStart w:id="6" w:name="_Toc17103546"/>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96476"/>
      <w:bookmarkStart w:id="8" w:name="_Toc15377426"/>
      <w:bookmarkStart w:id="9" w:name="_Toc15377194"/>
      <w:bookmarkStart w:id="10" w:name="_Toc17103547"/>
      <w:bookmarkStart w:id="11" w:name="_Toc15378442"/>
      <w:bookmarkStart w:id="12" w:name="_Toc15396598"/>
      <w:r>
        <w:rPr>
          <w:rFonts w:hint="eastAsia" w:ascii="方正小标宋简体" w:hAnsi="宋体" w:eastAsia="方正小标宋简体"/>
          <w:color w:val="000000"/>
          <w:sz w:val="72"/>
          <w:szCs w:val="72"/>
        </w:rPr>
        <w:t>四川省</w:t>
      </w:r>
      <w:bookmarkEnd w:id="0"/>
      <w:bookmarkStart w:id="13" w:name="_Toc15306268"/>
      <w:r>
        <w:rPr>
          <w:rFonts w:hint="eastAsia" w:ascii="方正小标宋简体" w:hAnsi="宋体" w:eastAsia="方正小标宋简体"/>
          <w:color w:val="000000"/>
          <w:sz w:val="72"/>
          <w:szCs w:val="72"/>
        </w:rPr>
        <w:t>资阳市雁江区部门决算</w:t>
      </w:r>
      <w:bookmarkEnd w:id="7"/>
      <w:bookmarkEnd w:id="8"/>
      <w:bookmarkEnd w:id="9"/>
      <w:bookmarkEnd w:id="10"/>
      <w:bookmarkEnd w:id="11"/>
      <w:bookmarkEnd w:id="12"/>
      <w:bookmarkEnd w:id="1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bookmarkStart w:id="14" w:name="_Toc15377196"/>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spacing w:before="0"/>
      </w:pPr>
      <w:r>
        <w:rPr>
          <w:rFonts w:hint="eastAsia"/>
        </w:rPr>
        <w:t>公开时间：</w:t>
      </w:r>
      <w:r>
        <w:rPr>
          <w:rFonts w:hint="eastAsia"/>
          <w:color w:val="FF0000"/>
        </w:rPr>
        <w:t>2020年9月1日</w:t>
      </w:r>
    </w:p>
    <w:p/>
    <w:p>
      <w:pPr>
        <w:pStyle w:val="10"/>
        <w:spacing w:before="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0"/>
        <w:spacing w:before="0"/>
      </w:pPr>
      <w:r>
        <w:fldChar w:fldCharType="begin"/>
      </w:r>
      <w:r>
        <w:instrText xml:space="preserve"> HYPERLINK \l "_Toc15396602" </w:instrText>
      </w:r>
      <w:r>
        <w:fldChar w:fldCharType="separate"/>
      </w:r>
      <w:r>
        <w:rPr>
          <w:rStyle w:val="15"/>
          <w:rFonts w:hint="eastAsia"/>
        </w:rPr>
        <w:t>第二部分</w:t>
      </w:r>
      <w:r>
        <w:rPr>
          <w:rStyle w:val="15"/>
        </w:rPr>
        <w:t xml:space="preserve"> 201</w:t>
      </w:r>
      <w:r>
        <w:rPr>
          <w:rStyle w:val="15"/>
          <w:rFonts w:hint="eastAsia"/>
        </w:rPr>
        <w:t>9年度部门决算情况说明</w:t>
      </w:r>
      <w:r>
        <w:tab/>
      </w:r>
      <w:r>
        <w:rPr>
          <w:rFonts w:hint="eastAsia"/>
        </w:rPr>
        <w:t>14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rPr>
        <w:t>6</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rPr>
        <w:t>10</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11</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13</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13</w:t>
      </w:r>
      <w:r>
        <w:rPr>
          <w:rFonts w:hint="eastAsia" w:ascii="仿宋" w:hAnsi="仿宋" w:eastAsia="仿宋"/>
          <w:sz w:val="28"/>
          <w:szCs w:val="28"/>
        </w:rPr>
        <w:fldChar w:fldCharType="end"/>
      </w:r>
    </w:p>
    <w:p>
      <w:pPr>
        <w:pStyle w:val="11"/>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rPr>
        <w:t>13</w:t>
      </w:r>
      <w:r>
        <w:rPr>
          <w:rFonts w:hint="eastAsia" w:ascii="仿宋" w:hAnsi="仿宋" w:eastAsia="仿宋"/>
          <w:sz w:val="28"/>
          <w:szCs w:val="28"/>
        </w:rPr>
        <w:fldChar w:fldCharType="end"/>
      </w:r>
    </w:p>
    <w:p>
      <w:pPr>
        <w:pStyle w:val="11"/>
        <w:rPr>
          <w:rFonts w:ascii="仿宋" w:hAnsi="仿宋" w:eastAsia="仿宋"/>
          <w:color w:val="0000FF" w:themeColor="hyperlink"/>
          <w:sz w:val="28"/>
          <w:szCs w:val="28"/>
          <w:u w:val="single"/>
          <w14:textFill>
            <w14:solidFill>
              <w14:schemeClr w14:val="hlink"/>
            </w14:solidFill>
          </w14:textFill>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十、</w:t>
      </w:r>
      <w:r>
        <w:rPr>
          <w:rStyle w:val="15"/>
          <w:rFonts w:hint="eastAsia" w:ascii="仿宋" w:hAnsi="仿宋" w:eastAsia="仿宋"/>
          <w:sz w:val="28"/>
          <w:szCs w:val="28"/>
        </w:rPr>
        <w:t>预算绩效情况说明</w:t>
      </w:r>
      <w:r>
        <w:rPr>
          <w:rFonts w:ascii="仿宋" w:hAnsi="仿宋" w:eastAsia="仿宋"/>
          <w:sz w:val="28"/>
          <w:szCs w:val="28"/>
        </w:rPr>
        <w:tab/>
      </w:r>
      <w:r>
        <w:rPr>
          <w:rFonts w:hint="eastAsia" w:ascii="仿宋" w:hAnsi="仿宋" w:eastAsia="仿宋"/>
          <w:sz w:val="28"/>
          <w:szCs w:val="28"/>
        </w:rPr>
        <w:t>14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hint="eastAsia" w:ascii="仿宋" w:hAnsi="仿宋" w:eastAsia="仿宋"/>
          <w:sz w:val="28"/>
          <w:szCs w:val="28"/>
        </w:rPr>
        <w:t>14</w:t>
      </w:r>
      <w:r>
        <w:rPr>
          <w:rFonts w:hint="eastAsia" w:ascii="仿宋" w:hAnsi="仿宋" w:eastAsia="仿宋"/>
          <w:sz w:val="28"/>
          <w:szCs w:val="28"/>
        </w:rPr>
        <w:fldChar w:fldCharType="end"/>
      </w:r>
    </w:p>
    <w:p>
      <w:pPr>
        <w:pStyle w:val="10"/>
        <w:spacing w:before="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rPr>
          <w:rFonts w:hint="eastAsia"/>
        </w:rPr>
        <w:t>17</w:t>
      </w:r>
      <w:r>
        <w:rPr>
          <w:rFonts w:hint="eastAsia"/>
        </w:rPr>
        <w:fldChar w:fldCharType="end"/>
      </w:r>
    </w:p>
    <w:p>
      <w:pPr>
        <w:pStyle w:val="10"/>
        <w:spacing w:before="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rPr>
          <w:rFonts w:hint="eastAsia"/>
        </w:rPr>
        <w:t>22</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rPr>
        <w:t>22</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fldChar w:fldCharType="end"/>
      </w:r>
    </w:p>
    <w:p>
      <w:pPr>
        <w:pStyle w:val="10"/>
        <w:spacing w:before="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rPr>
          <w:rFonts w:hint="eastAsia"/>
        </w:rPr>
        <w:t>23</w:t>
      </w:r>
      <w:r>
        <w:rPr>
          <w:rFonts w:hint="eastAsia"/>
        </w:rP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rPr>
        <w:t>23</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收入决算表</w:t>
      </w:r>
      <w:r>
        <w:rPr>
          <w:rFonts w:ascii="仿宋" w:hAnsi="仿宋" w:eastAsia="仿宋"/>
          <w:sz w:val="28"/>
          <w:szCs w:val="28"/>
        </w:rPr>
        <w:tab/>
      </w:r>
      <w:r>
        <w:rPr>
          <w:rFonts w:hint="eastAsia" w:ascii="仿宋" w:hAnsi="仿宋" w:eastAsia="仿宋"/>
          <w:sz w:val="28"/>
          <w:szCs w:val="28"/>
        </w:rPr>
        <w:t>23</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支出决算表</w:t>
      </w:r>
      <w:r>
        <w:rPr>
          <w:rFonts w:ascii="仿宋" w:hAnsi="仿宋" w:eastAsia="仿宋"/>
          <w:sz w:val="28"/>
          <w:szCs w:val="28"/>
        </w:rPr>
        <w:tab/>
      </w:r>
      <w:r>
        <w:rPr>
          <w:rFonts w:hint="eastAsia" w:ascii="仿宋" w:hAnsi="仿宋" w:eastAsia="仿宋"/>
          <w:sz w:val="28"/>
          <w:szCs w:val="28"/>
        </w:rPr>
        <w:t>23</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rPr>
        <w:t>23</w:t>
      </w:r>
      <w:r>
        <w:rPr>
          <w:rFonts w:hint="eastAsia"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23</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23</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23</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23</w:t>
      </w:r>
      <w:r>
        <w:rPr>
          <w:rFonts w:hint="eastAsia"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r>
        <w:rPr>
          <w:rFonts w:ascii="黑体" w:hAnsi="黑体" w:eastAsia="黑体"/>
          <w:b/>
        </w:rPr>
        <w:br w:type="page"/>
      </w:r>
    </w:p>
    <w:p>
      <w:pPr>
        <w:widowControl/>
        <w:jc w:val="left"/>
        <w:rPr>
          <w:rFonts w:ascii="黑体" w:hAnsi="黑体" w:eastAsia="黑体"/>
          <w:bCs/>
          <w:kern w:val="44"/>
          <w:sz w:val="44"/>
          <w:szCs w:val="44"/>
        </w:rPr>
      </w:pPr>
    </w:p>
    <w:p>
      <w:pPr>
        <w:spacing w:line="560" w:lineRule="exact"/>
        <w:jc w:val="center"/>
        <w:rPr>
          <w:rFonts w:ascii="方正小标宋简体" w:hAnsi="宋体" w:eastAsia="方正小标宋简体"/>
          <w:color w:val="000000"/>
          <w:sz w:val="44"/>
          <w:szCs w:val="44"/>
        </w:rPr>
      </w:pPr>
      <w:bookmarkStart w:id="15" w:name="_Toc17103549"/>
      <w:r>
        <w:rPr>
          <w:rFonts w:hint="eastAsia" w:ascii="方正小标宋简体" w:hAnsi="宋体" w:eastAsia="方正小标宋简体"/>
          <w:color w:val="000000"/>
          <w:sz w:val="44"/>
          <w:szCs w:val="44"/>
        </w:rPr>
        <w:t>四川省资阳市雁江区农经局</w:t>
      </w:r>
    </w:p>
    <w:p>
      <w:pPr>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2019年部门决算编制说明</w:t>
      </w:r>
    </w:p>
    <w:p>
      <w:pPr>
        <w:pStyle w:val="2"/>
        <w:spacing w:before="0" w:after="0"/>
        <w:jc w:val="center"/>
        <w:rPr>
          <w:rFonts w:ascii="黑体" w:hAnsi="黑体" w:eastAsia="黑体"/>
          <w:b w:val="0"/>
        </w:rPr>
      </w:pPr>
    </w:p>
    <w:p>
      <w:pPr>
        <w:pStyle w:val="2"/>
        <w:spacing w:before="0" w:after="0"/>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4"/>
      <w:bookmarkEnd w:id="15"/>
    </w:p>
    <w:p>
      <w:pPr>
        <w:pStyle w:val="3"/>
        <w:spacing w:before="0" w:after="0"/>
        <w:rPr>
          <w:rStyle w:val="25"/>
          <w:rFonts w:ascii="仿宋" w:hAnsi="仿宋" w:eastAsia="仿宋"/>
          <w:b w:val="0"/>
          <w:bCs w:val="0"/>
        </w:rPr>
      </w:pPr>
      <w:bookmarkStart w:id="16" w:name="_Toc17103550"/>
      <w:bookmarkStart w:id="17"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6"/>
      <w:bookmarkEnd w:id="17"/>
    </w:p>
    <w:p>
      <w:pPr>
        <w:spacing w:line="600" w:lineRule="exact"/>
        <w:ind w:firstLine="640" w:firstLineChars="200"/>
        <w:rPr>
          <w:rFonts w:eastAsia="方正仿宋简体"/>
          <w:color w:val="000000"/>
          <w:sz w:val="32"/>
          <w:szCs w:val="32"/>
        </w:rPr>
      </w:pPr>
      <w:r>
        <w:rPr>
          <w:rFonts w:eastAsia="方正仿宋简体"/>
          <w:color w:val="000000"/>
          <w:sz w:val="32"/>
          <w:szCs w:val="32"/>
        </w:rPr>
        <w:t>（一）区农经局</w:t>
      </w:r>
      <w:r>
        <w:rPr>
          <w:rFonts w:hint="eastAsia" w:eastAsia="方正仿宋简体"/>
          <w:color w:val="000000"/>
          <w:sz w:val="32"/>
          <w:szCs w:val="32"/>
        </w:rPr>
        <w:t>主要</w:t>
      </w:r>
      <w:r>
        <w:rPr>
          <w:rFonts w:eastAsia="方正仿宋简体"/>
          <w:color w:val="000000"/>
          <w:sz w:val="32"/>
          <w:szCs w:val="32"/>
        </w:rPr>
        <w:t>职能：资阳市雁江区农经管理局是贯彻执行农村基本经营制度，实施农村土地承包管理、农民负担监督管理、农村集体财务和资产管理“三大管理”；指导农业产业化经营、指导新型农业经营主体发展、健全农业社会化服务体系的“三项指导”和农村经济统计“一个基础”职能。</w:t>
      </w:r>
    </w:p>
    <w:p>
      <w:pPr>
        <w:spacing w:line="600" w:lineRule="exact"/>
        <w:ind w:firstLine="640" w:firstLineChars="200"/>
        <w:rPr>
          <w:rFonts w:eastAsia="方正仿宋简体"/>
          <w:color w:val="000000"/>
          <w:sz w:val="32"/>
          <w:szCs w:val="32"/>
        </w:rPr>
      </w:pPr>
      <w:r>
        <w:rPr>
          <w:rFonts w:eastAsia="方正仿宋简体"/>
          <w:color w:val="000000"/>
          <w:sz w:val="32"/>
          <w:szCs w:val="32"/>
        </w:rPr>
        <w:t>（二）区农经局201</w:t>
      </w:r>
      <w:r>
        <w:rPr>
          <w:rFonts w:hint="eastAsia" w:eastAsia="方正仿宋简体"/>
          <w:color w:val="000000"/>
          <w:sz w:val="32"/>
          <w:szCs w:val="32"/>
        </w:rPr>
        <w:t>9</w:t>
      </w:r>
      <w:r>
        <w:rPr>
          <w:rFonts w:eastAsia="方正仿宋简体"/>
          <w:color w:val="000000"/>
          <w:sz w:val="32"/>
          <w:szCs w:val="32"/>
        </w:rPr>
        <w:t>年重点工作</w:t>
      </w:r>
      <w:r>
        <w:rPr>
          <w:rFonts w:hint="eastAsia" w:eastAsia="方正仿宋简体"/>
          <w:color w:val="000000"/>
          <w:sz w:val="32"/>
          <w:szCs w:val="32"/>
        </w:rPr>
        <w:t>完成情况</w:t>
      </w:r>
      <w:r>
        <w:rPr>
          <w:rFonts w:eastAsia="方正仿宋简体"/>
          <w:color w:val="000000"/>
          <w:sz w:val="32"/>
          <w:szCs w:val="32"/>
        </w:rPr>
        <w:t>：</w:t>
      </w:r>
    </w:p>
    <w:p>
      <w:pPr>
        <w:spacing w:line="600" w:lineRule="exact"/>
        <w:ind w:firstLine="640" w:firstLineChars="200"/>
        <w:rPr>
          <w:rFonts w:eastAsia="方正仿宋简体"/>
          <w:color w:val="000000"/>
          <w:sz w:val="32"/>
          <w:szCs w:val="32"/>
        </w:rPr>
      </w:pPr>
      <w:r>
        <w:rPr>
          <w:rFonts w:eastAsia="方正仿宋简体"/>
          <w:sz w:val="32"/>
          <w:szCs w:val="32"/>
        </w:rPr>
        <w:t>2019年农经工作要紧紧围绕“建设成资同城化创新发展先行区”的总体要求，按照“聚焦一个中心、深化三大改革、突出六项重点、强化三个保障”工作思路，不断创新农经管理方式和手段，努力实现农经工作新提升新突破。</w:t>
      </w:r>
      <w:r>
        <w:rPr>
          <w:rFonts w:ascii="仿宋_GB2312" w:hAnsi="仿宋" w:eastAsia="仿宋_GB2312"/>
          <w:sz w:val="32"/>
          <w:szCs w:val="32"/>
        </w:rPr>
        <w:t>全面开展股份制改革工作，推进农村集体产权制度改革</w:t>
      </w:r>
      <w:r>
        <w:rPr>
          <w:rFonts w:hint="eastAsia" w:ascii="仿宋_GB2312" w:hAnsi="仿宋" w:eastAsia="仿宋_GB2312"/>
          <w:sz w:val="32"/>
          <w:szCs w:val="32"/>
        </w:rPr>
        <w:t>，</w:t>
      </w:r>
      <w:r>
        <w:rPr>
          <w:rFonts w:ascii="仿宋_GB2312" w:hAnsi="仿宋" w:eastAsia="仿宋_GB2312"/>
          <w:sz w:val="32"/>
          <w:szCs w:val="32"/>
        </w:rPr>
        <w:t>做好承包地确权登记颁证扫尾工作，推进农村土地制度改革</w:t>
      </w:r>
      <w:r>
        <w:rPr>
          <w:rFonts w:hint="eastAsia" w:ascii="仿宋_GB2312" w:hAnsi="仿宋" w:eastAsia="仿宋_GB2312"/>
          <w:sz w:val="32"/>
          <w:szCs w:val="32"/>
        </w:rPr>
        <w:t>，</w:t>
      </w:r>
      <w:r>
        <w:rPr>
          <w:rFonts w:ascii="仿宋_GB2312" w:hAnsi="仿宋" w:eastAsia="仿宋_GB2312"/>
          <w:sz w:val="32"/>
          <w:szCs w:val="32"/>
        </w:rPr>
        <w:t>深化农村土地“三权分置”，推动农业适度规模经营发展</w:t>
      </w:r>
      <w:r>
        <w:rPr>
          <w:rFonts w:hint="eastAsia" w:ascii="仿宋_GB2312" w:hAnsi="仿宋" w:eastAsia="仿宋_GB2312"/>
          <w:sz w:val="32"/>
          <w:szCs w:val="32"/>
        </w:rPr>
        <w:t>，</w:t>
      </w:r>
      <w:r>
        <w:rPr>
          <w:rFonts w:ascii="仿宋_GB2312" w:hAnsi="仿宋" w:eastAsia="仿宋_GB2312"/>
          <w:sz w:val="32"/>
          <w:szCs w:val="32"/>
        </w:rPr>
        <w:t>强化农村集体“三资”监管，推进农村基层党风廉政建设</w:t>
      </w:r>
      <w:r>
        <w:rPr>
          <w:rFonts w:hint="eastAsia" w:ascii="仿宋_GB2312" w:hAnsi="仿宋" w:eastAsia="仿宋_GB2312"/>
          <w:sz w:val="32"/>
          <w:szCs w:val="32"/>
        </w:rPr>
        <w:t>，</w:t>
      </w:r>
      <w:r>
        <w:rPr>
          <w:rFonts w:ascii="仿宋_GB2312" w:hAnsi="仿宋" w:eastAsia="仿宋_GB2312"/>
          <w:sz w:val="32"/>
          <w:szCs w:val="32"/>
        </w:rPr>
        <w:t>着力提升农村集体经济发展水平</w:t>
      </w:r>
      <w:r>
        <w:rPr>
          <w:rFonts w:hint="eastAsia" w:ascii="仿宋_GB2312" w:hAnsi="仿宋" w:eastAsia="仿宋_GB2312"/>
          <w:sz w:val="32"/>
          <w:szCs w:val="32"/>
        </w:rPr>
        <w:t>。</w:t>
      </w:r>
    </w:p>
    <w:p>
      <w:pPr>
        <w:pStyle w:val="3"/>
        <w:spacing w:before="0" w:after="0"/>
        <w:rPr>
          <w:rStyle w:val="25"/>
          <w:b w:val="0"/>
          <w:bCs w:val="0"/>
        </w:rPr>
      </w:pPr>
      <w:bookmarkStart w:id="18" w:name="_Toc17103551"/>
      <w:bookmarkStart w:id="19"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18"/>
      <w:bookmarkEnd w:id="19"/>
    </w:p>
    <w:p>
      <w:pPr>
        <w:spacing w:line="600" w:lineRule="exact"/>
        <w:ind w:firstLine="648"/>
        <w:rPr>
          <w:rFonts w:eastAsia="方正仿宋简体"/>
          <w:color w:val="000000"/>
          <w:sz w:val="32"/>
          <w:szCs w:val="32"/>
        </w:rPr>
      </w:pPr>
      <w:r>
        <w:rPr>
          <w:rFonts w:eastAsia="方正仿宋简体"/>
          <w:color w:val="000000"/>
          <w:sz w:val="32"/>
          <w:szCs w:val="32"/>
        </w:rPr>
        <w:t>资阳市雁江区农经局属一级预算单位无下属单位，是参照公务员法管理的事业单位 1个。</w:t>
      </w:r>
    </w:p>
    <w:p>
      <w:pPr>
        <w:pStyle w:val="2"/>
        <w:spacing w:before="0" w:after="0"/>
        <w:ind w:right="440"/>
        <w:jc w:val="right"/>
        <w:rPr>
          <w:rStyle w:val="24"/>
          <w:rFonts w:ascii="黑体" w:hAnsi="黑体" w:eastAsia="黑体"/>
          <w:b w:val="0"/>
          <w:bCs w:val="0"/>
        </w:rPr>
      </w:pPr>
      <w:bookmarkStart w:id="20" w:name="_Toc17103552"/>
      <w:bookmarkStart w:id="21"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0"/>
      <w:bookmarkEnd w:id="21"/>
    </w:p>
    <w:p/>
    <w:p>
      <w:pPr>
        <w:pStyle w:val="23"/>
        <w:numPr>
          <w:ilvl w:val="0"/>
          <w:numId w:val="1"/>
        </w:numPr>
        <w:spacing w:line="600" w:lineRule="exact"/>
        <w:ind w:firstLineChars="0"/>
        <w:outlineLvl w:val="1"/>
        <w:rPr>
          <w:rStyle w:val="25"/>
          <w:rFonts w:ascii="黑体" w:hAnsi="黑体" w:eastAsia="黑体"/>
          <w:b w:val="0"/>
        </w:rPr>
      </w:pPr>
      <w:bookmarkStart w:id="22" w:name="_Toc15377205"/>
      <w:bookmarkStart w:id="23" w:name="_Toc1710355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2"/>
      <w:bookmarkEnd w:id="23"/>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2019年度收入、支出合计890.19万元，与2018年相比，减少67.17万元，减少7.01%，主要原因人员减少。</w:t>
      </w:r>
    </w:p>
    <w:p>
      <w:pPr>
        <w:ind w:firstLine="420" w:firstLineChars="200"/>
        <w:rPr>
          <w:rFonts w:ascii="仿宋" w:hAnsi="仿宋" w:eastAsia="仿宋"/>
          <w:color w:val="000000" w:themeColor="text1"/>
          <w:sz w:val="32"/>
          <w:szCs w:val="32"/>
          <w14:textFill>
            <w14:solidFill>
              <w14:schemeClr w14:val="tx1"/>
            </w14:solidFill>
          </w14:textFill>
        </w:rPr>
      </w:pPr>
      <w:r>
        <w:drawing>
          <wp:inline distT="0" distB="0" distL="0" distR="0">
            <wp:extent cx="3428365" cy="2056765"/>
            <wp:effectExtent l="0" t="0" r="635" b="63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6"/>
                    <a:stretch>
                      <a:fillRect/>
                    </a:stretch>
                  </pic:blipFill>
                  <pic:spPr>
                    <a:xfrm>
                      <a:off x="0" y="0"/>
                      <a:ext cx="3428572" cy="2057143"/>
                    </a:xfrm>
                    <a:prstGeom prst="rect">
                      <a:avLst/>
                    </a:prstGeom>
                  </pic:spPr>
                </pic:pic>
              </a:graphicData>
            </a:graphic>
          </wp:inline>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pStyle w:val="23"/>
        <w:numPr>
          <w:ilvl w:val="0"/>
          <w:numId w:val="1"/>
        </w:numPr>
        <w:spacing w:line="600" w:lineRule="exact"/>
        <w:ind w:firstLineChars="0"/>
        <w:outlineLvl w:val="1"/>
        <w:rPr>
          <w:rStyle w:val="25"/>
          <w:rFonts w:ascii="黑体" w:hAnsi="黑体" w:eastAsia="黑体"/>
          <w:b w:val="0"/>
        </w:rPr>
      </w:pPr>
      <w:bookmarkStart w:id="24" w:name="_Toc15377206"/>
      <w:bookmarkStart w:id="25" w:name="_Toc17103554"/>
      <w:r>
        <w:rPr>
          <w:rFonts w:hint="eastAsia" w:ascii="黑体" w:hAnsi="黑体" w:eastAsia="黑体"/>
          <w:color w:val="000000"/>
          <w:sz w:val="32"/>
          <w:szCs w:val="32"/>
        </w:rPr>
        <w:t>收</w:t>
      </w:r>
      <w:r>
        <w:rPr>
          <w:rStyle w:val="25"/>
          <w:rFonts w:hint="eastAsia" w:ascii="黑体" w:hAnsi="黑体" w:eastAsia="黑体"/>
          <w:b w:val="0"/>
        </w:rPr>
        <w:t>入决算情况说明</w:t>
      </w:r>
      <w:bookmarkEnd w:id="24"/>
      <w:bookmarkEnd w:id="25"/>
    </w:p>
    <w:p>
      <w:pPr>
        <w:spacing w:line="600" w:lineRule="exact"/>
        <w:ind w:firstLine="640" w:firstLineChars="200"/>
        <w:outlineLvl w:val="1"/>
        <w:rPr>
          <w:rFonts w:ascii="仿宋" w:hAnsi="仿宋" w:eastAsia="仿宋"/>
          <w:color w:val="000000"/>
          <w:sz w:val="32"/>
          <w:szCs w:val="32"/>
        </w:rPr>
      </w:pPr>
      <w:bookmarkStart w:id="26" w:name="_Toc17103555"/>
      <w:r>
        <w:rPr>
          <w:rFonts w:ascii="仿宋" w:hAnsi="仿宋" w:eastAsia="仿宋"/>
          <w:color w:val="000000"/>
          <w:sz w:val="32"/>
          <w:szCs w:val="32"/>
        </w:rPr>
        <w:t>20</w:t>
      </w:r>
      <w:r>
        <w:rPr>
          <w:rFonts w:hint="eastAsia" w:ascii="仿宋" w:hAnsi="仿宋" w:eastAsia="仿宋"/>
          <w:color w:val="000000"/>
          <w:sz w:val="32"/>
          <w:szCs w:val="32"/>
        </w:rPr>
        <w:t>19年本年收入合计582.92万元，其中：一般公共预算财政拨款收入582.92万元，占100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；政府性基金预算财政拨款收入0万元；国有资本经营预算财政拨款收入0万元；事业收入0万元；经营收入0万元；附属单位上缴收入0万元；其他收入0万元。</w:t>
      </w:r>
      <w:bookmarkEnd w:id="26"/>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1312" behindDoc="0" locked="0" layoutInCell="1" allowOverlap="1">
            <wp:simplePos x="0" y="0"/>
            <wp:positionH relativeFrom="margin">
              <wp:posOffset>422275</wp:posOffset>
            </wp:positionH>
            <wp:positionV relativeFrom="margin">
              <wp:posOffset>4250690</wp:posOffset>
            </wp:positionV>
            <wp:extent cx="4314825" cy="3543300"/>
            <wp:effectExtent l="0" t="0" r="0" b="0"/>
            <wp:wrapSquare wrapText="bothSides"/>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bookmarkStart w:id="27" w:name="_Toc17103556"/>
      <w:bookmarkStart w:id="28" w:name="_Toc15377207"/>
    </w:p>
    <w:p>
      <w:pPr>
        <w:pStyle w:val="23"/>
        <w:numPr>
          <w:ilvl w:val="0"/>
          <w:numId w:val="1"/>
        </w:numPr>
        <w:spacing w:line="600" w:lineRule="exact"/>
        <w:ind w:firstLineChars="0"/>
        <w:outlineLvl w:val="1"/>
        <w:rPr>
          <w:rStyle w:val="25"/>
          <w:rFonts w:ascii="黑体" w:hAnsi="黑体" w:eastAsia="黑体"/>
          <w:b w:val="0"/>
        </w:rPr>
      </w:pPr>
      <w:r>
        <w:rPr>
          <w:rFonts w:hint="eastAsia" w:ascii="黑体" w:hAnsi="黑体" w:eastAsia="黑体"/>
          <w:color w:val="000000"/>
          <w:sz w:val="32"/>
          <w:szCs w:val="32"/>
        </w:rPr>
        <w:t>支</w:t>
      </w:r>
      <w:r>
        <w:rPr>
          <w:rStyle w:val="25"/>
          <w:rFonts w:hint="eastAsia" w:ascii="黑体" w:hAnsi="黑体" w:eastAsia="黑体"/>
          <w:b w:val="0"/>
        </w:rPr>
        <w:t>出决算情况说明</w:t>
      </w:r>
      <w:bookmarkEnd w:id="27"/>
      <w:bookmarkEnd w:id="28"/>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9年本年支出合计394.7万元，其中：基本支出276.89万元，占70.15</w:t>
      </w:r>
      <w:r>
        <w:rPr>
          <w:rFonts w:ascii="仿宋" w:hAnsi="仿宋" w:eastAsia="仿宋"/>
          <w:color w:val="000000"/>
          <w:sz w:val="32"/>
          <w:szCs w:val="32"/>
        </w:rPr>
        <w:t>%</w:t>
      </w:r>
      <w:r>
        <w:rPr>
          <w:rFonts w:hint="eastAsia" w:ascii="仿宋" w:hAnsi="仿宋" w:eastAsia="仿宋"/>
          <w:color w:val="000000"/>
          <w:sz w:val="32"/>
          <w:szCs w:val="32"/>
        </w:rPr>
        <w:t>；项目支出117.81万元，占29.85%</w:t>
      </w:r>
      <w:r>
        <w:rPr>
          <w:rFonts w:hint="eastAsia" w:ascii="仿宋_GB2312" w:eastAsia="仿宋_GB2312"/>
          <w:color w:val="000000"/>
          <w:sz w:val="32"/>
          <w:szCs w:val="32"/>
        </w:rPr>
        <w:t>上缴上级支出0万元</w:t>
      </w:r>
      <w:r>
        <w:rPr>
          <w:rFonts w:hint="eastAsia" w:ascii="仿宋" w:hAnsi="仿宋" w:eastAsia="仿宋"/>
          <w:color w:val="000000"/>
          <w:sz w:val="32"/>
          <w:szCs w:val="32"/>
        </w:rPr>
        <w:t>；经营支出0万元；对附属单位补助支出0万元。</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274310" cy="3076575"/>
            <wp:effectExtent l="0" t="0" r="2540" b="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outlineLvl w:val="1"/>
        <w:rPr>
          <w:rStyle w:val="25"/>
          <w:rFonts w:ascii="黑体" w:hAnsi="黑体" w:eastAsia="黑体"/>
          <w:b w:val="0"/>
        </w:rPr>
      </w:pPr>
      <w:bookmarkStart w:id="29" w:name="_Toc15377208"/>
      <w:bookmarkStart w:id="30" w:name="_Toc17103557"/>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9"/>
      <w:bookmarkEnd w:id="30"/>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9年财政拨款收入、支出总计890.19万元，与2018年相比，减少67.17万元，减少7.01%，主要原因是人员减少。</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bookmarkStart w:id="31" w:name="_Toc17103558"/>
      <w:bookmarkStart w:id="32" w:name="_Toc15377209"/>
    </w:p>
    <w:p>
      <w:pPr>
        <w:ind w:firstLine="420" w:firstLineChars="200"/>
        <w:outlineLvl w:val="1"/>
        <w:rPr>
          <w:rFonts w:ascii="黑体" w:hAnsi="黑体" w:eastAsia="黑体"/>
          <w:color w:val="000000"/>
          <w:sz w:val="32"/>
          <w:szCs w:val="32"/>
        </w:rPr>
      </w:pPr>
      <w:r>
        <w:drawing>
          <wp:inline distT="0" distB="0" distL="0" distR="0">
            <wp:extent cx="4761865" cy="2856865"/>
            <wp:effectExtent l="0" t="0" r="635" b="6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9"/>
                    <a:stretch>
                      <a:fillRect/>
                    </a:stretch>
                  </pic:blipFill>
                  <pic:spPr>
                    <a:xfrm>
                      <a:off x="0" y="0"/>
                      <a:ext cx="4761905" cy="2857143"/>
                    </a:xfrm>
                    <a:prstGeom prst="rect">
                      <a:avLst/>
                    </a:prstGeom>
                  </pic:spPr>
                </pic:pic>
              </a:graphicData>
            </a:graphic>
          </wp:inline>
        </w:drawing>
      </w:r>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1"/>
      <w:bookmarkEnd w:id="32"/>
    </w:p>
    <w:p>
      <w:pPr>
        <w:spacing w:line="600" w:lineRule="exact"/>
        <w:ind w:firstLine="643" w:firstLineChars="200"/>
        <w:outlineLvl w:val="2"/>
        <w:rPr>
          <w:rFonts w:ascii="仿宋" w:hAnsi="仿宋" w:eastAsia="仿宋"/>
          <w:b/>
          <w:color w:val="000000"/>
          <w:sz w:val="32"/>
          <w:szCs w:val="32"/>
        </w:rPr>
      </w:pPr>
      <w:bookmarkStart w:id="33" w:name="_Toc15377210"/>
      <w:r>
        <w:rPr>
          <w:rFonts w:hint="eastAsia" w:ascii="仿宋" w:hAnsi="仿宋" w:eastAsia="仿宋"/>
          <w:b/>
          <w:color w:val="000000"/>
          <w:sz w:val="32"/>
          <w:szCs w:val="32"/>
        </w:rPr>
        <w:t>（一）一般公共预算财政拨款支出决算总体情况</w:t>
      </w:r>
      <w:bookmarkEnd w:id="3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9年一般公共预算财政拨款支出394.7万元，占本年支出合计的100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8年相比，一般公共预算财政拨款减少255.4万元，减少39.29%，主要原因是人员减少。</w:t>
      </w:r>
    </w:p>
    <w:p>
      <w:pPr>
        <w:ind w:firstLine="630" w:firstLineChars="300"/>
        <w:rPr>
          <w:rFonts w:ascii="仿宋" w:hAnsi="仿宋" w:eastAsia="仿宋"/>
          <w:color w:val="000000" w:themeColor="text1"/>
          <w:sz w:val="32"/>
          <w:szCs w:val="32"/>
          <w14:textFill>
            <w14:solidFill>
              <w14:schemeClr w14:val="tx1"/>
            </w14:solidFill>
          </w14:textFill>
        </w:rPr>
      </w:pPr>
      <w:r>
        <w:drawing>
          <wp:inline distT="0" distB="0" distL="0" distR="0">
            <wp:extent cx="4647565" cy="2790190"/>
            <wp:effectExtent l="0" t="0" r="63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0"/>
                    <a:stretch>
                      <a:fillRect/>
                    </a:stretch>
                  </pic:blipFill>
                  <pic:spPr>
                    <a:xfrm>
                      <a:off x="0" y="0"/>
                      <a:ext cx="4647619" cy="2790476"/>
                    </a:xfrm>
                    <a:prstGeom prst="rect">
                      <a:avLst/>
                    </a:prstGeom>
                  </pic:spPr>
                </pic:pic>
              </a:graphicData>
            </a:graphic>
          </wp:inline>
        </w:drawing>
      </w: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bookmarkStart w:id="34" w:name="_Toc15377211"/>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4"/>
    </w:p>
    <w:p>
      <w:pPr>
        <w:spacing w:line="600" w:lineRule="exact"/>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政拨款支出394.7万元，主要用于以下方面</w:t>
      </w:r>
      <w:r>
        <w:rPr>
          <w:rFonts w:ascii="仿宋" w:hAnsi="仿宋" w:eastAsia="仿宋"/>
          <w:color w:val="000000" w:themeColor="text1"/>
          <w:sz w:val="32"/>
          <w:szCs w:val="32"/>
          <w14:textFill>
            <w14:solidFill>
              <w14:schemeClr w14:val="tx1"/>
            </w14:solidFill>
          </w14:textFill>
        </w:rPr>
        <w:t>:</w:t>
      </w:r>
      <w:r>
        <w:rPr>
          <w:rFonts w:hint="eastAsia" w:ascii="方正仿宋简体" w:hAnsi="方正仿宋简体" w:eastAsia="方正仿宋简体" w:cs="方正仿宋简体"/>
          <w:sz w:val="32"/>
          <w:szCs w:val="32"/>
        </w:rPr>
        <w:t xml:space="preserve"> 社会保障就业支出</w:t>
      </w:r>
      <w:r>
        <w:rPr>
          <w:rFonts w:hint="eastAsia" w:ascii="仿宋" w:hAnsi="仿宋" w:eastAsia="仿宋"/>
          <w:color w:val="000000" w:themeColor="text1"/>
          <w:sz w:val="32"/>
          <w:szCs w:val="32"/>
          <w14:textFill>
            <w14:solidFill>
              <w14:schemeClr w14:val="tx1"/>
            </w14:solidFill>
          </w14:textFill>
        </w:rPr>
        <w:t>62.2万元，占15.76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方正仿宋简体" w:hAnsi="方正仿宋简体" w:eastAsia="方正仿宋简体" w:cs="方正仿宋简体"/>
          <w:color w:val="333333"/>
          <w:sz w:val="32"/>
          <w:szCs w:val="32"/>
        </w:rPr>
        <w:t>医疗卫生与计划生育支出</w:t>
      </w:r>
      <w:r>
        <w:rPr>
          <w:rFonts w:hint="eastAsia" w:ascii="仿宋" w:hAnsi="仿宋" w:eastAsia="仿宋"/>
          <w:color w:val="000000" w:themeColor="text1"/>
          <w:sz w:val="32"/>
          <w:szCs w:val="32"/>
          <w14:textFill>
            <w14:solidFill>
              <w14:schemeClr w14:val="tx1"/>
            </w14:solidFill>
          </w14:textFill>
        </w:rPr>
        <w:t>13.43万元，占3.4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eastAsia="方正仿宋简体"/>
          <w:color w:val="333333"/>
          <w:sz w:val="32"/>
          <w:szCs w:val="32"/>
        </w:rPr>
        <w:t>节能环保</w:t>
      </w:r>
      <w:r>
        <w:rPr>
          <w:rFonts w:hint="eastAsia" w:ascii="仿宋" w:hAnsi="仿宋" w:eastAsia="仿宋"/>
          <w:color w:val="000000" w:themeColor="text1"/>
          <w:sz w:val="32"/>
          <w:szCs w:val="32"/>
          <w14:textFill>
            <w14:solidFill>
              <w14:schemeClr w14:val="tx1"/>
            </w14:solidFill>
          </w14:textFill>
        </w:rPr>
        <w:t>支出0万元，占0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eastAsia="方正仿宋简体"/>
          <w:color w:val="333333"/>
          <w:sz w:val="32"/>
          <w:szCs w:val="32"/>
        </w:rPr>
        <w:t>农林水支出</w:t>
      </w:r>
      <w:r>
        <w:rPr>
          <w:rFonts w:hint="eastAsia" w:ascii="仿宋" w:hAnsi="仿宋" w:eastAsia="仿宋"/>
          <w:color w:val="000000" w:themeColor="text1"/>
          <w:sz w:val="32"/>
          <w:szCs w:val="32"/>
          <w14:textFill>
            <w14:solidFill>
              <w14:schemeClr w14:val="tx1"/>
            </w14:solidFill>
          </w14:textFill>
        </w:rPr>
        <w:t>311.54万元，占78.93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eastAsia="方正仿宋简体"/>
          <w:color w:val="333333"/>
          <w:sz w:val="32"/>
          <w:szCs w:val="32"/>
        </w:rPr>
        <w:t>住房保障支出</w:t>
      </w:r>
      <w:r>
        <w:rPr>
          <w:rFonts w:hint="eastAsia" w:ascii="仿宋" w:hAnsi="仿宋" w:eastAsia="仿宋"/>
          <w:color w:val="000000" w:themeColor="text1"/>
          <w:sz w:val="32"/>
          <w:szCs w:val="32"/>
          <w14:textFill>
            <w14:solidFill>
              <w14:schemeClr w14:val="tx1"/>
            </w14:solidFill>
          </w14:textFill>
        </w:rPr>
        <w:t>7.53万元，占1.91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5" w:name="_Toc15377212"/>
      <w:r>
        <w:rPr>
          <w:rFonts w:hint="eastAsia" w:ascii="仿宋" w:hAnsi="仿宋" w:eastAsia="仿宋"/>
          <w:b/>
          <w:color w:val="000000"/>
          <w:sz w:val="32"/>
          <w:szCs w:val="32"/>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4800600" cy="2886075"/>
            <wp:effectExtent l="0" t="0" r="0" b="0"/>
            <wp:wrapSquare wrapText="bothSides"/>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5"/>
    </w:p>
    <w:p>
      <w:pPr>
        <w:spacing w:line="600" w:lineRule="exact"/>
        <w:ind w:firstLine="643" w:firstLineChars="200"/>
        <w:outlineLvl w:val="2"/>
        <w:rPr>
          <w:rFonts w:ascii="仿宋" w:hAnsi="仿宋" w:eastAsia="仿宋"/>
          <w:color w:val="FF0000"/>
          <w:sz w:val="32"/>
          <w:szCs w:val="32"/>
        </w:rPr>
      </w:pPr>
      <w:bookmarkStart w:id="36" w:name="_Toc15378460"/>
      <w:bookmarkStart w:id="37" w:name="_Toc15377444"/>
      <w:bookmarkStart w:id="38" w:name="_Toc15377213"/>
      <w:r>
        <w:rPr>
          <w:rFonts w:hint="eastAsia" w:ascii="仿宋" w:hAnsi="仿宋" w:eastAsia="仿宋"/>
          <w:b/>
          <w:color w:val="000000" w:themeColor="text1"/>
          <w:sz w:val="32"/>
          <w:szCs w:val="32"/>
          <w14:textFill>
            <w14:solidFill>
              <w14:schemeClr w14:val="tx1"/>
            </w14:solidFill>
          </w14:textFill>
        </w:rPr>
        <w:t>2019年一般公共预算支出决算数为394.7万元</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预算67.49</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6"/>
      <w:bookmarkEnd w:id="37"/>
      <w:bookmarkEnd w:id="38"/>
    </w:p>
    <w:p>
      <w:pPr>
        <w:spacing w:line="600" w:lineRule="exact"/>
        <w:ind w:firstLine="643" w:firstLineChars="200"/>
        <w:rPr>
          <w:rStyle w:val="14"/>
          <w:rFonts w:ascii="仿宋" w:hAnsi="仿宋" w:eastAsia="仿宋"/>
          <w:b w:val="0"/>
          <w:bCs/>
          <w:color w:val="000000"/>
          <w:sz w:val="32"/>
          <w:szCs w:val="32"/>
        </w:rPr>
      </w:pPr>
      <w:r>
        <w:rPr>
          <w:rStyle w:val="14"/>
          <w:rFonts w:ascii="仿宋" w:hAnsi="仿宋" w:eastAsia="仿宋"/>
          <w:bCs/>
          <w:color w:val="000000"/>
          <w:sz w:val="32"/>
          <w:szCs w:val="32"/>
        </w:rPr>
        <w:t>1.</w:t>
      </w:r>
      <w:r>
        <w:rPr>
          <w:rFonts w:hint="eastAsia" w:ascii="方正仿宋简体" w:hAnsi="方正仿宋简体" w:eastAsia="方正仿宋简体" w:cs="方正仿宋简体"/>
          <w:sz w:val="32"/>
          <w:szCs w:val="32"/>
        </w:rPr>
        <w:t xml:space="preserve"> 社会保障就业支出</w:t>
      </w:r>
      <w:r>
        <w:rPr>
          <w:rStyle w:val="14"/>
          <w:rFonts w:hint="eastAsia" w:ascii="方正仿宋简体" w:hAnsi="方正仿宋简体" w:eastAsia="方正仿宋简体" w:cs="方正仿宋简体"/>
          <w:color w:val="000000"/>
          <w:sz w:val="32"/>
          <w:szCs w:val="32"/>
        </w:rPr>
        <w:t>（类）行政事业单位离退休（款）事业单位离退休（项）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支出决算为18.32万元，完成预算100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ascii="仿宋" w:hAnsi="仿宋" w:eastAsia="仿宋"/>
          <w:b w:val="0"/>
          <w:bCs/>
          <w:color w:val="000000"/>
          <w:sz w:val="32"/>
          <w:szCs w:val="32"/>
        </w:rPr>
      </w:pPr>
      <w:r>
        <w:rPr>
          <w:rFonts w:hint="eastAsia" w:ascii="方正仿宋简体" w:hAnsi="方正仿宋简体" w:eastAsia="方正仿宋简体" w:cs="方正仿宋简体"/>
          <w:sz w:val="32"/>
          <w:szCs w:val="32"/>
        </w:rPr>
        <w:t>社会保障就业支出</w:t>
      </w:r>
      <w:r>
        <w:rPr>
          <w:rStyle w:val="14"/>
          <w:rFonts w:hint="eastAsia" w:ascii="方正仿宋简体" w:hAnsi="方正仿宋简体" w:eastAsia="方正仿宋简体" w:cs="方正仿宋简体"/>
          <w:color w:val="000000"/>
          <w:sz w:val="32"/>
          <w:szCs w:val="32"/>
        </w:rPr>
        <w:t>（类）行政事业单位离退休（款）机关事业单位基本养老保险缴费支出（项）：</w:t>
      </w:r>
      <w:r>
        <w:rPr>
          <w:rStyle w:val="14"/>
          <w:rFonts w:hint="eastAsia" w:ascii="仿宋" w:hAnsi="仿宋" w:eastAsia="仿宋"/>
          <w:b w:val="0"/>
          <w:bCs/>
          <w:color w:val="000000"/>
          <w:sz w:val="32"/>
          <w:szCs w:val="32"/>
        </w:rPr>
        <w:t>支出决算为20.18万元，完成预算81.87</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，决算数小于预算数的主要原因是人员减少；</w:t>
      </w:r>
    </w:p>
    <w:p>
      <w:pPr>
        <w:spacing w:line="600" w:lineRule="exact"/>
        <w:ind w:firstLine="640" w:firstLineChars="200"/>
        <w:rPr>
          <w:rStyle w:val="14"/>
          <w:rFonts w:ascii="仿宋" w:hAnsi="仿宋" w:eastAsia="仿宋"/>
          <w:b w:val="0"/>
          <w:bCs/>
          <w:color w:val="000000"/>
          <w:sz w:val="32"/>
          <w:szCs w:val="32"/>
        </w:rPr>
      </w:pPr>
      <w:r>
        <w:rPr>
          <w:rFonts w:hint="eastAsia" w:ascii="方正仿宋简体" w:hAnsi="方正仿宋简体" w:eastAsia="方正仿宋简体" w:cs="方正仿宋简体"/>
          <w:sz w:val="32"/>
          <w:szCs w:val="32"/>
        </w:rPr>
        <w:t>社会保障就业支出</w:t>
      </w:r>
      <w:r>
        <w:rPr>
          <w:rStyle w:val="14"/>
          <w:rFonts w:hint="eastAsia" w:ascii="方正仿宋简体" w:hAnsi="方正仿宋简体" w:eastAsia="方正仿宋简体" w:cs="方正仿宋简体"/>
          <w:color w:val="000000"/>
          <w:sz w:val="32"/>
          <w:szCs w:val="32"/>
        </w:rPr>
        <w:t>（类）行政事业单位离退休（款）机关事业单位职业年金缴费支出（项）：</w:t>
      </w:r>
      <w:r>
        <w:rPr>
          <w:rStyle w:val="14"/>
          <w:rFonts w:hint="eastAsia" w:ascii="仿宋" w:hAnsi="仿宋" w:eastAsia="仿宋"/>
          <w:b w:val="0"/>
          <w:bCs/>
          <w:color w:val="000000"/>
          <w:sz w:val="32"/>
          <w:szCs w:val="32"/>
        </w:rPr>
        <w:t>支出决算为8.83万元，完成预算100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ascii="仿宋" w:hAnsi="仿宋" w:eastAsia="仿宋"/>
          <w:b w:val="0"/>
          <w:bCs/>
          <w:color w:val="000000"/>
          <w:sz w:val="32"/>
          <w:szCs w:val="32"/>
        </w:rPr>
      </w:pPr>
      <w:r>
        <w:rPr>
          <w:rFonts w:hint="eastAsia" w:ascii="方正仿宋简体" w:hAnsi="方正仿宋简体" w:eastAsia="方正仿宋简体" w:cs="方正仿宋简体"/>
          <w:sz w:val="32"/>
          <w:szCs w:val="32"/>
        </w:rPr>
        <w:t>社会保障就业支出</w:t>
      </w:r>
      <w:r>
        <w:rPr>
          <w:rStyle w:val="14"/>
          <w:rFonts w:hint="eastAsia" w:ascii="方正仿宋简体" w:hAnsi="方正仿宋简体" w:eastAsia="方正仿宋简体" w:cs="方正仿宋简体"/>
          <w:color w:val="000000"/>
          <w:sz w:val="32"/>
          <w:szCs w:val="32"/>
        </w:rPr>
        <w:t>（类）抚恤（款）死亡抚恤（项）：</w:t>
      </w:r>
      <w:r>
        <w:rPr>
          <w:rStyle w:val="14"/>
          <w:rFonts w:hint="eastAsia" w:ascii="仿宋" w:hAnsi="仿宋" w:eastAsia="仿宋"/>
          <w:b w:val="0"/>
          <w:bCs/>
          <w:color w:val="000000"/>
          <w:sz w:val="32"/>
          <w:szCs w:val="32"/>
        </w:rPr>
        <w:t>支出决算为14.39万元，完成预算100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560" w:lineRule="exact"/>
        <w:ind w:left="643"/>
        <w:rPr>
          <w:rStyle w:val="14"/>
          <w:rFonts w:ascii="方正仿宋简体" w:hAnsi="方正仿宋简体" w:eastAsia="方正仿宋简体" w:cs="方正仿宋简体"/>
          <w:color w:val="000000"/>
          <w:sz w:val="32"/>
          <w:szCs w:val="32"/>
        </w:rPr>
      </w:pPr>
      <w:r>
        <w:rPr>
          <w:rStyle w:val="14"/>
          <w:rFonts w:hint="eastAsia" w:ascii="仿宋" w:hAnsi="仿宋" w:eastAsia="仿宋"/>
          <w:bCs/>
          <w:color w:val="000000"/>
          <w:sz w:val="32"/>
          <w:szCs w:val="32"/>
        </w:rPr>
        <w:t>2．</w:t>
      </w:r>
      <w:r>
        <w:rPr>
          <w:rFonts w:hint="eastAsia" w:ascii="方正仿宋简体" w:hAnsi="方正仿宋简体" w:eastAsia="方正仿宋简体" w:cs="方正仿宋简体"/>
          <w:color w:val="333333"/>
          <w:sz w:val="32"/>
          <w:szCs w:val="32"/>
        </w:rPr>
        <w:t>医疗卫生与计划生育支出</w:t>
      </w:r>
      <w:r>
        <w:rPr>
          <w:rStyle w:val="14"/>
          <w:rFonts w:hint="eastAsia" w:ascii="方正仿宋简体" w:hAnsi="方正仿宋简体" w:eastAsia="方正仿宋简体" w:cs="方正仿宋简体"/>
          <w:color w:val="000000"/>
          <w:sz w:val="32"/>
          <w:szCs w:val="32"/>
        </w:rPr>
        <w:t>（类）行政事业单位医疗</w:t>
      </w:r>
    </w:p>
    <w:p>
      <w:pPr>
        <w:spacing w:line="560" w:lineRule="exact"/>
        <w:rPr>
          <w:rStyle w:val="14"/>
          <w:rFonts w:ascii="方正仿宋简体" w:hAnsi="方正仿宋简体" w:eastAsia="方正仿宋简体" w:cs="方正仿宋简体"/>
          <w:color w:val="000000"/>
          <w:sz w:val="32"/>
          <w:szCs w:val="32"/>
        </w:rPr>
      </w:pPr>
      <w:r>
        <w:rPr>
          <w:rStyle w:val="14"/>
          <w:rFonts w:hint="eastAsia" w:ascii="方正仿宋简体" w:hAnsi="方正仿宋简体" w:eastAsia="方正仿宋简体" w:cs="方正仿宋简体"/>
          <w:color w:val="000000"/>
          <w:sz w:val="32"/>
          <w:szCs w:val="32"/>
        </w:rPr>
        <w:t xml:space="preserve">（款）事业单位医疗（项）: 支出决算为8.06万元，完成预算93.5%，决算数小于预算数的原因是人员减少；  </w:t>
      </w:r>
    </w:p>
    <w:p>
      <w:pPr>
        <w:spacing w:line="560" w:lineRule="exact"/>
        <w:ind w:left="643"/>
        <w:rPr>
          <w:rStyle w:val="14"/>
          <w:rFonts w:ascii="方正仿宋简体" w:hAnsi="方正仿宋简体" w:eastAsia="方正仿宋简体" w:cs="方正仿宋简体"/>
          <w:color w:val="000000"/>
          <w:sz w:val="32"/>
          <w:szCs w:val="32"/>
        </w:rPr>
      </w:pPr>
      <w:r>
        <w:rPr>
          <w:rStyle w:val="14"/>
          <w:rFonts w:hint="eastAsia" w:ascii="仿宋" w:hAnsi="仿宋" w:eastAsia="仿宋"/>
          <w:bCs/>
          <w:color w:val="000000"/>
          <w:sz w:val="32"/>
          <w:szCs w:val="32"/>
        </w:rPr>
        <w:t>3.</w:t>
      </w:r>
      <w:r>
        <w:rPr>
          <w:rFonts w:hint="eastAsia" w:ascii="方正仿宋简体" w:hAnsi="方正仿宋简体" w:eastAsia="方正仿宋简体" w:cs="方正仿宋简体"/>
          <w:color w:val="333333"/>
          <w:sz w:val="32"/>
          <w:szCs w:val="32"/>
        </w:rPr>
        <w:t xml:space="preserve"> 医疗卫生与计划生育支出</w:t>
      </w:r>
      <w:r>
        <w:rPr>
          <w:rStyle w:val="14"/>
          <w:rFonts w:hint="eastAsia" w:ascii="方正仿宋简体" w:hAnsi="方正仿宋简体" w:eastAsia="方正仿宋简体" w:cs="方正仿宋简体"/>
          <w:color w:val="000000"/>
          <w:sz w:val="32"/>
          <w:szCs w:val="32"/>
        </w:rPr>
        <w:t>（类）行政事业单位医疗</w:t>
      </w:r>
    </w:p>
    <w:p>
      <w:pPr>
        <w:spacing w:line="560" w:lineRule="exact"/>
        <w:rPr>
          <w:rStyle w:val="14"/>
          <w:rFonts w:ascii="方正仿宋简体" w:hAnsi="方正仿宋简体" w:eastAsia="方正仿宋简体" w:cs="方正仿宋简体"/>
          <w:color w:val="000000"/>
          <w:sz w:val="32"/>
          <w:szCs w:val="32"/>
        </w:rPr>
      </w:pPr>
      <w:r>
        <w:rPr>
          <w:rStyle w:val="14"/>
          <w:rFonts w:hint="eastAsia" w:ascii="方正仿宋简体" w:hAnsi="方正仿宋简体" w:eastAsia="方正仿宋简体" w:cs="方正仿宋简体"/>
          <w:color w:val="000000"/>
          <w:sz w:val="32"/>
          <w:szCs w:val="32"/>
        </w:rPr>
        <w:t>（款）公务员医疗补助（项）: 支出决算为5.37万元，完成预算100%；</w:t>
      </w:r>
    </w:p>
    <w:p>
      <w:pPr>
        <w:spacing w:line="560" w:lineRule="exact"/>
        <w:ind w:firstLine="643" w:firstLineChars="200"/>
        <w:rPr>
          <w:rStyle w:val="14"/>
          <w:rFonts w:ascii="方正仿宋简体" w:hAnsi="方正仿宋简体" w:eastAsia="方正仿宋简体" w:cs="方正仿宋简体"/>
          <w:color w:val="000000"/>
          <w:sz w:val="32"/>
          <w:szCs w:val="32"/>
        </w:rPr>
      </w:pPr>
      <w:r>
        <w:rPr>
          <w:rStyle w:val="14"/>
          <w:rFonts w:hint="eastAsia" w:ascii="仿宋" w:hAnsi="仿宋" w:eastAsia="仿宋"/>
          <w:bCs/>
          <w:color w:val="000000"/>
          <w:sz w:val="32"/>
          <w:szCs w:val="32"/>
        </w:rPr>
        <w:t>4</w:t>
      </w:r>
      <w:r>
        <w:rPr>
          <w:rStyle w:val="14"/>
          <w:rFonts w:ascii="仿宋" w:hAnsi="仿宋" w:eastAsia="仿宋"/>
          <w:bCs/>
          <w:color w:val="000000"/>
          <w:sz w:val="32"/>
          <w:szCs w:val="32"/>
        </w:rPr>
        <w:t>.</w:t>
      </w:r>
      <w:r>
        <w:rPr>
          <w:rFonts w:hint="eastAsia" w:ascii="方正仿宋简体" w:hAnsi="方正仿宋简体" w:eastAsia="方正仿宋简体" w:cs="方正仿宋简体"/>
          <w:color w:val="333333"/>
          <w:sz w:val="32"/>
          <w:szCs w:val="32"/>
        </w:rPr>
        <w:t xml:space="preserve"> 农林水支出</w:t>
      </w:r>
      <w:r>
        <w:rPr>
          <w:rStyle w:val="14"/>
          <w:rFonts w:hint="eastAsia" w:ascii="方正仿宋简体" w:hAnsi="方正仿宋简体" w:eastAsia="方正仿宋简体" w:cs="方正仿宋简体"/>
          <w:color w:val="000000"/>
          <w:sz w:val="32"/>
          <w:szCs w:val="32"/>
        </w:rPr>
        <w:t>（类）农业（款）行政运行（项）: 支出决算为193.73万元，完成预算100%；</w:t>
      </w:r>
    </w:p>
    <w:p>
      <w:pPr>
        <w:spacing w:line="560" w:lineRule="exact"/>
        <w:ind w:firstLine="640" w:firstLineChars="200"/>
        <w:rPr>
          <w:rStyle w:val="14"/>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333333"/>
          <w:sz w:val="32"/>
          <w:szCs w:val="32"/>
        </w:rPr>
        <w:t>5.农林水支出</w:t>
      </w:r>
      <w:r>
        <w:rPr>
          <w:rStyle w:val="14"/>
          <w:rFonts w:hint="eastAsia" w:ascii="方正仿宋简体" w:hAnsi="方正仿宋简体" w:eastAsia="方正仿宋简体" w:cs="方正仿宋简体"/>
          <w:color w:val="000000"/>
          <w:sz w:val="32"/>
          <w:szCs w:val="32"/>
        </w:rPr>
        <w:t>（类）农业（款）一般行政管理事务（项）：支出决算为32.55万元，完成预算64.42%，决算数小于预算数的主要原因是财政经费困难，未及时拨付；</w:t>
      </w:r>
    </w:p>
    <w:p>
      <w:pPr>
        <w:spacing w:line="56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333333"/>
          <w:sz w:val="32"/>
          <w:szCs w:val="32"/>
        </w:rPr>
        <w:t>6.农林水支出</w:t>
      </w:r>
      <w:r>
        <w:rPr>
          <w:rStyle w:val="14"/>
          <w:rFonts w:hint="eastAsia" w:ascii="方正仿宋简体" w:hAnsi="方正仿宋简体" w:eastAsia="方正仿宋简体" w:cs="方正仿宋简体"/>
          <w:color w:val="000000"/>
          <w:sz w:val="32"/>
          <w:szCs w:val="32"/>
        </w:rPr>
        <w:t>（类）农业（款）其他农业支出（项）：支出决算为85.26万元，完成预算100%；</w:t>
      </w:r>
    </w:p>
    <w:p>
      <w:pPr>
        <w:spacing w:line="560" w:lineRule="exact"/>
        <w:ind w:firstLine="643" w:firstLineChars="200"/>
        <w:rPr>
          <w:rFonts w:ascii="方正仿宋简体" w:hAnsi="方正仿宋简体" w:eastAsia="方正仿宋简体" w:cs="方正仿宋简体"/>
          <w:color w:val="000000"/>
          <w:sz w:val="32"/>
          <w:szCs w:val="32"/>
        </w:rPr>
      </w:pPr>
      <w:r>
        <w:rPr>
          <w:rStyle w:val="14"/>
          <w:rFonts w:hint="eastAsia" w:ascii="仿宋" w:hAnsi="仿宋" w:eastAsia="仿宋"/>
          <w:bCs/>
          <w:color w:val="000000"/>
          <w:sz w:val="32"/>
          <w:szCs w:val="32"/>
        </w:rPr>
        <w:t>7</w:t>
      </w:r>
      <w:r>
        <w:rPr>
          <w:rStyle w:val="14"/>
          <w:rFonts w:ascii="仿宋" w:hAnsi="仿宋" w:eastAsia="仿宋"/>
          <w:bCs/>
          <w:color w:val="000000"/>
          <w:sz w:val="32"/>
          <w:szCs w:val="32"/>
        </w:rPr>
        <w:t>.</w:t>
      </w:r>
      <w:r>
        <w:rPr>
          <w:rStyle w:val="14"/>
          <w:rFonts w:hint="eastAsia" w:ascii="方正仿宋简体" w:hAnsi="方正仿宋简体" w:eastAsia="方正仿宋简体" w:cs="方正仿宋简体"/>
          <w:color w:val="000000"/>
          <w:sz w:val="32"/>
          <w:szCs w:val="32"/>
        </w:rPr>
        <w:t xml:space="preserve"> </w:t>
      </w:r>
      <w:r>
        <w:rPr>
          <w:rFonts w:hint="eastAsia" w:ascii="方正仿宋简体" w:hAnsi="方正仿宋简体" w:eastAsia="方正仿宋简体" w:cs="方正仿宋简体"/>
          <w:color w:val="333333"/>
          <w:sz w:val="32"/>
          <w:szCs w:val="32"/>
        </w:rPr>
        <w:t>住房保障支出</w:t>
      </w:r>
      <w:r>
        <w:rPr>
          <w:rStyle w:val="14"/>
          <w:rFonts w:hint="eastAsia" w:ascii="方正仿宋简体" w:hAnsi="方正仿宋简体" w:eastAsia="方正仿宋简体" w:cs="方正仿宋简体"/>
          <w:color w:val="000000"/>
          <w:sz w:val="32"/>
          <w:szCs w:val="32"/>
        </w:rPr>
        <w:t>（类）住房改革支出（款）住房公积金（项）: 支出决算为7.53万元，完成预算50.91%，决算数小于预算的原因是人员减少。</w:t>
      </w:r>
    </w:p>
    <w:p>
      <w:pPr>
        <w:tabs>
          <w:tab w:val="right" w:pos="8306"/>
        </w:tabs>
        <w:spacing w:line="600" w:lineRule="exact"/>
        <w:ind w:firstLine="640"/>
        <w:outlineLvl w:val="1"/>
        <w:rPr>
          <w:rStyle w:val="25"/>
        </w:rPr>
      </w:pPr>
      <w:bookmarkStart w:id="39" w:name="_Toc15377214"/>
      <w:bookmarkStart w:id="40" w:name="_Toc17103559"/>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9"/>
      <w:bookmarkEnd w:id="40"/>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9年一般公共预算财政拨款基本支出276.89万元，其中：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243.5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　　公用经费33.39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1" w:name="_Toc17103560"/>
      <w:bookmarkStart w:id="42"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1"/>
      <w:bookmarkEnd w:id="42"/>
    </w:p>
    <w:p>
      <w:pPr>
        <w:spacing w:line="600" w:lineRule="exact"/>
        <w:ind w:firstLine="640"/>
        <w:outlineLvl w:val="2"/>
        <w:rPr>
          <w:rFonts w:ascii="仿宋" w:hAnsi="仿宋" w:eastAsia="仿宋"/>
          <w:b/>
          <w:color w:val="000000"/>
          <w:sz w:val="32"/>
          <w:szCs w:val="32"/>
        </w:rPr>
      </w:pPr>
      <w:bookmarkStart w:id="43" w:name="_Toc15377216"/>
      <w:r>
        <w:rPr>
          <w:rFonts w:hint="eastAsia" w:ascii="仿宋" w:hAnsi="仿宋" w:eastAsia="仿宋"/>
          <w:b/>
          <w:color w:val="000000"/>
          <w:sz w:val="32"/>
          <w:szCs w:val="32"/>
        </w:rPr>
        <w:t>（一）“三公”经费财政拨款支出决算总体情况说明</w:t>
      </w:r>
      <w:bookmarkEnd w:id="43"/>
    </w:p>
    <w:p>
      <w:pPr>
        <w:spacing w:line="560" w:lineRule="exact"/>
        <w:ind w:firstLine="640" w:firstLineChars="200"/>
        <w:rPr>
          <w:rFonts w:ascii="方正仿宋简体" w:hAnsi="仿宋" w:eastAsia="仿宋_GB2312"/>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9年“三公”经费财政拨款支出决算为0.77万元，完成预算12.83</w:t>
      </w:r>
      <w:r>
        <w:rPr>
          <w:rFonts w:ascii="仿宋" w:hAnsi="仿宋" w:eastAsia="仿宋"/>
          <w:color w:val="000000"/>
          <w:sz w:val="32"/>
          <w:szCs w:val="32"/>
        </w:rPr>
        <w:t>%</w:t>
      </w:r>
      <w:r>
        <w:rPr>
          <w:rFonts w:hint="eastAsia" w:ascii="仿宋" w:hAnsi="仿宋" w:eastAsia="仿宋"/>
          <w:color w:val="000000"/>
          <w:sz w:val="32"/>
          <w:szCs w:val="32"/>
        </w:rPr>
        <w:t>，决算数小于预算数的主要原因</w:t>
      </w:r>
      <w:r>
        <w:rPr>
          <w:rFonts w:hint="eastAsia" w:ascii="方正仿宋简体" w:eastAsia="方正仿宋简体"/>
          <w:color w:val="333333"/>
          <w:sz w:val="32"/>
          <w:szCs w:val="32"/>
        </w:rPr>
        <w:t>认真贯彻落实中央八项规定及省、市十项规定要求，厉行节俭、反对浪费严格控制公务用车审批使用、公务接待标准及次数，减少费用支出。　</w:t>
      </w:r>
    </w:p>
    <w:p>
      <w:pPr>
        <w:spacing w:line="600" w:lineRule="exact"/>
        <w:ind w:firstLine="640"/>
        <w:outlineLvl w:val="2"/>
        <w:rPr>
          <w:rFonts w:ascii="仿宋" w:hAnsi="仿宋" w:eastAsia="仿宋"/>
          <w:b/>
          <w:color w:val="000000"/>
          <w:sz w:val="32"/>
          <w:szCs w:val="32"/>
        </w:rPr>
      </w:pPr>
      <w:bookmarkStart w:id="44" w:name="_Toc15377217"/>
      <w:r>
        <w:rPr>
          <w:rFonts w:hint="eastAsia" w:ascii="仿宋" w:hAnsi="仿宋" w:eastAsia="仿宋"/>
          <w:b/>
          <w:color w:val="000000"/>
          <w:sz w:val="32"/>
          <w:szCs w:val="32"/>
        </w:rPr>
        <w:t>（二）“三公”经费财政拨款支出决算具体情况说明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9年“三公”经费财政拨款支出决算中，因公出国（境）费支出决算0万元；公务用车购置及运行维护费支出决算0.03万元，占3.9</w:t>
      </w:r>
      <w:r>
        <w:rPr>
          <w:rFonts w:ascii="仿宋" w:hAnsi="仿宋" w:eastAsia="仿宋"/>
          <w:color w:val="000000"/>
          <w:sz w:val="32"/>
          <w:szCs w:val="32"/>
        </w:rPr>
        <w:t>%</w:t>
      </w:r>
      <w:r>
        <w:rPr>
          <w:rFonts w:hint="eastAsia" w:ascii="仿宋" w:hAnsi="仿宋" w:eastAsia="仿宋"/>
          <w:color w:val="000000"/>
          <w:sz w:val="32"/>
          <w:szCs w:val="32"/>
        </w:rPr>
        <w:t>；公务接待费支出决算0.74万元，占96.1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rPr>
          <w:rFonts w:ascii="仿宋" w:hAnsi="仿宋" w:eastAsia="仿宋"/>
          <w:color w:val="000000"/>
          <w:sz w:val="32"/>
          <w:szCs w:val="32"/>
        </w:rPr>
      </w:pPr>
      <w:r>
        <w:drawing>
          <wp:inline distT="0" distB="0" distL="0" distR="0">
            <wp:extent cx="4266565" cy="2809240"/>
            <wp:effectExtent l="0" t="0" r="63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2"/>
                    <a:stretch>
                      <a:fillRect/>
                    </a:stretch>
                  </pic:blipFill>
                  <pic:spPr>
                    <a:xfrm>
                      <a:off x="0" y="0"/>
                      <a:ext cx="4266667" cy="2809524"/>
                    </a:xfrm>
                    <a:prstGeom prst="rect">
                      <a:avLst/>
                    </a:prstGeom>
                  </pic:spPr>
                </pic:pic>
              </a:graphicData>
            </a:graphic>
          </wp:inline>
        </w:drawing>
      </w:r>
    </w:p>
    <w:p>
      <w:pPr>
        <w:spacing w:line="600" w:lineRule="exact"/>
        <w:rPr>
          <w:rFonts w:ascii="仿宋" w:hAnsi="仿宋" w:eastAsia="仿宋"/>
          <w:color w:val="000000"/>
          <w:sz w:val="32"/>
          <w:szCs w:val="32"/>
        </w:rPr>
      </w:pPr>
      <w:r>
        <w:drawing>
          <wp:inline distT="0" distB="0" distL="0" distR="0">
            <wp:extent cx="4191000" cy="2752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190476" cy="2752381"/>
                    </a:xfrm>
                    <a:prstGeom prst="rect">
                      <a:avLst/>
                    </a:prstGeom>
                  </pic:spPr>
                </pic:pic>
              </a:graphicData>
            </a:graphic>
          </wp:inline>
        </w:drawing>
      </w:r>
    </w:p>
    <w:p>
      <w:pPr>
        <w:spacing w:line="56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2019年未预算，无因公出国情况，因公出国（境）经费0万元。</w:t>
      </w:r>
    </w:p>
    <w:p>
      <w:pPr>
        <w:spacing w:line="560" w:lineRule="exact"/>
        <w:ind w:firstLine="643" w:firstLineChars="200"/>
        <w:rPr>
          <w:rFonts w:ascii="方正仿宋简体" w:eastAsia="方正仿宋简体"/>
          <w:color w:val="333333"/>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0.03万元,</w:t>
      </w:r>
      <w:r>
        <w:rPr>
          <w:rStyle w:val="14"/>
          <w:rFonts w:hint="eastAsia" w:ascii="仿宋" w:hAnsi="仿宋" w:eastAsia="仿宋"/>
          <w:b w:val="0"/>
          <w:bCs/>
          <w:color w:val="000000"/>
          <w:sz w:val="32"/>
          <w:szCs w:val="32"/>
        </w:rPr>
        <w:t>完成预算1</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8年减少1.31万元，下降97.41</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方正仿宋简体" w:eastAsia="方正仿宋简体"/>
          <w:color w:val="333333"/>
          <w:sz w:val="32"/>
          <w:szCs w:val="32"/>
        </w:rPr>
        <w:t>认真贯彻落实中央八项规定及省、市十项规定要求，严格控制公务用车使用减少费用支出。　　</w:t>
      </w:r>
    </w:p>
    <w:p>
      <w:pPr>
        <w:spacing w:line="560" w:lineRule="exact"/>
        <w:ind w:left="105" w:leftChars="50" w:firstLine="480" w:firstLineChars="15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0万元。全年未购置公务车。</w:t>
      </w:r>
    </w:p>
    <w:p>
      <w:pPr>
        <w:spacing w:line="560" w:lineRule="exact"/>
        <w:ind w:left="105" w:leftChars="50" w:firstLine="482" w:firstLineChars="150"/>
        <w:rPr>
          <w:rFonts w:ascii="方正仿宋简体" w:hAnsi="仿宋" w:eastAsia="方正仿宋简体"/>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0.03万元。主要</w:t>
      </w:r>
      <w:r>
        <w:rPr>
          <w:rFonts w:hint="eastAsia" w:ascii="方正仿宋简体" w:hAnsi="仿宋" w:eastAsia="方正仿宋简体"/>
          <w:sz w:val="32"/>
          <w:szCs w:val="32"/>
        </w:rPr>
        <w:t>用于开展农村土地确权颁证、农村“三资”管理、农民负担管理、新型经营主体培育、农村集体经济组织建设，产权制度改革等所需的公务用车燃料费、维修费、过路过桥费、保险费支出。</w:t>
      </w:r>
    </w:p>
    <w:p>
      <w:pPr>
        <w:spacing w:line="560" w:lineRule="exact"/>
        <w:ind w:firstLine="643" w:firstLineChars="200"/>
        <w:rPr>
          <w:rFonts w:ascii="方正仿宋简体" w:hAnsi="仿宋" w:eastAsia="仿宋_GB2312"/>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0.74万元，</w:t>
      </w:r>
      <w:r>
        <w:rPr>
          <w:rStyle w:val="14"/>
          <w:rFonts w:hint="eastAsia" w:ascii="仿宋" w:hAnsi="仿宋" w:eastAsia="仿宋"/>
          <w:b w:val="0"/>
          <w:bCs/>
          <w:color w:val="000000"/>
          <w:sz w:val="32"/>
          <w:szCs w:val="32"/>
        </w:rPr>
        <w:t>完成预算24.67</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8年增加0.43万元，增加121.17</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方正仿宋简体" w:eastAsia="方正仿宋简体"/>
          <w:color w:val="333333"/>
          <w:sz w:val="32"/>
          <w:szCs w:val="32"/>
        </w:rPr>
        <w:t>认真贯彻落实中央八项规定及省、市十项规定要求，根据要求接待，厉行节俭、节约开支。　　</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w:t>
      </w:r>
      <w:r>
        <w:rPr>
          <w:rFonts w:hint="eastAsia" w:ascii="仿宋_GB2312" w:eastAsia="仿宋_GB2312"/>
          <w:color w:val="000000"/>
          <w:sz w:val="32"/>
          <w:szCs w:val="32"/>
          <w:lang w:eastAsia="zh-CN"/>
        </w:rPr>
        <w:t>工作等</w:t>
      </w:r>
      <w:r>
        <w:rPr>
          <w:rFonts w:hint="eastAsia" w:ascii="仿宋_GB2312" w:eastAsia="仿宋_GB2312"/>
          <w:color w:val="000000"/>
          <w:sz w:val="32"/>
          <w:szCs w:val="32"/>
        </w:rPr>
        <w:t>开支的交通费、住宿费、用餐费等。国内公务接待13批次，129人次（不包括陪同人员），共计支出0.74万元。</w:t>
      </w: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，外事接待0批次，0人，2019年我局无外事接待情况。</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outlineLvl w:val="1"/>
        <w:rPr>
          <w:rStyle w:val="25"/>
          <w:rFonts w:ascii="黑体" w:hAnsi="黑体" w:eastAsia="黑体"/>
        </w:rPr>
      </w:pPr>
      <w:bookmarkStart w:id="45" w:name="_Toc17103561"/>
      <w:bookmarkStart w:id="46" w:name="_Toc1537721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5"/>
      <w:bookmarkEnd w:id="4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numPr>
          <w:ilvl w:val="0"/>
          <w:numId w:val="2"/>
        </w:numPr>
        <w:spacing w:line="600" w:lineRule="exact"/>
        <w:ind w:firstLine="640"/>
        <w:outlineLvl w:val="1"/>
        <w:rPr>
          <w:rStyle w:val="25"/>
          <w:rFonts w:ascii="黑体" w:hAnsi="黑体" w:eastAsia="黑体"/>
          <w:b w:val="0"/>
        </w:rPr>
      </w:pPr>
      <w:bookmarkStart w:id="47" w:name="_Toc15377219"/>
      <w:bookmarkStart w:id="48" w:name="_Toc17103562"/>
      <w:r>
        <w:rPr>
          <w:rStyle w:val="25"/>
          <w:rFonts w:hint="eastAsia" w:ascii="黑体" w:hAnsi="黑体" w:eastAsia="黑体"/>
          <w:b w:val="0"/>
        </w:rPr>
        <w:t>国有资本经营预算支出决算情况说明</w:t>
      </w:r>
      <w:bookmarkEnd w:id="47"/>
      <w:bookmarkEnd w:id="4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9年国有资本经营预算拨款支出0元。</w:t>
      </w:r>
    </w:p>
    <w:p>
      <w:pPr>
        <w:pStyle w:val="23"/>
        <w:numPr>
          <w:ilvl w:val="0"/>
          <w:numId w:val="3"/>
        </w:numPr>
        <w:spacing w:line="580" w:lineRule="exact"/>
        <w:ind w:firstLineChars="0"/>
        <w:rPr>
          <w:rStyle w:val="25"/>
          <w:rFonts w:ascii="黑体" w:hAnsi="黑体" w:eastAsia="黑体"/>
          <w:b w:val="0"/>
        </w:rPr>
      </w:pPr>
      <w:bookmarkStart w:id="49" w:name="_Toc17103563"/>
      <w:r>
        <w:rPr>
          <w:rStyle w:val="25"/>
          <w:rFonts w:hint="eastAsia" w:ascii="黑体" w:hAnsi="黑体" w:eastAsia="黑体"/>
          <w:b w:val="0"/>
        </w:rPr>
        <w:t>预算绩效情况说明</w:t>
      </w:r>
      <w:bookmarkEnd w:id="49"/>
    </w:p>
    <w:p>
      <w:pPr>
        <w:spacing w:line="580" w:lineRule="exact"/>
        <w:ind w:left="643"/>
        <w:rPr>
          <w:rFonts w:ascii="仿宋" w:hAnsi="仿宋" w:eastAsia="仿宋" w:cs="楷体_GB2312"/>
          <w:b/>
          <w:bCs/>
          <w:sz w:val="32"/>
          <w:szCs w:val="32"/>
        </w:rPr>
      </w:pPr>
      <w:r>
        <w:rPr>
          <w:rFonts w:hint="eastAsia" w:ascii="仿宋" w:hAnsi="仿宋" w:eastAsia="仿宋" w:cs="楷体_GB2312"/>
          <w:b/>
          <w:bCs/>
          <w:sz w:val="32"/>
          <w:szCs w:val="32"/>
        </w:rPr>
        <w:t>（一）预算绩效管理工作开展情况。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3个项目开展了预算事前绩效评估，对3个项目编制了绩效目标，预算执行过程中，选取3个项目开展绩效监控，年终执行完毕后，对3个项目开展了绩效目标完成情况梳理填报。</w:t>
      </w:r>
    </w:p>
    <w:p>
      <w:pPr>
        <w:pStyle w:val="29"/>
        <w:widowControl w:val="0"/>
        <w:spacing w:line="600" w:lineRule="exact"/>
        <w:ind w:firstLine="640"/>
        <w:rPr>
          <w:rFonts w:eastAsia="方正仿宋简体"/>
          <w:szCs w:val="32"/>
        </w:rPr>
      </w:pPr>
      <w:r>
        <w:rPr>
          <w:rFonts w:hint="eastAsia" w:ascii="仿宋_GB2312" w:hAnsi="仿宋_GB2312" w:eastAsia="仿宋_GB2312" w:cs="仿宋_GB2312"/>
          <w:szCs w:val="32"/>
        </w:rPr>
        <w:t>本部门按要求对2019年部门整体支出开展绩效自评，从评价情况来看</w:t>
      </w:r>
      <w:r>
        <w:rPr>
          <w:rFonts w:eastAsia="方正仿宋简体"/>
          <w:szCs w:val="32"/>
        </w:rPr>
        <w:t>201</w:t>
      </w:r>
      <w:r>
        <w:rPr>
          <w:rFonts w:hint="eastAsia" w:eastAsia="方正仿宋简体"/>
          <w:szCs w:val="32"/>
        </w:rPr>
        <w:t>9</w:t>
      </w:r>
      <w:r>
        <w:rPr>
          <w:rFonts w:eastAsia="方正仿宋简体"/>
          <w:szCs w:val="32"/>
        </w:rPr>
        <w:t>年以来，我局认真贯彻落实党的十九大精神、区委</w:t>
      </w:r>
      <w:r>
        <w:rPr>
          <w:rFonts w:hint="eastAsia" w:eastAsia="方正仿宋简体"/>
          <w:szCs w:val="32"/>
        </w:rPr>
        <w:t>五</w:t>
      </w:r>
      <w:r>
        <w:rPr>
          <w:rFonts w:eastAsia="方正仿宋简体"/>
          <w:szCs w:val="32"/>
        </w:rPr>
        <w:t>届</w:t>
      </w:r>
      <w:r>
        <w:rPr>
          <w:rFonts w:hint="eastAsia" w:eastAsia="方正仿宋简体"/>
          <w:szCs w:val="32"/>
        </w:rPr>
        <w:t>四</w:t>
      </w:r>
      <w:r>
        <w:rPr>
          <w:rFonts w:eastAsia="方正仿宋简体"/>
          <w:szCs w:val="32"/>
        </w:rPr>
        <w:t>次、区政府五届三次全会精神和区委</w:t>
      </w:r>
      <w:r>
        <w:rPr>
          <w:rFonts w:hint="eastAsia" w:eastAsia="方正仿宋简体"/>
          <w:szCs w:val="32"/>
          <w:lang w:eastAsia="zh-CN"/>
        </w:rPr>
        <w:t>、</w:t>
      </w:r>
      <w:r>
        <w:rPr>
          <w:rFonts w:eastAsia="方正仿宋简体"/>
          <w:szCs w:val="32"/>
        </w:rPr>
        <w:t>区政府关于农业农村工作的总体部署，紧紧围绕</w:t>
      </w:r>
      <w:r>
        <w:rPr>
          <w:rFonts w:eastAsia="仿宋"/>
          <w:szCs w:val="32"/>
        </w:rPr>
        <w:t>201</w:t>
      </w:r>
      <w:r>
        <w:rPr>
          <w:rFonts w:hint="eastAsia" w:eastAsia="仿宋"/>
          <w:szCs w:val="32"/>
        </w:rPr>
        <w:t>9</w:t>
      </w:r>
      <w:r>
        <w:rPr>
          <w:rFonts w:eastAsia="仿宋"/>
          <w:szCs w:val="32"/>
        </w:rPr>
        <w:t>年雁江区《政府工作报告》政务目标及资阳市农业局下达的201</w:t>
      </w:r>
      <w:r>
        <w:rPr>
          <w:rFonts w:hint="eastAsia" w:eastAsia="仿宋"/>
          <w:szCs w:val="32"/>
        </w:rPr>
        <w:t>9</w:t>
      </w:r>
      <w:r>
        <w:rPr>
          <w:rFonts w:eastAsia="仿宋"/>
          <w:szCs w:val="32"/>
        </w:rPr>
        <w:t>年农业目标任务，</w:t>
      </w:r>
      <w:r>
        <w:rPr>
          <w:rFonts w:eastAsia="方正仿宋简体"/>
          <w:szCs w:val="32"/>
        </w:rPr>
        <w:t>大力实施乡村振兴战略，探索</w:t>
      </w:r>
      <w:r>
        <w:rPr>
          <w:rFonts w:hint="eastAsia" w:ascii="方正仿宋简体" w:hAnsi="方正仿宋简体" w:eastAsia="方正仿宋简体" w:cs="方正仿宋简体"/>
          <w:szCs w:val="32"/>
        </w:rPr>
        <w:t>“三权分置”</w:t>
      </w:r>
      <w:r>
        <w:rPr>
          <w:rFonts w:eastAsia="方正仿宋简体"/>
          <w:szCs w:val="32"/>
        </w:rPr>
        <w:t>有效形式，积极启动农村集体产权制度改革，全面完成农村集体资产清产核资工作，着力探索集体经济发展新模式，全力打赢脱贫攻坚战，较好完成了本年目标任务</w:t>
      </w:r>
    </w:p>
    <w:p>
      <w:pPr>
        <w:spacing w:line="580" w:lineRule="exact"/>
        <w:ind w:firstLine="482" w:firstLineChars="150"/>
        <w:rPr>
          <w:rFonts w:ascii="仿宋" w:hAnsi="仿宋" w:eastAsia="仿宋" w:cs="仿宋_GB2312"/>
          <w:sz w:val="32"/>
          <w:szCs w:val="32"/>
        </w:rPr>
      </w:pPr>
      <w:r>
        <w:rPr>
          <w:rFonts w:hint="eastAsia" w:ascii="仿宋" w:hAnsi="仿宋" w:eastAsia="仿宋" w:cs="楷体_GB2312"/>
          <w:b/>
          <w:bCs/>
          <w:sz w:val="32"/>
          <w:szCs w:val="32"/>
        </w:rPr>
        <w:t>（二）部门开展绩效评价结果。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因为区农经局年初预算未编制达50万元以上的项目，所以就未开展项目预算事前绩效评估，也未对项目编制绩效目标。</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本部门按要求对2019年部门整体支出绩效评价情况开展自评，《区农经局2019年部门整体支出绩效评价报告》见附件。</w:t>
      </w:r>
    </w:p>
    <w:p>
      <w:pPr>
        <w:spacing w:line="560" w:lineRule="exact"/>
        <w:ind w:firstLine="800" w:firstLineChars="250"/>
        <w:outlineLvl w:val="1"/>
        <w:rPr>
          <w:rStyle w:val="25"/>
          <w:rFonts w:ascii="黑体" w:hAnsi="黑体" w:eastAsia="黑体"/>
        </w:rPr>
      </w:pPr>
      <w:bookmarkStart w:id="50" w:name="_Toc15377221"/>
      <w:bookmarkStart w:id="51" w:name="_Toc17103564"/>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56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9年，区农经局机关运行经费支出33.39万元，比</w:t>
      </w:r>
      <w:r>
        <w:rPr>
          <w:rFonts w:ascii="仿宋_GB2312" w:eastAsia="仿宋_GB2312"/>
          <w:color w:val="000000"/>
          <w:sz w:val="32"/>
          <w:szCs w:val="32"/>
        </w:rPr>
        <w:t>201</w:t>
      </w:r>
      <w:r>
        <w:rPr>
          <w:rFonts w:hint="eastAsia" w:ascii="仿宋_GB2312" w:eastAsia="仿宋_GB2312"/>
          <w:color w:val="000000"/>
          <w:sz w:val="32"/>
          <w:szCs w:val="32"/>
        </w:rPr>
        <w:t>8年减少8.87万元，减少20.99</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sz w:val="32"/>
          <w:szCs w:val="32"/>
        </w:rPr>
        <w:t>一般公用经费压缩及财政吃紧。</w:t>
      </w:r>
    </w:p>
    <w:p>
      <w:pPr>
        <w:autoSpaceDE w:val="0"/>
        <w:autoSpaceDN w:val="0"/>
        <w:adjustRightInd w:val="0"/>
        <w:spacing w:line="56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2019年度，区农经局未进行政府采购，支出总额0万元。</w:t>
      </w:r>
    </w:p>
    <w:p>
      <w:pPr>
        <w:autoSpaceDE w:val="0"/>
        <w:autoSpaceDN w:val="0"/>
        <w:adjustRightInd w:val="0"/>
        <w:spacing w:line="56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日，区农经局公有车辆0辆，现有一般公务用车0辆。</w:t>
      </w:r>
    </w:p>
    <w:p>
      <w:pPr>
        <w:numPr>
          <w:ilvl w:val="0"/>
          <w:numId w:val="4"/>
        </w:numPr>
        <w:spacing w:line="600" w:lineRule="exact"/>
        <w:ind w:firstLine="663" w:firstLineChars="150"/>
        <w:jc w:val="center"/>
        <w:outlineLvl w:val="0"/>
        <w:rPr>
          <w:rStyle w:val="24"/>
          <w:rFonts w:ascii="黑体" w:hAnsi="黑体" w:eastAsia="黑体"/>
          <w:b w:val="0"/>
        </w:rPr>
      </w:pPr>
      <w:bookmarkStart w:id="55" w:name="_Toc15377225"/>
      <w:bookmarkStart w:id="56" w:name="_Toc17103565"/>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2.事业收入：指事业单位开展专业业务活动及辅助活动所取得的收入。</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3.经营收入：指事业单位在专业业务活动及其辅助活动之外开展非独立核算经营活动取得的收入。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4.其他收入：指除上述“财政拨款收入”、“事业收入”、“经营收入”等以外的收入。</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6.年初结转和结余：指以前年度尚未完成、结转到本年按有关规定继续使用的资金。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7.结余分配：指事业单位按照事业单位会计制度的规定从非财政补助结余中分配的事业基金和职工福利基金等。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8、年末结转和结余：指单位按有关规定结转到下年或以后年度继续使用的资金。</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9.社会保障和就业支出（类）行政事业单位离退休（款）事业单位离退休（项）：指实行归口管理的事业单位开支的离退休经费；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10.社会保障和就业支出（类）行政事业单位离退休（款）机关事业单位基本养老保险缴费支出(项)：指支付对职工基本养老保险的补助支出。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11.农林水支出（类）农业（款）行政运行（项）：指行政单位（包括实行按公务员法管理的参公事业单位）的基本支出；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12.农林水支出（类）农业（款）一般行政管理事务（项）：指行政单位（包括实行按公务员法管理的参公事业单位）未单独设置项级科目的其他项目支出；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13.农林水支出（类）农业（款）其他农业支出（项）：指政府用于其他农业方面未单独设置项级科目的其他项目支出。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14.住房保障支出（类）政府改革支出（款）住房公积金（项）：指行政事业单位按人力资源和社会保障部、财政部规定的基本工资和津贴补贴以及规定比例为职工缴纳的住房公积金。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outlineLvl w:val="0"/>
        <w:rPr>
          <w:rFonts w:ascii="黑体" w:hAnsi="黑体" w:eastAsia="黑体"/>
          <w:color w:val="000000"/>
          <w:sz w:val="44"/>
          <w:szCs w:val="44"/>
        </w:rPr>
      </w:pPr>
      <w:bookmarkStart w:id="57" w:name="_Toc17103566"/>
      <w:bookmarkStart w:id="58" w:name="_Toc15377226"/>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四部分 附件</w:t>
      </w:r>
      <w:bookmarkEnd w:id="57"/>
    </w:p>
    <w:p>
      <w:pPr>
        <w:spacing w:line="600" w:lineRule="exact"/>
        <w:jc w:val="center"/>
        <w:outlineLvl w:val="0"/>
        <w:rPr>
          <w:rStyle w:val="24"/>
        </w:rPr>
      </w:pPr>
    </w:p>
    <w:p>
      <w:pPr>
        <w:pStyle w:val="3"/>
        <w:spacing w:before="0" w:after="0"/>
        <w:rPr>
          <w:rStyle w:val="24"/>
          <w:rFonts w:ascii="仿宋" w:hAnsi="仿宋" w:eastAsia="仿宋"/>
          <w:b w:val="0"/>
          <w:bCs w:val="0"/>
          <w:sz w:val="32"/>
          <w:szCs w:val="32"/>
        </w:rPr>
      </w:pPr>
      <w:bookmarkStart w:id="59" w:name="_Toc17103567"/>
      <w:r>
        <w:rPr>
          <w:rStyle w:val="24"/>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bookmarkStart w:id="61" w:name="_Toc17103568"/>
      <w:r>
        <w:rPr>
          <w:rFonts w:hint="eastAsia" w:ascii="黑体" w:hAnsi="黑体" w:eastAsia="黑体" w:cs="方正小标宋简体"/>
          <w:sz w:val="36"/>
          <w:szCs w:val="36"/>
        </w:rPr>
        <w:t>区农经局2019年部门整体支出绩效评价报告</w:t>
      </w:r>
      <w:bookmarkEnd w:id="60"/>
      <w:bookmarkEnd w:id="61"/>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widowControl/>
        <w:adjustRightInd w:val="0"/>
        <w:snapToGrid w:val="0"/>
        <w:spacing w:line="600" w:lineRule="exact"/>
        <w:ind w:firstLine="720"/>
        <w:jc w:val="left"/>
        <w:rPr>
          <w:color w:val="000000"/>
          <w:kern w:val="0"/>
          <w:sz w:val="32"/>
          <w:szCs w:val="32"/>
          <w:lang w:val="zh-CN"/>
        </w:rPr>
      </w:pPr>
      <w:r>
        <w:rPr>
          <w:rFonts w:eastAsia="方正楷体简体"/>
          <w:b/>
          <w:bCs/>
          <w:color w:val="000000"/>
          <w:kern w:val="0"/>
          <w:sz w:val="32"/>
          <w:szCs w:val="32"/>
          <w:lang w:val="zh-CN"/>
        </w:rPr>
        <w:t>（一）机构组成。</w:t>
      </w:r>
      <w:r>
        <w:rPr>
          <w:rFonts w:eastAsia="仿宋_GB2312"/>
          <w:color w:val="000000"/>
          <w:sz w:val="32"/>
          <w:szCs w:val="32"/>
        </w:rPr>
        <w:t>资阳市雁江区农经管理局是独立核算的一级预算事业单位，</w:t>
      </w:r>
      <w:r>
        <w:rPr>
          <w:rFonts w:eastAsia="方正仿宋简体"/>
          <w:color w:val="333333"/>
          <w:sz w:val="32"/>
          <w:szCs w:val="32"/>
        </w:rPr>
        <w:t>无下属二级预算单位。</w:t>
      </w:r>
    </w:p>
    <w:p>
      <w:pPr>
        <w:spacing w:line="600" w:lineRule="exact"/>
        <w:ind w:firstLine="643" w:firstLineChars="200"/>
        <w:rPr>
          <w:color w:val="000000"/>
          <w:kern w:val="0"/>
          <w:sz w:val="32"/>
          <w:szCs w:val="32"/>
          <w:lang w:val="zh-CN"/>
        </w:rPr>
      </w:pPr>
      <w:r>
        <w:rPr>
          <w:rFonts w:eastAsia="方正楷体简体"/>
          <w:b/>
          <w:bCs/>
          <w:color w:val="000000"/>
          <w:kern w:val="0"/>
          <w:sz w:val="32"/>
          <w:szCs w:val="32"/>
          <w:lang w:val="zh-CN"/>
        </w:rPr>
        <w:t>（二）机构职能。</w:t>
      </w:r>
      <w:r>
        <w:rPr>
          <w:rFonts w:eastAsia="方正仿宋简体"/>
          <w:color w:val="333333"/>
          <w:sz w:val="32"/>
          <w:szCs w:val="32"/>
        </w:rPr>
        <w:t>资阳市雁江区农经管理局是贯彻执行</w:t>
      </w:r>
      <w:r>
        <w:rPr>
          <w:rFonts w:eastAsia="方正仿宋简体"/>
          <w:sz w:val="32"/>
          <w:szCs w:val="32"/>
        </w:rPr>
        <w:t>农村基本经营制度，实施农村土地承包管理、农民负担监督管理、农村集体财务和资产管理“三大管理”；指导农业产业化经营、指导新型农业经营主体发展、健全农业社会化服务体系的“三项指导”和农村经济统计“一个基础”职能。</w:t>
      </w:r>
    </w:p>
    <w:p>
      <w:pPr>
        <w:spacing w:line="600" w:lineRule="exact"/>
        <w:ind w:firstLine="643" w:firstLineChars="200"/>
        <w:rPr>
          <w:color w:val="000000"/>
          <w:kern w:val="0"/>
          <w:sz w:val="32"/>
          <w:szCs w:val="32"/>
          <w:lang w:val="zh-CN"/>
        </w:rPr>
      </w:pPr>
      <w:r>
        <w:rPr>
          <w:rFonts w:eastAsia="方正楷体简体"/>
          <w:b/>
          <w:bCs/>
          <w:color w:val="000000"/>
          <w:kern w:val="0"/>
          <w:sz w:val="32"/>
          <w:szCs w:val="32"/>
          <w:lang w:val="zh-CN"/>
        </w:rPr>
        <w:t>（三）人员概况。</w:t>
      </w:r>
      <w:r>
        <w:rPr>
          <w:rFonts w:eastAsia="仿宋_GB2312"/>
          <w:color w:val="000000"/>
          <w:sz w:val="32"/>
          <w:szCs w:val="32"/>
        </w:rPr>
        <w:t>资阳市雁江区农经管理局是独立核算的一级预算事业单位，人员编制共</w:t>
      </w:r>
      <w:r>
        <w:rPr>
          <w:color w:val="000000"/>
          <w:sz w:val="32"/>
          <w:szCs w:val="32"/>
        </w:rPr>
        <w:t>1</w:t>
      </w:r>
      <w:r>
        <w:rPr>
          <w:rFonts w:hint="eastAsia"/>
          <w:color w:val="000000"/>
          <w:sz w:val="32"/>
          <w:szCs w:val="32"/>
        </w:rPr>
        <w:t>7</w:t>
      </w:r>
      <w:r>
        <w:rPr>
          <w:rFonts w:eastAsia="仿宋_GB2312"/>
          <w:color w:val="000000"/>
          <w:sz w:val="32"/>
          <w:szCs w:val="32"/>
        </w:rPr>
        <w:t>人,实有在职职工人数</w:t>
      </w:r>
      <w:r>
        <w:rPr>
          <w:rFonts w:hint="eastAsia"/>
          <w:color w:val="000000"/>
          <w:sz w:val="32"/>
          <w:szCs w:val="32"/>
        </w:rPr>
        <w:t>13</w:t>
      </w:r>
      <w:r>
        <w:rPr>
          <w:rFonts w:eastAsia="仿宋_GB2312"/>
          <w:color w:val="000000"/>
          <w:sz w:val="32"/>
          <w:szCs w:val="32"/>
        </w:rPr>
        <w:t>人,退休人员</w:t>
      </w:r>
      <w:r>
        <w:rPr>
          <w:color w:val="000000"/>
          <w:sz w:val="32"/>
          <w:szCs w:val="32"/>
        </w:rPr>
        <w:t>2</w:t>
      </w:r>
      <w:r>
        <w:rPr>
          <w:rFonts w:hint="eastAsia"/>
          <w:color w:val="000000"/>
          <w:sz w:val="32"/>
          <w:szCs w:val="32"/>
        </w:rPr>
        <w:t>5</w:t>
      </w:r>
      <w:r>
        <w:rPr>
          <w:rFonts w:eastAsia="仿宋_GB2312"/>
          <w:color w:val="000000"/>
          <w:sz w:val="32"/>
          <w:szCs w:val="32"/>
        </w:rPr>
        <w:t>人，</w:t>
      </w:r>
      <w:r>
        <w:rPr>
          <w:color w:val="000000"/>
          <w:sz w:val="32"/>
          <w:szCs w:val="32"/>
        </w:rPr>
        <w:t>遗属</w:t>
      </w:r>
      <w:r>
        <w:rPr>
          <w:rFonts w:eastAsia="仿宋_GB2312"/>
          <w:color w:val="000000"/>
          <w:sz w:val="32"/>
          <w:szCs w:val="32"/>
        </w:rPr>
        <w:t>人员</w:t>
      </w:r>
      <w:r>
        <w:rPr>
          <w:rFonts w:hint="eastAsia"/>
          <w:color w:val="000000"/>
          <w:sz w:val="32"/>
          <w:szCs w:val="32"/>
        </w:rPr>
        <w:t>15</w:t>
      </w:r>
      <w:r>
        <w:rPr>
          <w:rFonts w:eastAsia="仿宋_GB2312"/>
          <w:color w:val="000000"/>
          <w:sz w:val="32"/>
          <w:szCs w:val="32"/>
        </w:rPr>
        <w:t>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widowControl/>
        <w:adjustRightInd w:val="0"/>
        <w:snapToGrid w:val="0"/>
        <w:spacing w:line="600" w:lineRule="exact"/>
        <w:ind w:firstLine="643" w:firstLineChars="200"/>
        <w:jc w:val="left"/>
        <w:rPr>
          <w:sz w:val="32"/>
          <w:szCs w:val="32"/>
        </w:rPr>
      </w:pPr>
      <w:r>
        <w:rPr>
          <w:rFonts w:eastAsia="方正楷体简体"/>
          <w:b/>
          <w:bCs/>
          <w:color w:val="000000"/>
          <w:kern w:val="0"/>
          <w:sz w:val="32"/>
          <w:szCs w:val="32"/>
          <w:lang w:val="zh-CN"/>
        </w:rPr>
        <w:t>（一）部门财政资金收入情况。</w:t>
      </w:r>
      <w:r>
        <w:rPr>
          <w:color w:val="000000"/>
          <w:kern w:val="0"/>
          <w:sz w:val="32"/>
          <w:szCs w:val="32"/>
        </w:rPr>
        <w:t>201</w:t>
      </w:r>
      <w:r>
        <w:rPr>
          <w:rFonts w:hint="eastAsia"/>
          <w:color w:val="000000"/>
          <w:kern w:val="0"/>
          <w:sz w:val="32"/>
          <w:szCs w:val="32"/>
        </w:rPr>
        <w:t>9</w:t>
      </w:r>
      <w:r>
        <w:rPr>
          <w:color w:val="000000"/>
          <w:kern w:val="0"/>
          <w:sz w:val="32"/>
          <w:szCs w:val="32"/>
        </w:rPr>
        <w:t>年区农经局部门财政收入</w:t>
      </w:r>
      <w:r>
        <w:rPr>
          <w:rFonts w:hint="eastAsia" w:ascii="宋体" w:hAnsi="宋体" w:eastAsia="方正仿宋简体"/>
          <w:sz w:val="32"/>
          <w:szCs w:val="32"/>
        </w:rPr>
        <w:t>582.92</w:t>
      </w:r>
      <w:r>
        <w:rPr>
          <w:color w:val="000000"/>
          <w:kern w:val="0"/>
          <w:sz w:val="32"/>
          <w:szCs w:val="32"/>
        </w:rPr>
        <w:t>万元，</w:t>
      </w:r>
      <w:r>
        <w:rPr>
          <w:rFonts w:hint="eastAsia"/>
          <w:color w:val="000000"/>
          <w:kern w:val="0"/>
          <w:sz w:val="32"/>
          <w:szCs w:val="32"/>
        </w:rPr>
        <w:t>一般财政拨款收入</w:t>
      </w:r>
      <w:r>
        <w:rPr>
          <w:rFonts w:hint="eastAsia" w:ascii="宋体" w:hAnsi="宋体" w:eastAsia="方正仿宋简体"/>
          <w:sz w:val="32"/>
          <w:szCs w:val="32"/>
        </w:rPr>
        <w:t>582.92</w:t>
      </w:r>
      <w:r>
        <w:rPr>
          <w:rFonts w:hint="eastAsia"/>
          <w:color w:val="000000"/>
          <w:kern w:val="0"/>
          <w:sz w:val="32"/>
          <w:szCs w:val="32"/>
        </w:rPr>
        <w:t>万元，占收入</w:t>
      </w:r>
      <w:r>
        <w:rPr>
          <w:rFonts w:hint="eastAsia" w:ascii="宋体" w:hAnsi="宋体" w:eastAsia="方正仿宋简体"/>
          <w:sz w:val="32"/>
          <w:szCs w:val="32"/>
        </w:rPr>
        <w:t>100</w:t>
      </w:r>
      <w:r>
        <w:rPr>
          <w:rFonts w:hint="eastAsia"/>
          <w:color w:val="000000"/>
          <w:kern w:val="0"/>
          <w:sz w:val="32"/>
          <w:szCs w:val="32"/>
        </w:rPr>
        <w:t>%，</w:t>
      </w:r>
      <w:r>
        <w:rPr>
          <w:color w:val="000000"/>
          <w:kern w:val="0"/>
          <w:sz w:val="32"/>
          <w:szCs w:val="32"/>
        </w:rPr>
        <w:t>其中</w:t>
      </w:r>
      <w:r>
        <w:rPr>
          <w:sz w:val="32"/>
          <w:szCs w:val="32"/>
        </w:rPr>
        <w:t>年初</w:t>
      </w:r>
      <w:r>
        <w:rPr>
          <w:rFonts w:eastAsia="仿宋_GB2312"/>
          <w:sz w:val="32"/>
          <w:szCs w:val="32"/>
        </w:rPr>
        <w:t>结转</w:t>
      </w:r>
      <w:r>
        <w:rPr>
          <w:sz w:val="32"/>
          <w:szCs w:val="32"/>
        </w:rPr>
        <w:t>和结余</w:t>
      </w:r>
      <w:r>
        <w:rPr>
          <w:rFonts w:hint="eastAsia" w:ascii="宋体" w:hAnsi="宋体" w:eastAsia="方正仿宋简体"/>
          <w:sz w:val="32"/>
          <w:szCs w:val="32"/>
        </w:rPr>
        <w:t>307.27</w:t>
      </w:r>
      <w:r>
        <w:rPr>
          <w:sz w:val="32"/>
          <w:szCs w:val="32"/>
        </w:rPr>
        <w:t>万元，</w:t>
      </w:r>
      <w:r>
        <w:rPr>
          <w:color w:val="000000"/>
          <w:sz w:val="32"/>
          <w:szCs w:val="32"/>
        </w:rPr>
        <w:t>本年收入</w:t>
      </w:r>
      <w:r>
        <w:rPr>
          <w:rFonts w:hint="eastAsia" w:ascii="宋体" w:hAnsi="宋体" w:eastAsia="方正仿宋简体"/>
          <w:sz w:val="32"/>
          <w:szCs w:val="32"/>
        </w:rPr>
        <w:t>582.92</w:t>
      </w:r>
      <w:r>
        <w:rPr>
          <w:sz w:val="32"/>
          <w:szCs w:val="32"/>
        </w:rPr>
        <w:t>万元；</w:t>
      </w:r>
    </w:p>
    <w:p>
      <w:pPr>
        <w:widowControl/>
        <w:adjustRightInd w:val="0"/>
        <w:snapToGrid w:val="0"/>
        <w:spacing w:line="600" w:lineRule="exact"/>
        <w:ind w:firstLine="643" w:firstLineChars="200"/>
        <w:jc w:val="left"/>
        <w:rPr>
          <w:rFonts w:eastAsia="仿宋_GB2312"/>
          <w:sz w:val="32"/>
          <w:szCs w:val="32"/>
        </w:rPr>
      </w:pPr>
      <w:r>
        <w:rPr>
          <w:rFonts w:eastAsia="方正楷体简体"/>
          <w:b/>
          <w:bCs/>
          <w:color w:val="000000"/>
          <w:kern w:val="0"/>
          <w:sz w:val="32"/>
          <w:szCs w:val="32"/>
          <w:lang w:val="zh-CN"/>
        </w:rPr>
        <w:t>（二）部门财政资金支出情况。</w:t>
      </w:r>
      <w:r>
        <w:rPr>
          <w:rFonts w:eastAsia="方正仿宋简体"/>
          <w:sz w:val="32"/>
          <w:szCs w:val="32"/>
        </w:rPr>
        <w:t>201</w:t>
      </w:r>
      <w:r>
        <w:rPr>
          <w:rFonts w:hint="eastAsia" w:eastAsia="方正仿宋简体"/>
          <w:sz w:val="32"/>
          <w:szCs w:val="32"/>
        </w:rPr>
        <w:t>9</w:t>
      </w:r>
      <w:r>
        <w:rPr>
          <w:rFonts w:eastAsia="方正仿宋简体"/>
          <w:sz w:val="32"/>
          <w:szCs w:val="32"/>
        </w:rPr>
        <w:t>年部门财政</w:t>
      </w:r>
      <w:r>
        <w:rPr>
          <w:rFonts w:hint="eastAsia" w:eastAsia="方正仿宋简体"/>
          <w:sz w:val="32"/>
          <w:szCs w:val="32"/>
        </w:rPr>
        <w:t>资金</w:t>
      </w:r>
      <w:r>
        <w:rPr>
          <w:rFonts w:eastAsia="方正仿宋简体"/>
          <w:sz w:val="32"/>
          <w:szCs w:val="32"/>
        </w:rPr>
        <w:t>支出</w:t>
      </w:r>
      <w:r>
        <w:rPr>
          <w:rFonts w:hint="eastAsia" w:ascii="宋体" w:hAnsi="宋体" w:eastAsia="方正仿宋简体"/>
          <w:sz w:val="32"/>
          <w:szCs w:val="32"/>
        </w:rPr>
        <w:t>394.7</w:t>
      </w:r>
      <w:r>
        <w:rPr>
          <w:rFonts w:eastAsia="方正仿宋简体"/>
          <w:sz w:val="32"/>
          <w:szCs w:val="32"/>
        </w:rPr>
        <w:t>万元，</w:t>
      </w:r>
      <w:r>
        <w:rPr>
          <w:rFonts w:hint="eastAsia"/>
          <w:color w:val="000000"/>
          <w:kern w:val="0"/>
          <w:sz w:val="32"/>
          <w:szCs w:val="32"/>
        </w:rPr>
        <w:t>一般财政拨款支出</w:t>
      </w:r>
      <w:r>
        <w:rPr>
          <w:rFonts w:hint="eastAsia" w:ascii="宋体" w:hAnsi="宋体" w:eastAsia="方正仿宋简体"/>
          <w:sz w:val="32"/>
          <w:szCs w:val="32"/>
        </w:rPr>
        <w:t>394.7</w:t>
      </w:r>
      <w:r>
        <w:rPr>
          <w:rFonts w:hint="eastAsia"/>
          <w:color w:val="000000"/>
          <w:kern w:val="0"/>
          <w:sz w:val="32"/>
          <w:szCs w:val="32"/>
        </w:rPr>
        <w:t>万元，占支出100%。</w:t>
      </w:r>
      <w:r>
        <w:rPr>
          <w:rFonts w:eastAsia="方正仿宋简体"/>
          <w:sz w:val="32"/>
          <w:szCs w:val="32"/>
        </w:rPr>
        <w:t>按支出性质，其中基本支出</w:t>
      </w:r>
      <w:r>
        <w:rPr>
          <w:rFonts w:ascii="宋体" w:hAnsi="宋体" w:eastAsia="方正仿宋简体"/>
          <w:sz w:val="32"/>
          <w:szCs w:val="32"/>
        </w:rPr>
        <w:t>276.</w:t>
      </w:r>
      <w:r>
        <w:rPr>
          <w:rFonts w:hint="eastAsia" w:ascii="宋体" w:hAnsi="宋体" w:eastAsia="方正仿宋简体"/>
          <w:sz w:val="32"/>
          <w:szCs w:val="32"/>
        </w:rPr>
        <w:t>89</w:t>
      </w:r>
      <w:r>
        <w:rPr>
          <w:rFonts w:eastAsia="方正仿宋简体"/>
          <w:sz w:val="32"/>
          <w:szCs w:val="32"/>
        </w:rPr>
        <w:t>万元，包括人员经费</w:t>
      </w:r>
      <w:r>
        <w:rPr>
          <w:rFonts w:ascii="宋体" w:hAnsi="宋体" w:eastAsia="方正仿宋简体"/>
          <w:sz w:val="32"/>
          <w:szCs w:val="32"/>
        </w:rPr>
        <w:t>2</w:t>
      </w:r>
      <w:r>
        <w:rPr>
          <w:rFonts w:hint="eastAsia" w:ascii="宋体" w:hAnsi="宋体" w:eastAsia="方正仿宋简体"/>
          <w:sz w:val="32"/>
          <w:szCs w:val="32"/>
        </w:rPr>
        <w:t>43.5</w:t>
      </w:r>
      <w:r>
        <w:rPr>
          <w:rFonts w:eastAsia="方正仿宋简体"/>
          <w:color w:val="000000"/>
          <w:kern w:val="0"/>
          <w:sz w:val="32"/>
          <w:szCs w:val="32"/>
          <w:lang w:bidi="ar"/>
        </w:rPr>
        <w:t>万元，日常公用经费</w:t>
      </w:r>
      <w:r>
        <w:rPr>
          <w:rFonts w:hint="eastAsia" w:ascii="宋体" w:hAnsi="宋体" w:eastAsia="方正仿宋简体"/>
          <w:sz w:val="32"/>
          <w:szCs w:val="32"/>
        </w:rPr>
        <w:t>33.39</w:t>
      </w:r>
      <w:r>
        <w:rPr>
          <w:rFonts w:eastAsia="方正仿宋简体"/>
          <w:color w:val="000000"/>
          <w:kern w:val="0"/>
          <w:sz w:val="32"/>
          <w:szCs w:val="32"/>
          <w:lang w:bidi="ar"/>
        </w:rPr>
        <w:t>万元；项目支出</w:t>
      </w:r>
      <w:r>
        <w:rPr>
          <w:rFonts w:hint="eastAsia" w:ascii="宋体" w:hAnsi="宋体" w:eastAsia="方正仿宋简体"/>
          <w:sz w:val="32"/>
          <w:szCs w:val="32"/>
        </w:rPr>
        <w:t>117.81</w:t>
      </w:r>
      <w:r>
        <w:rPr>
          <w:rFonts w:eastAsia="方正仿宋简体"/>
          <w:color w:val="000000"/>
          <w:kern w:val="0"/>
          <w:sz w:val="32"/>
          <w:szCs w:val="32"/>
          <w:lang w:bidi="ar"/>
        </w:rPr>
        <w:t>万元，</w:t>
      </w:r>
      <w:r>
        <w:rPr>
          <w:rFonts w:eastAsia="方正仿宋简体"/>
          <w:sz w:val="32"/>
          <w:szCs w:val="32"/>
        </w:rPr>
        <w:t>年终结转和结余</w:t>
      </w:r>
      <w:r>
        <w:rPr>
          <w:rFonts w:hint="eastAsia" w:ascii="宋体" w:hAnsi="宋体" w:eastAsia="方正仿宋简体"/>
          <w:sz w:val="32"/>
          <w:szCs w:val="32"/>
        </w:rPr>
        <w:t>495.49</w:t>
      </w:r>
      <w:r>
        <w:rPr>
          <w:rFonts w:eastAsia="方正仿宋简体"/>
          <w:sz w:val="32"/>
          <w:szCs w:val="32"/>
        </w:rPr>
        <w:t>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600" w:lineRule="exact"/>
        <w:ind w:firstLine="640" w:firstLineChars="200"/>
        <w:rPr>
          <w:sz w:val="32"/>
          <w:szCs w:val="32"/>
        </w:rPr>
      </w:pPr>
      <w:r>
        <w:rPr>
          <w:rFonts w:eastAsia="楷体"/>
          <w:color w:val="000000"/>
          <w:kern w:val="0"/>
          <w:sz w:val="32"/>
          <w:szCs w:val="32"/>
          <w:lang w:val="zh-CN"/>
        </w:rPr>
        <w:t>（一）预算编制情况。</w:t>
      </w:r>
      <w:r>
        <w:rPr>
          <w:rFonts w:eastAsia="方正仿宋简体"/>
          <w:color w:val="333333"/>
          <w:sz w:val="32"/>
          <w:szCs w:val="32"/>
        </w:rPr>
        <w:t>201</w:t>
      </w:r>
      <w:r>
        <w:rPr>
          <w:rFonts w:hint="eastAsia" w:eastAsia="方正仿宋简体"/>
          <w:color w:val="333333"/>
          <w:sz w:val="32"/>
          <w:szCs w:val="32"/>
        </w:rPr>
        <w:t>9</w:t>
      </w:r>
      <w:r>
        <w:rPr>
          <w:rFonts w:eastAsia="方正仿宋简体"/>
          <w:color w:val="333333"/>
          <w:sz w:val="32"/>
          <w:szCs w:val="32"/>
        </w:rPr>
        <w:t>年资阳市雁江区农经管理局部门支出预算数为</w:t>
      </w:r>
      <w:r>
        <w:rPr>
          <w:rFonts w:hint="eastAsia" w:eastAsia="方正仿宋简体"/>
          <w:color w:val="333333"/>
          <w:sz w:val="32"/>
          <w:szCs w:val="32"/>
        </w:rPr>
        <w:t>277.57</w:t>
      </w:r>
      <w:r>
        <w:rPr>
          <w:rFonts w:eastAsia="方正仿宋简体"/>
          <w:color w:val="333333"/>
          <w:sz w:val="32"/>
          <w:szCs w:val="32"/>
        </w:rPr>
        <w:t>万元，其中当年财政拨款支出预算数</w:t>
      </w:r>
      <w:r>
        <w:rPr>
          <w:rFonts w:hint="eastAsia" w:eastAsia="方正仿宋简体"/>
          <w:color w:val="333333"/>
          <w:sz w:val="32"/>
          <w:szCs w:val="32"/>
        </w:rPr>
        <w:t>277.57</w:t>
      </w:r>
      <w:r>
        <w:rPr>
          <w:rFonts w:eastAsia="方正仿宋简体"/>
          <w:color w:val="333333"/>
          <w:sz w:val="32"/>
          <w:szCs w:val="32"/>
        </w:rPr>
        <w:t>万元</w:t>
      </w:r>
      <w:r>
        <w:rPr>
          <w:rFonts w:hint="eastAsia"/>
          <w:sz w:val="32"/>
          <w:szCs w:val="32"/>
        </w:rPr>
        <w:t>，</w:t>
      </w:r>
      <w:r>
        <w:rPr>
          <w:sz w:val="32"/>
          <w:szCs w:val="32"/>
        </w:rPr>
        <w:t>按支出功能分类</w:t>
      </w:r>
      <w:r>
        <w:rPr>
          <w:rFonts w:hint="eastAsia"/>
          <w:sz w:val="32"/>
          <w:szCs w:val="32"/>
        </w:rPr>
        <w:t>：</w:t>
      </w:r>
    </w:p>
    <w:p>
      <w:pPr>
        <w:spacing w:line="600" w:lineRule="exact"/>
        <w:ind w:firstLine="640" w:firstLineChars="200"/>
        <w:rPr>
          <w:rFonts w:eastAsia="方正仿宋简体"/>
          <w:color w:val="333333"/>
          <w:sz w:val="32"/>
          <w:szCs w:val="32"/>
        </w:rPr>
      </w:pPr>
      <w:r>
        <w:rPr>
          <w:rFonts w:hint="eastAsia"/>
          <w:sz w:val="32"/>
          <w:szCs w:val="32"/>
        </w:rPr>
        <w:t>1.</w:t>
      </w:r>
      <w:r>
        <w:rPr>
          <w:sz w:val="32"/>
          <w:szCs w:val="32"/>
        </w:rPr>
        <w:t>社会保障就业支出预算数</w:t>
      </w:r>
      <w:r>
        <w:rPr>
          <w:rFonts w:hint="eastAsia"/>
          <w:sz w:val="32"/>
          <w:szCs w:val="32"/>
        </w:rPr>
        <w:t>24.99</w:t>
      </w:r>
      <w:r>
        <w:rPr>
          <w:sz w:val="32"/>
          <w:szCs w:val="32"/>
        </w:rPr>
        <w:t>万元，包括（</w:t>
      </w:r>
      <w:r>
        <w:rPr>
          <w:rFonts w:eastAsia="方正仿宋简体"/>
          <w:color w:val="333333"/>
          <w:sz w:val="32"/>
          <w:szCs w:val="32"/>
        </w:rPr>
        <w:t>机关事业单位基本养老保险缴费预算支出数</w:t>
      </w:r>
      <w:r>
        <w:rPr>
          <w:rFonts w:hint="eastAsia" w:eastAsia="方正仿宋简体"/>
          <w:color w:val="333333"/>
          <w:sz w:val="32"/>
          <w:szCs w:val="32"/>
        </w:rPr>
        <w:t>24.65</w:t>
      </w:r>
      <w:r>
        <w:rPr>
          <w:rFonts w:eastAsia="方正仿宋简体"/>
          <w:color w:val="333333"/>
          <w:sz w:val="32"/>
          <w:szCs w:val="32"/>
        </w:rPr>
        <w:t>万元、</w:t>
      </w:r>
      <w:r>
        <w:rPr>
          <w:rFonts w:hint="eastAsia" w:eastAsia="方正仿宋简体"/>
          <w:color w:val="333333"/>
          <w:sz w:val="32"/>
          <w:szCs w:val="32"/>
        </w:rPr>
        <w:t>其他社会保障和就业支出0.34万元）；</w:t>
      </w:r>
    </w:p>
    <w:p>
      <w:pPr>
        <w:spacing w:line="600" w:lineRule="exact"/>
        <w:ind w:firstLine="640" w:firstLineChars="200"/>
        <w:rPr>
          <w:rFonts w:eastAsia="方正仿宋简体"/>
          <w:color w:val="333333"/>
          <w:sz w:val="32"/>
          <w:szCs w:val="32"/>
        </w:rPr>
      </w:pPr>
      <w:r>
        <w:rPr>
          <w:rFonts w:hint="eastAsia" w:eastAsia="方正仿宋简体"/>
          <w:color w:val="333333"/>
          <w:sz w:val="32"/>
          <w:szCs w:val="32"/>
        </w:rPr>
        <w:t>2.</w:t>
      </w:r>
      <w:r>
        <w:rPr>
          <w:rFonts w:eastAsia="方正仿宋简体"/>
          <w:color w:val="333333"/>
          <w:sz w:val="32"/>
          <w:szCs w:val="32"/>
        </w:rPr>
        <w:t>医疗卫生与计划生育支出预算数</w:t>
      </w:r>
      <w:r>
        <w:rPr>
          <w:rFonts w:hint="eastAsia" w:eastAsia="方正仿宋简体"/>
          <w:color w:val="333333"/>
          <w:sz w:val="32"/>
          <w:szCs w:val="32"/>
        </w:rPr>
        <w:t>10.99</w:t>
      </w:r>
      <w:r>
        <w:rPr>
          <w:rFonts w:eastAsia="方正仿宋简体"/>
          <w:color w:val="333333"/>
          <w:sz w:val="32"/>
          <w:szCs w:val="32"/>
        </w:rPr>
        <w:t>万元，包括（事业单位医疗预算支出数</w:t>
      </w:r>
      <w:r>
        <w:rPr>
          <w:rFonts w:hint="eastAsia" w:eastAsia="方正仿宋简体"/>
          <w:color w:val="333333"/>
          <w:sz w:val="32"/>
          <w:szCs w:val="32"/>
        </w:rPr>
        <w:t>8.63</w:t>
      </w:r>
      <w:r>
        <w:rPr>
          <w:rFonts w:eastAsia="方正仿宋简体"/>
          <w:color w:val="333333"/>
          <w:sz w:val="32"/>
          <w:szCs w:val="32"/>
        </w:rPr>
        <w:t>万元，公务员医疗补助预算支出数</w:t>
      </w:r>
      <w:r>
        <w:rPr>
          <w:rFonts w:hint="eastAsia" w:eastAsia="方正仿宋简体"/>
          <w:color w:val="333333"/>
          <w:sz w:val="32"/>
          <w:szCs w:val="32"/>
        </w:rPr>
        <w:t>2.36</w:t>
      </w:r>
      <w:r>
        <w:rPr>
          <w:rFonts w:eastAsia="方正仿宋简体"/>
          <w:color w:val="333333"/>
          <w:sz w:val="32"/>
          <w:szCs w:val="32"/>
        </w:rPr>
        <w:t>万元）；</w:t>
      </w:r>
    </w:p>
    <w:p>
      <w:pPr>
        <w:spacing w:line="600" w:lineRule="exact"/>
        <w:ind w:firstLine="640" w:firstLineChars="200"/>
        <w:rPr>
          <w:rFonts w:hint="eastAsia" w:eastAsia="方正仿宋简体"/>
          <w:color w:val="333333"/>
          <w:sz w:val="32"/>
          <w:szCs w:val="32"/>
          <w:lang w:eastAsia="zh-CN"/>
        </w:rPr>
      </w:pPr>
      <w:r>
        <w:rPr>
          <w:rFonts w:hint="eastAsia" w:eastAsia="方正仿宋简体"/>
          <w:color w:val="333333"/>
          <w:sz w:val="32"/>
          <w:szCs w:val="32"/>
        </w:rPr>
        <w:t>3.</w:t>
      </w:r>
      <w:r>
        <w:rPr>
          <w:rFonts w:eastAsia="方正仿宋简体"/>
          <w:color w:val="333333"/>
          <w:sz w:val="32"/>
          <w:szCs w:val="32"/>
        </w:rPr>
        <w:t>农林水支出预算数</w:t>
      </w:r>
      <w:r>
        <w:rPr>
          <w:rFonts w:hint="eastAsia" w:eastAsia="方正仿宋简体"/>
          <w:color w:val="333333"/>
          <w:sz w:val="32"/>
          <w:szCs w:val="32"/>
        </w:rPr>
        <w:t>226.79</w:t>
      </w:r>
      <w:r>
        <w:rPr>
          <w:rFonts w:eastAsia="方正仿宋简体"/>
          <w:color w:val="333333"/>
          <w:sz w:val="32"/>
          <w:szCs w:val="32"/>
        </w:rPr>
        <w:t>万元，包括（行政运行支出预算数</w:t>
      </w:r>
      <w:r>
        <w:rPr>
          <w:rFonts w:hint="eastAsia" w:eastAsia="方正仿宋简体"/>
          <w:color w:val="333333"/>
          <w:sz w:val="32"/>
          <w:szCs w:val="32"/>
        </w:rPr>
        <w:t>176.26</w:t>
      </w:r>
      <w:r>
        <w:rPr>
          <w:rFonts w:eastAsia="方正仿宋简体"/>
          <w:color w:val="333333"/>
          <w:sz w:val="32"/>
          <w:szCs w:val="32"/>
        </w:rPr>
        <w:t>万元，一般行政管理事务支出预算数</w:t>
      </w:r>
      <w:r>
        <w:rPr>
          <w:rFonts w:hint="eastAsia" w:eastAsia="方正仿宋简体"/>
          <w:color w:val="333333"/>
          <w:sz w:val="32"/>
          <w:szCs w:val="32"/>
        </w:rPr>
        <w:t>50.53</w:t>
      </w:r>
      <w:r>
        <w:rPr>
          <w:rFonts w:eastAsia="方正仿宋简体"/>
          <w:color w:val="333333"/>
          <w:sz w:val="32"/>
          <w:szCs w:val="32"/>
        </w:rPr>
        <w:t>万元）</w:t>
      </w:r>
      <w:r>
        <w:rPr>
          <w:rFonts w:hint="eastAsia" w:eastAsia="方正仿宋简体"/>
          <w:color w:val="333333"/>
          <w:sz w:val="32"/>
          <w:szCs w:val="32"/>
          <w:lang w:eastAsia="zh-CN"/>
        </w:rPr>
        <w:t>。</w:t>
      </w:r>
      <w:bookmarkStart w:id="71" w:name="_GoBack"/>
      <w:bookmarkEnd w:id="71"/>
    </w:p>
    <w:p>
      <w:pPr>
        <w:spacing w:line="600" w:lineRule="exact"/>
        <w:ind w:firstLine="640" w:firstLineChars="200"/>
        <w:rPr>
          <w:rFonts w:eastAsia="方正仿宋简体"/>
          <w:color w:val="333333"/>
          <w:sz w:val="32"/>
          <w:szCs w:val="32"/>
        </w:rPr>
      </w:pPr>
      <w:r>
        <w:rPr>
          <w:rFonts w:hint="eastAsia" w:eastAsia="方正仿宋简体"/>
          <w:color w:val="333333"/>
          <w:sz w:val="32"/>
          <w:szCs w:val="32"/>
        </w:rPr>
        <w:t>4.</w:t>
      </w:r>
      <w:r>
        <w:rPr>
          <w:rFonts w:eastAsia="方正仿宋简体"/>
          <w:color w:val="333333"/>
          <w:sz w:val="32"/>
          <w:szCs w:val="32"/>
        </w:rPr>
        <w:t>住房公积金</w:t>
      </w:r>
      <w:r>
        <w:rPr>
          <w:rFonts w:hint="eastAsia" w:eastAsia="方正仿宋简体"/>
          <w:color w:val="333333"/>
          <w:sz w:val="32"/>
          <w:szCs w:val="32"/>
        </w:rPr>
        <w:t>支出</w:t>
      </w:r>
      <w:r>
        <w:rPr>
          <w:rFonts w:eastAsia="方正仿宋简体"/>
          <w:color w:val="333333"/>
          <w:sz w:val="32"/>
          <w:szCs w:val="32"/>
        </w:rPr>
        <w:t>预算数</w:t>
      </w:r>
      <w:r>
        <w:rPr>
          <w:rFonts w:hint="eastAsia" w:eastAsia="方正仿宋简体"/>
          <w:color w:val="333333"/>
          <w:sz w:val="32"/>
          <w:szCs w:val="32"/>
        </w:rPr>
        <w:t>14.79</w:t>
      </w:r>
      <w:r>
        <w:rPr>
          <w:rFonts w:eastAsia="方正仿宋简体"/>
          <w:color w:val="333333"/>
          <w:sz w:val="32"/>
          <w:szCs w:val="32"/>
        </w:rPr>
        <w:t>万元；</w:t>
      </w:r>
    </w:p>
    <w:p>
      <w:pPr>
        <w:spacing w:line="600" w:lineRule="exact"/>
        <w:ind w:firstLine="640" w:firstLineChars="200"/>
        <w:rPr>
          <w:rFonts w:eastAsia="方正仿宋简体"/>
          <w:color w:val="333333"/>
          <w:sz w:val="32"/>
          <w:szCs w:val="32"/>
        </w:rPr>
      </w:pPr>
      <w:r>
        <w:rPr>
          <w:rFonts w:eastAsia="楷体"/>
          <w:color w:val="000000"/>
          <w:kern w:val="0"/>
          <w:sz w:val="32"/>
          <w:szCs w:val="32"/>
          <w:lang w:val="zh-CN"/>
        </w:rPr>
        <w:t>（二）执行管理情况。</w:t>
      </w:r>
      <w:r>
        <w:rPr>
          <w:rFonts w:eastAsia="楷体"/>
          <w:color w:val="000000"/>
          <w:kern w:val="0"/>
          <w:sz w:val="32"/>
          <w:szCs w:val="32"/>
          <w:lang w:val="zh-CN"/>
        </w:rPr>
        <w:tab/>
      </w:r>
    </w:p>
    <w:p>
      <w:pPr>
        <w:spacing w:line="600" w:lineRule="exact"/>
        <w:ind w:firstLine="640" w:firstLineChars="200"/>
        <w:rPr>
          <w:rFonts w:eastAsia="方正仿宋简体"/>
          <w:color w:val="333333"/>
          <w:sz w:val="32"/>
          <w:szCs w:val="32"/>
        </w:rPr>
      </w:pPr>
      <w:r>
        <w:rPr>
          <w:rFonts w:hint="eastAsia" w:eastAsia="方正仿宋简体"/>
          <w:color w:val="333333"/>
          <w:sz w:val="32"/>
          <w:szCs w:val="32"/>
        </w:rPr>
        <w:t>我局严格按照预算执行，坚守“反对浪费，厉行节俭”的原则，专款专用，不拖欠，不挪用，在收到财政下达的各类指标后，按照资金的用途，支出总额控制在预算总额以内，按照预算执行进度，及时拨付各项款项。</w:t>
      </w:r>
    </w:p>
    <w:p>
      <w:pPr>
        <w:spacing w:line="600" w:lineRule="exact"/>
        <w:ind w:firstLine="640" w:firstLineChars="200"/>
        <w:rPr>
          <w:rFonts w:eastAsia="方正仿宋简体"/>
          <w:color w:val="333333"/>
          <w:sz w:val="32"/>
          <w:szCs w:val="32"/>
        </w:rPr>
      </w:pPr>
      <w:r>
        <w:rPr>
          <w:rFonts w:eastAsia="方正仿宋简体"/>
          <w:color w:val="333333"/>
          <w:sz w:val="32"/>
          <w:szCs w:val="32"/>
        </w:rPr>
        <w:t>1.201</w:t>
      </w:r>
      <w:r>
        <w:rPr>
          <w:rFonts w:hint="eastAsia" w:eastAsia="方正仿宋简体"/>
          <w:color w:val="333333"/>
          <w:sz w:val="32"/>
          <w:szCs w:val="32"/>
        </w:rPr>
        <w:t>9</w:t>
      </w:r>
      <w:r>
        <w:rPr>
          <w:rFonts w:eastAsia="方正仿宋简体"/>
          <w:color w:val="333333"/>
          <w:sz w:val="32"/>
          <w:szCs w:val="32"/>
        </w:rPr>
        <w:t>年资阳市雁江区农经管理局部门财政支出决算数</w:t>
      </w:r>
      <w:r>
        <w:rPr>
          <w:rFonts w:hint="eastAsia" w:eastAsia="方正仿宋简体"/>
          <w:color w:val="333333"/>
          <w:sz w:val="32"/>
          <w:szCs w:val="32"/>
        </w:rPr>
        <w:t>394.7</w:t>
      </w:r>
      <w:r>
        <w:rPr>
          <w:rFonts w:eastAsia="方正仿宋简体"/>
          <w:color w:val="333333"/>
          <w:sz w:val="32"/>
          <w:szCs w:val="32"/>
        </w:rPr>
        <w:t>万元，完成预算的</w:t>
      </w:r>
      <w:r>
        <w:rPr>
          <w:rFonts w:hint="eastAsia" w:eastAsia="方正仿宋简体"/>
          <w:color w:val="333333"/>
          <w:sz w:val="32"/>
          <w:szCs w:val="32"/>
        </w:rPr>
        <w:t>67.49</w:t>
      </w:r>
      <w:r>
        <w:rPr>
          <w:rFonts w:eastAsia="方正仿宋简体"/>
          <w:color w:val="333333"/>
          <w:sz w:val="32"/>
          <w:szCs w:val="32"/>
        </w:rPr>
        <w:t>%。按支出功能分类主要用于以下方面：</w:t>
      </w:r>
    </w:p>
    <w:p>
      <w:pPr>
        <w:spacing w:line="600" w:lineRule="exact"/>
        <w:ind w:firstLine="640" w:firstLineChars="200"/>
        <w:rPr>
          <w:rFonts w:eastAsia="方正仿宋简体"/>
          <w:color w:val="333333"/>
          <w:sz w:val="32"/>
          <w:szCs w:val="32"/>
        </w:rPr>
      </w:pPr>
      <w:r>
        <w:rPr>
          <w:rFonts w:eastAsia="方正仿宋简体"/>
          <w:color w:val="333333"/>
          <w:sz w:val="32"/>
          <w:szCs w:val="32"/>
        </w:rPr>
        <w:t>（1）社会保障和就业支出决算数</w:t>
      </w:r>
      <w:r>
        <w:rPr>
          <w:rFonts w:hint="eastAsia" w:eastAsia="方正仿宋简体"/>
          <w:color w:val="333333"/>
          <w:sz w:val="32"/>
          <w:szCs w:val="32"/>
        </w:rPr>
        <w:t>62.2</w:t>
      </w:r>
      <w:r>
        <w:rPr>
          <w:rFonts w:eastAsia="方正仿宋简体"/>
          <w:color w:val="333333"/>
          <w:sz w:val="32"/>
          <w:szCs w:val="32"/>
        </w:rPr>
        <w:t>万元，完成预算的100%。主要用于</w:t>
      </w:r>
      <w:r>
        <w:rPr>
          <w:rFonts w:hint="eastAsia" w:eastAsia="方正仿宋简体"/>
          <w:color w:val="333333"/>
          <w:sz w:val="32"/>
          <w:szCs w:val="32"/>
        </w:rPr>
        <w:t>事业单位离退休预算数18.32</w:t>
      </w:r>
      <w:r>
        <w:rPr>
          <w:rFonts w:eastAsia="方正仿宋简体"/>
          <w:color w:val="333333"/>
          <w:sz w:val="32"/>
          <w:szCs w:val="32"/>
        </w:rPr>
        <w:t>万元、机关事业单位基本养老保险缴费预算支出数</w:t>
      </w:r>
      <w:r>
        <w:rPr>
          <w:rFonts w:hint="eastAsia" w:eastAsia="方正仿宋简体"/>
          <w:color w:val="333333"/>
          <w:sz w:val="32"/>
          <w:szCs w:val="32"/>
        </w:rPr>
        <w:t>20.18</w:t>
      </w:r>
      <w:r>
        <w:rPr>
          <w:rFonts w:eastAsia="方正仿宋简体"/>
          <w:color w:val="333333"/>
          <w:sz w:val="32"/>
          <w:szCs w:val="32"/>
        </w:rPr>
        <w:t>万元、</w:t>
      </w:r>
      <w:r>
        <w:rPr>
          <w:rFonts w:hint="eastAsia" w:eastAsia="方正仿宋简体"/>
          <w:color w:val="333333"/>
          <w:sz w:val="32"/>
          <w:szCs w:val="32"/>
        </w:rPr>
        <w:t>机关事业单位职业年金缴费支出8.83万元、其他社会保障和就业支出0.48万元，</w:t>
      </w:r>
      <w:r>
        <w:rPr>
          <w:rFonts w:eastAsia="方正仿宋简体"/>
          <w:color w:val="333333"/>
          <w:sz w:val="32"/>
          <w:szCs w:val="32"/>
        </w:rPr>
        <w:t>死亡抚恤预算支出数</w:t>
      </w:r>
      <w:r>
        <w:rPr>
          <w:rFonts w:hint="eastAsia" w:eastAsia="方正仿宋简体"/>
          <w:color w:val="333333"/>
          <w:sz w:val="32"/>
          <w:szCs w:val="32"/>
        </w:rPr>
        <w:t>14.39</w:t>
      </w:r>
      <w:r>
        <w:rPr>
          <w:rFonts w:eastAsia="方正仿宋简体"/>
          <w:color w:val="333333"/>
          <w:sz w:val="32"/>
          <w:szCs w:val="32"/>
        </w:rPr>
        <w:t>万元</w:t>
      </w:r>
      <w:r>
        <w:rPr>
          <w:rFonts w:hint="eastAsia" w:eastAsia="方正仿宋简体"/>
          <w:color w:val="333333"/>
          <w:sz w:val="32"/>
          <w:szCs w:val="32"/>
        </w:rPr>
        <w:t>；</w:t>
      </w:r>
    </w:p>
    <w:p>
      <w:pPr>
        <w:spacing w:line="600" w:lineRule="exact"/>
        <w:ind w:firstLine="640" w:firstLineChars="200"/>
        <w:rPr>
          <w:rFonts w:eastAsia="方正仿宋简体"/>
          <w:color w:val="333333"/>
          <w:sz w:val="32"/>
          <w:szCs w:val="32"/>
        </w:rPr>
      </w:pPr>
      <w:r>
        <w:rPr>
          <w:rFonts w:eastAsia="方正仿宋简体"/>
          <w:color w:val="333333"/>
          <w:sz w:val="32"/>
          <w:szCs w:val="32"/>
        </w:rPr>
        <w:t>（2）医疗卫生与计划生育支出决算数</w:t>
      </w:r>
      <w:r>
        <w:rPr>
          <w:rFonts w:hint="eastAsia" w:eastAsia="方正仿宋简体"/>
          <w:color w:val="333333"/>
          <w:sz w:val="32"/>
          <w:szCs w:val="32"/>
        </w:rPr>
        <w:t>13.43</w:t>
      </w:r>
      <w:r>
        <w:rPr>
          <w:rFonts w:eastAsia="方正仿宋简体"/>
          <w:color w:val="333333"/>
          <w:sz w:val="32"/>
          <w:szCs w:val="32"/>
        </w:rPr>
        <w:t>万元，完成预算的</w:t>
      </w:r>
      <w:r>
        <w:rPr>
          <w:rFonts w:hint="eastAsia" w:eastAsia="方正仿宋简体"/>
          <w:color w:val="333333"/>
          <w:sz w:val="32"/>
          <w:szCs w:val="32"/>
        </w:rPr>
        <w:t>100</w:t>
      </w:r>
      <w:r>
        <w:rPr>
          <w:rFonts w:eastAsia="方正仿宋简体"/>
          <w:color w:val="333333"/>
          <w:sz w:val="32"/>
          <w:szCs w:val="32"/>
        </w:rPr>
        <w:t>%。</w:t>
      </w:r>
    </w:p>
    <w:p>
      <w:pPr>
        <w:spacing w:line="600" w:lineRule="exact"/>
        <w:ind w:firstLine="640" w:firstLineChars="200"/>
        <w:rPr>
          <w:rFonts w:eastAsia="方正仿宋简体"/>
          <w:color w:val="333333"/>
          <w:sz w:val="32"/>
          <w:szCs w:val="32"/>
        </w:rPr>
      </w:pPr>
      <w:r>
        <w:rPr>
          <w:rFonts w:eastAsia="方正仿宋简体"/>
          <w:color w:val="333333"/>
          <w:sz w:val="32"/>
          <w:szCs w:val="32"/>
        </w:rPr>
        <w:t>（</w:t>
      </w:r>
      <w:r>
        <w:rPr>
          <w:rFonts w:hint="eastAsia" w:eastAsia="方正仿宋简体"/>
          <w:color w:val="333333"/>
          <w:sz w:val="32"/>
          <w:szCs w:val="32"/>
        </w:rPr>
        <w:t>3）</w:t>
      </w:r>
      <w:r>
        <w:rPr>
          <w:rFonts w:eastAsia="方正仿宋简体"/>
          <w:color w:val="333333"/>
          <w:sz w:val="32"/>
          <w:szCs w:val="32"/>
        </w:rPr>
        <w:t>农林水支出决算数</w:t>
      </w:r>
      <w:r>
        <w:rPr>
          <w:rFonts w:hint="eastAsia" w:eastAsia="方正仿宋简体"/>
          <w:color w:val="333333"/>
          <w:sz w:val="32"/>
          <w:szCs w:val="32"/>
        </w:rPr>
        <w:t>304.36</w:t>
      </w:r>
      <w:r>
        <w:rPr>
          <w:rFonts w:eastAsia="方正仿宋简体"/>
          <w:color w:val="333333"/>
          <w:sz w:val="32"/>
          <w:szCs w:val="32"/>
        </w:rPr>
        <w:t>万元，完成预算的</w:t>
      </w:r>
      <w:r>
        <w:rPr>
          <w:rFonts w:hint="eastAsia" w:eastAsia="方正仿宋简体"/>
          <w:color w:val="333333"/>
          <w:sz w:val="32"/>
          <w:szCs w:val="32"/>
        </w:rPr>
        <w:t>100</w:t>
      </w:r>
      <w:r>
        <w:rPr>
          <w:rFonts w:eastAsia="方正仿宋简体"/>
          <w:color w:val="333333"/>
          <w:sz w:val="32"/>
          <w:szCs w:val="32"/>
        </w:rPr>
        <w:t>%，主要用于一般行政管理事务</w:t>
      </w:r>
      <w:r>
        <w:rPr>
          <w:rFonts w:hint="eastAsia" w:eastAsia="方正仿宋简体"/>
          <w:color w:val="333333"/>
          <w:sz w:val="32"/>
          <w:szCs w:val="32"/>
        </w:rPr>
        <w:t>65.86</w:t>
      </w:r>
      <w:r>
        <w:rPr>
          <w:rFonts w:eastAsia="方正仿宋简体"/>
          <w:color w:val="333333"/>
          <w:sz w:val="32"/>
          <w:szCs w:val="32"/>
        </w:rPr>
        <w:t>万元，</w:t>
      </w:r>
      <w:r>
        <w:rPr>
          <w:rFonts w:hint="eastAsia" w:eastAsia="方正仿宋简体"/>
          <w:color w:val="333333"/>
          <w:sz w:val="32"/>
          <w:szCs w:val="32"/>
        </w:rPr>
        <w:t>农业组织化与产业化经营20万元，</w:t>
      </w:r>
      <w:r>
        <w:rPr>
          <w:rFonts w:eastAsia="方正仿宋简体"/>
          <w:color w:val="333333"/>
          <w:sz w:val="32"/>
          <w:szCs w:val="32"/>
        </w:rPr>
        <w:t>其他农业支出</w:t>
      </w:r>
      <w:r>
        <w:rPr>
          <w:rFonts w:hint="eastAsia" w:eastAsia="方正仿宋简体"/>
          <w:color w:val="333333"/>
          <w:sz w:val="32"/>
          <w:szCs w:val="32"/>
        </w:rPr>
        <w:t>208.5</w:t>
      </w:r>
      <w:r>
        <w:rPr>
          <w:rFonts w:eastAsia="方正仿宋简体"/>
          <w:color w:val="333333"/>
          <w:sz w:val="32"/>
          <w:szCs w:val="32"/>
        </w:rPr>
        <w:t>万元</w:t>
      </w:r>
      <w:r>
        <w:rPr>
          <w:rFonts w:hint="eastAsia" w:eastAsia="方正仿宋简体"/>
          <w:color w:val="333333"/>
          <w:sz w:val="32"/>
          <w:szCs w:val="32"/>
        </w:rPr>
        <w:t>，</w:t>
      </w:r>
      <w:r>
        <w:rPr>
          <w:rFonts w:eastAsia="方正仿宋简体"/>
          <w:color w:val="333333"/>
          <w:sz w:val="32"/>
          <w:szCs w:val="32"/>
        </w:rPr>
        <w:t>其他农林水支出</w:t>
      </w:r>
      <w:r>
        <w:rPr>
          <w:rFonts w:hint="eastAsia" w:eastAsia="方正仿宋简体"/>
          <w:color w:val="333333"/>
          <w:sz w:val="32"/>
          <w:szCs w:val="32"/>
        </w:rPr>
        <w:t>10</w:t>
      </w:r>
      <w:r>
        <w:rPr>
          <w:rFonts w:eastAsia="方正仿宋简体"/>
          <w:color w:val="333333"/>
          <w:sz w:val="32"/>
          <w:szCs w:val="32"/>
        </w:rPr>
        <w:t>万元。</w:t>
      </w:r>
    </w:p>
    <w:p>
      <w:pPr>
        <w:spacing w:line="600" w:lineRule="exact"/>
        <w:ind w:firstLine="640" w:firstLineChars="200"/>
        <w:rPr>
          <w:rFonts w:eastAsia="楷体"/>
          <w:color w:val="000000"/>
          <w:kern w:val="0"/>
          <w:sz w:val="32"/>
          <w:szCs w:val="32"/>
          <w:lang w:val="zh-CN"/>
        </w:rPr>
      </w:pPr>
      <w:r>
        <w:rPr>
          <w:rFonts w:eastAsia="方正仿宋简体"/>
          <w:color w:val="333333"/>
          <w:sz w:val="32"/>
          <w:szCs w:val="32"/>
        </w:rPr>
        <w:t>（5）住房保障支出决算数</w:t>
      </w:r>
      <w:r>
        <w:rPr>
          <w:rFonts w:hint="eastAsia" w:eastAsia="方正仿宋简体"/>
          <w:color w:val="333333"/>
          <w:sz w:val="32"/>
          <w:szCs w:val="32"/>
        </w:rPr>
        <w:t>7.53</w:t>
      </w:r>
      <w:r>
        <w:rPr>
          <w:rFonts w:eastAsia="方正仿宋简体"/>
          <w:color w:val="333333"/>
          <w:sz w:val="32"/>
          <w:szCs w:val="32"/>
        </w:rPr>
        <w:t>万元，完成预算的</w:t>
      </w:r>
      <w:r>
        <w:rPr>
          <w:rFonts w:hint="eastAsia" w:eastAsia="方正仿宋简体"/>
          <w:color w:val="333333"/>
          <w:sz w:val="32"/>
          <w:szCs w:val="32"/>
        </w:rPr>
        <w:t>50.91</w:t>
      </w:r>
      <w:r>
        <w:rPr>
          <w:rFonts w:eastAsia="方正仿宋简体"/>
          <w:color w:val="333333"/>
          <w:sz w:val="32"/>
          <w:szCs w:val="32"/>
        </w:rPr>
        <w:t>%。　</w:t>
      </w:r>
      <w:r>
        <w:rPr>
          <w:rFonts w:eastAsia="楷体"/>
          <w:color w:val="000000"/>
          <w:kern w:val="0"/>
          <w:sz w:val="32"/>
          <w:szCs w:val="32"/>
          <w:lang w:val="zh-CN"/>
        </w:rPr>
        <w:tab/>
      </w:r>
      <w:r>
        <w:rPr>
          <w:rFonts w:eastAsia="方正仿宋简体"/>
          <w:color w:val="333333"/>
          <w:sz w:val="32"/>
          <w:szCs w:val="32"/>
        </w:rPr>
        <w:t>2.201</w:t>
      </w:r>
      <w:r>
        <w:rPr>
          <w:rFonts w:hint="eastAsia" w:eastAsia="方正仿宋简体"/>
          <w:color w:val="333333"/>
          <w:sz w:val="32"/>
          <w:szCs w:val="32"/>
        </w:rPr>
        <w:t>9</w:t>
      </w:r>
      <w:r>
        <w:rPr>
          <w:rFonts w:eastAsia="方正仿宋简体"/>
          <w:color w:val="333333"/>
          <w:sz w:val="32"/>
          <w:szCs w:val="32"/>
        </w:rPr>
        <w:t>年“三公”经费财政拨款预算支出数6万元，其中：因公出国（境）经费0万元，公务接待费3万元，公务用车购置及运行维护费3万元。　　</w:t>
      </w:r>
    </w:p>
    <w:p>
      <w:pPr>
        <w:spacing w:line="600" w:lineRule="exact"/>
        <w:ind w:firstLine="643" w:firstLineChars="200"/>
        <w:rPr>
          <w:rFonts w:eastAsia="仿宋_GB2312"/>
          <w:sz w:val="32"/>
          <w:szCs w:val="32"/>
        </w:rPr>
      </w:pPr>
      <w:r>
        <w:rPr>
          <w:rFonts w:eastAsia="仿宋_GB2312"/>
          <w:b/>
          <w:sz w:val="32"/>
          <w:szCs w:val="32"/>
        </w:rPr>
        <w:t>“</w:t>
      </w:r>
      <w:r>
        <w:rPr>
          <w:rFonts w:eastAsia="仿宋_GB2312"/>
          <w:sz w:val="32"/>
          <w:szCs w:val="32"/>
        </w:rPr>
        <w:t>三公</w:t>
      </w:r>
      <w:r>
        <w:rPr>
          <w:rFonts w:eastAsia="仿宋_GB2312"/>
          <w:b/>
          <w:sz w:val="32"/>
          <w:szCs w:val="32"/>
        </w:rPr>
        <w:t>”</w:t>
      </w:r>
      <w:r>
        <w:rPr>
          <w:rFonts w:eastAsia="仿宋_GB2312"/>
          <w:sz w:val="32"/>
          <w:szCs w:val="32"/>
        </w:rPr>
        <w:t>经费支出情况：</w:t>
      </w:r>
    </w:p>
    <w:p>
      <w:pPr>
        <w:spacing w:line="600" w:lineRule="exact"/>
        <w:ind w:firstLine="640" w:firstLineChars="200"/>
        <w:rPr>
          <w:rFonts w:eastAsia="仿宋_GB2312"/>
          <w:sz w:val="32"/>
          <w:szCs w:val="32"/>
        </w:rPr>
      </w:pPr>
      <w:r>
        <w:rPr>
          <w:sz w:val="32"/>
          <w:szCs w:val="32"/>
        </w:rPr>
        <w:t>（1）</w:t>
      </w:r>
      <w:r>
        <w:rPr>
          <w:rFonts w:eastAsia="仿宋_GB2312"/>
          <w:sz w:val="32"/>
          <w:szCs w:val="32"/>
        </w:rPr>
        <w:t>因公出国（境）费未预算未发生费用支出；</w:t>
      </w:r>
    </w:p>
    <w:p>
      <w:pPr>
        <w:spacing w:line="600" w:lineRule="exact"/>
        <w:ind w:firstLine="640" w:firstLineChars="200"/>
        <w:rPr>
          <w:rFonts w:eastAsia="仿宋_GB2312"/>
          <w:sz w:val="32"/>
          <w:szCs w:val="32"/>
        </w:rPr>
      </w:pPr>
      <w:r>
        <w:rPr>
          <w:sz w:val="32"/>
          <w:szCs w:val="32"/>
        </w:rPr>
        <w:t>（2）</w:t>
      </w:r>
      <w:r>
        <w:rPr>
          <w:rFonts w:eastAsia="仿宋_GB2312"/>
          <w:sz w:val="32"/>
          <w:szCs w:val="32"/>
        </w:rPr>
        <w:t>公务用车购置及运行维护费，公务车购置未预算未购置，公务车运行维护费</w:t>
      </w:r>
      <w:r>
        <w:rPr>
          <w:sz w:val="32"/>
          <w:szCs w:val="32"/>
        </w:rPr>
        <w:t>决算</w:t>
      </w:r>
      <w:r>
        <w:rPr>
          <w:rFonts w:eastAsia="仿宋_GB2312"/>
          <w:sz w:val="32"/>
          <w:szCs w:val="32"/>
        </w:rPr>
        <w:t>支出数</w:t>
      </w:r>
      <w:r>
        <w:rPr>
          <w:rFonts w:hint="eastAsia" w:ascii="仿宋_GB2312" w:eastAsia="仿宋_GB2312"/>
          <w:color w:val="000000"/>
          <w:sz w:val="32"/>
          <w:szCs w:val="32"/>
        </w:rPr>
        <w:t>0.03万元,</w:t>
      </w:r>
      <w:r>
        <w:rPr>
          <w:rStyle w:val="14"/>
          <w:rFonts w:hint="eastAsia" w:ascii="仿宋" w:hAnsi="仿宋" w:eastAsia="仿宋"/>
          <w:b w:val="0"/>
          <w:bCs/>
          <w:color w:val="000000"/>
          <w:sz w:val="32"/>
          <w:szCs w:val="32"/>
        </w:rPr>
        <w:t>完成预算1.16</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比</w:t>
      </w:r>
      <w:r>
        <w:rPr>
          <w:rFonts w:ascii="仿宋_GB2312" w:eastAsia="仿宋_GB2312"/>
          <w:color w:val="000000"/>
          <w:sz w:val="32"/>
          <w:szCs w:val="32"/>
        </w:rPr>
        <w:t>201</w:t>
      </w:r>
      <w:r>
        <w:rPr>
          <w:rFonts w:hint="eastAsia" w:ascii="仿宋_GB2312" w:eastAsia="仿宋_GB2312"/>
          <w:color w:val="000000"/>
          <w:sz w:val="32"/>
          <w:szCs w:val="32"/>
        </w:rPr>
        <w:t>8年减少1.31万元，下降97.41</w:t>
      </w:r>
      <w:r>
        <w:rPr>
          <w:rFonts w:ascii="仿宋_GB2312" w:eastAsia="仿宋_GB2312"/>
          <w:color w:val="000000"/>
          <w:sz w:val="32"/>
          <w:szCs w:val="32"/>
        </w:rPr>
        <w:t>%</w:t>
      </w:r>
      <w:r>
        <w:rPr>
          <w:rFonts w:hint="eastAsia" w:ascii="仿宋_GB2312" w:eastAsia="仿宋_GB2312"/>
          <w:color w:val="000000"/>
          <w:sz w:val="32"/>
          <w:szCs w:val="32"/>
        </w:rPr>
        <w:t>，</w:t>
      </w:r>
      <w:r>
        <w:rPr>
          <w:rFonts w:eastAsia="方正仿宋简体"/>
          <w:color w:val="333333"/>
          <w:sz w:val="32"/>
          <w:szCs w:val="32"/>
        </w:rPr>
        <w:t>主要原因是认真贯彻落实中央八项规定及省委</w:t>
      </w:r>
      <w:r>
        <w:rPr>
          <w:rFonts w:hint="eastAsia" w:eastAsia="方正仿宋简体"/>
          <w:color w:val="333333"/>
          <w:sz w:val="32"/>
          <w:szCs w:val="32"/>
          <w:lang w:eastAsia="zh-CN"/>
        </w:rPr>
        <w:t>、</w:t>
      </w:r>
      <w:r>
        <w:rPr>
          <w:rFonts w:eastAsia="方正仿宋简体"/>
          <w:color w:val="333333"/>
          <w:sz w:val="32"/>
          <w:szCs w:val="32"/>
        </w:rPr>
        <w:t>省政府十项规定要求，用于公务用车燃油、维修、保险等方面支出</w:t>
      </w:r>
      <w:r>
        <w:rPr>
          <w:rFonts w:hint="eastAsia" w:eastAsia="方正仿宋简体"/>
          <w:color w:val="333333"/>
          <w:sz w:val="32"/>
          <w:szCs w:val="32"/>
        </w:rPr>
        <w:t>，</w:t>
      </w:r>
      <w:r>
        <w:rPr>
          <w:rFonts w:eastAsia="方正仿宋简体"/>
          <w:color w:val="333333"/>
          <w:sz w:val="32"/>
          <w:szCs w:val="32"/>
        </w:rPr>
        <w:t>保障农经管理工作到镇乡指导监管各项农经业务的正常开展。</w:t>
      </w:r>
    </w:p>
    <w:p>
      <w:pPr>
        <w:spacing w:line="600" w:lineRule="exact"/>
        <w:ind w:firstLine="640" w:firstLineChars="200"/>
        <w:rPr>
          <w:rFonts w:ascii="方正仿宋简体" w:eastAsia="方正仿宋简体"/>
          <w:color w:val="333333"/>
          <w:sz w:val="32"/>
          <w:szCs w:val="32"/>
        </w:rPr>
      </w:pPr>
      <w:r>
        <w:rPr>
          <w:rFonts w:hint="eastAsia" w:ascii="方正仿宋简体" w:eastAsia="方正仿宋简体"/>
          <w:sz w:val="32"/>
          <w:szCs w:val="32"/>
        </w:rPr>
        <w:t>（3）公务接待费决算支出数</w:t>
      </w:r>
      <w:r>
        <w:rPr>
          <w:rFonts w:hint="eastAsia" w:ascii="方正仿宋简体" w:eastAsia="方正仿宋简体"/>
          <w:color w:val="000000"/>
          <w:sz w:val="32"/>
          <w:szCs w:val="32"/>
        </w:rPr>
        <w:t>0.78万元，</w:t>
      </w:r>
      <w:r>
        <w:rPr>
          <w:rStyle w:val="14"/>
          <w:rFonts w:hint="eastAsia" w:ascii="方正仿宋简体" w:hAnsi="仿宋" w:eastAsia="方正仿宋简体"/>
          <w:b w:val="0"/>
          <w:bCs/>
          <w:color w:val="000000"/>
          <w:sz w:val="32"/>
          <w:szCs w:val="32"/>
        </w:rPr>
        <w:t>完成预算25.94%。</w:t>
      </w:r>
      <w:r>
        <w:rPr>
          <w:rFonts w:hint="eastAsia" w:ascii="方正仿宋简体" w:eastAsia="方正仿宋简体"/>
          <w:color w:val="000000"/>
          <w:sz w:val="32"/>
          <w:szCs w:val="32"/>
        </w:rPr>
        <w:t>比2018年增加0.43万元，增加121.17%</w:t>
      </w:r>
      <w:r>
        <w:rPr>
          <w:rFonts w:hint="eastAsia" w:ascii="方正仿宋简体" w:eastAsia="方正仿宋简体"/>
          <w:sz w:val="32"/>
          <w:szCs w:val="32"/>
        </w:rPr>
        <w:t>。</w:t>
      </w:r>
      <w:r>
        <w:rPr>
          <w:rFonts w:hint="eastAsia" w:ascii="方正仿宋简体" w:eastAsia="方正仿宋简体"/>
          <w:color w:val="333333"/>
          <w:sz w:val="32"/>
          <w:szCs w:val="32"/>
        </w:rPr>
        <w:t>主要原因是认真贯彻落实中央八项规定及省委</w:t>
      </w:r>
      <w:r>
        <w:rPr>
          <w:rFonts w:hint="eastAsia" w:ascii="方正仿宋简体" w:eastAsia="方正仿宋简体"/>
          <w:color w:val="333333"/>
          <w:sz w:val="32"/>
          <w:szCs w:val="32"/>
          <w:lang w:eastAsia="zh-CN"/>
        </w:rPr>
        <w:t>、</w:t>
      </w:r>
      <w:r>
        <w:rPr>
          <w:rFonts w:hint="eastAsia" w:ascii="方正仿宋简体" w:eastAsia="方正仿宋简体"/>
          <w:color w:val="333333"/>
          <w:sz w:val="32"/>
          <w:szCs w:val="32"/>
        </w:rPr>
        <w:t>省政府十项规定要求，公务接待费用于执行公务、考察调研、检查指导等公务活动开支的交通费、住宿费、用餐费等，严格控制接待规模及接待标准，厉行节俭节约开支。　　</w:t>
      </w:r>
    </w:p>
    <w:p>
      <w:pPr>
        <w:widowControl/>
        <w:adjustRightInd w:val="0"/>
        <w:snapToGrid w:val="0"/>
        <w:spacing w:line="600" w:lineRule="exact"/>
        <w:ind w:firstLine="720"/>
        <w:jc w:val="left"/>
        <w:rPr>
          <w:rFonts w:ascii="方正仿宋简体" w:eastAsia="方正仿宋简体"/>
          <w:color w:val="000000"/>
          <w:kern w:val="0"/>
          <w:sz w:val="32"/>
          <w:szCs w:val="32"/>
        </w:rPr>
      </w:pPr>
      <w:r>
        <w:rPr>
          <w:rFonts w:hint="eastAsia" w:ascii="方正仿宋简体" w:eastAsia="方正仿宋简体"/>
          <w:color w:val="000000"/>
          <w:kern w:val="0"/>
          <w:sz w:val="32"/>
          <w:szCs w:val="32"/>
        </w:rPr>
        <w:t>3.节能降耗。</w:t>
      </w:r>
      <w:r>
        <w:rPr>
          <w:rFonts w:hint="eastAsia" w:ascii="方正仿宋简体" w:eastAsia="方正仿宋简体"/>
          <w:color w:val="000000"/>
          <w:sz w:val="32"/>
          <w:szCs w:val="32"/>
        </w:rPr>
        <w:t>我局高度重视节能工作，并将节能工作摆在重要位置，年初纳入议事日程，召开专题会议研究部署，成立了节能工作领导小组，优化细化工作措施，进一步管制能耗达到逐步下降良好趋势</w:t>
      </w:r>
      <w:r>
        <w:rPr>
          <w:rFonts w:hint="eastAsia" w:ascii="方正仿宋简体" w:eastAsia="方正仿宋简体" w:cs="宋体"/>
          <w:kern w:val="0"/>
          <w:sz w:val="32"/>
          <w:szCs w:val="32"/>
        </w:rPr>
        <w:t>，</w:t>
      </w:r>
      <w:r>
        <w:rPr>
          <w:rFonts w:hint="eastAsia" w:ascii="方正仿宋简体" w:eastAsia="方正仿宋简体"/>
          <w:color w:val="000000"/>
          <w:sz w:val="32"/>
          <w:szCs w:val="32"/>
        </w:rPr>
        <w:t>把能耗控制在最低点，着力把机关建成资源节约型、环境友好型绿色低碳机关。</w:t>
      </w:r>
    </w:p>
    <w:p>
      <w:pPr>
        <w:widowControl/>
        <w:adjustRightInd w:val="0"/>
        <w:snapToGrid w:val="0"/>
        <w:spacing w:line="600" w:lineRule="exact"/>
        <w:ind w:firstLine="720"/>
        <w:jc w:val="left"/>
        <w:rPr>
          <w:rFonts w:ascii="方正仿宋简体" w:eastAsia="方正仿宋简体"/>
          <w:color w:val="000000"/>
          <w:kern w:val="0"/>
          <w:sz w:val="32"/>
          <w:szCs w:val="32"/>
        </w:rPr>
      </w:pPr>
      <w:r>
        <w:rPr>
          <w:rFonts w:eastAsia="楷体"/>
          <w:color w:val="000000"/>
          <w:kern w:val="0"/>
          <w:sz w:val="32"/>
          <w:szCs w:val="32"/>
          <w:lang w:val="zh-CN"/>
        </w:rPr>
        <w:t>（</w:t>
      </w:r>
      <w:r>
        <w:rPr>
          <w:rFonts w:ascii="方正仿宋简体" w:eastAsia="方正仿宋简体"/>
          <w:color w:val="000000"/>
          <w:kern w:val="0"/>
          <w:sz w:val="32"/>
          <w:szCs w:val="32"/>
        </w:rPr>
        <w:t>三）综合管理情况。</w:t>
      </w:r>
    </w:p>
    <w:p>
      <w:pPr>
        <w:widowControl/>
        <w:adjustRightInd w:val="0"/>
        <w:snapToGrid w:val="0"/>
        <w:spacing w:line="600" w:lineRule="exact"/>
        <w:ind w:firstLine="720"/>
        <w:jc w:val="left"/>
        <w:rPr>
          <w:rFonts w:ascii="方正仿宋简体" w:eastAsia="方正仿宋简体"/>
          <w:color w:val="000000"/>
          <w:kern w:val="0"/>
          <w:sz w:val="32"/>
          <w:szCs w:val="32"/>
        </w:rPr>
      </w:pPr>
      <w:r>
        <w:rPr>
          <w:rFonts w:ascii="方正仿宋简体" w:eastAsia="方正仿宋简体"/>
          <w:color w:val="000000"/>
          <w:kern w:val="0"/>
          <w:sz w:val="32"/>
          <w:szCs w:val="32"/>
        </w:rPr>
        <w:t>1.政府性债务管理。201</w:t>
      </w:r>
      <w:r>
        <w:rPr>
          <w:rFonts w:hint="eastAsia" w:ascii="方正仿宋简体" w:eastAsia="方正仿宋简体"/>
          <w:color w:val="000000"/>
          <w:kern w:val="0"/>
          <w:sz w:val="32"/>
          <w:szCs w:val="32"/>
        </w:rPr>
        <w:t>9</w:t>
      </w:r>
      <w:r>
        <w:rPr>
          <w:rFonts w:ascii="方正仿宋简体" w:eastAsia="方正仿宋简体"/>
          <w:color w:val="000000"/>
          <w:kern w:val="0"/>
          <w:sz w:val="32"/>
          <w:szCs w:val="32"/>
        </w:rPr>
        <w:t>年区农经局无政府性债务。</w:t>
      </w:r>
    </w:p>
    <w:p>
      <w:pPr>
        <w:widowControl/>
        <w:adjustRightInd w:val="0"/>
        <w:snapToGrid w:val="0"/>
        <w:spacing w:line="600" w:lineRule="exact"/>
        <w:ind w:firstLine="720"/>
        <w:jc w:val="left"/>
        <w:rPr>
          <w:rFonts w:ascii="方正仿宋简体" w:eastAsia="方正仿宋简体"/>
          <w:color w:val="000000"/>
          <w:kern w:val="0"/>
          <w:sz w:val="32"/>
          <w:szCs w:val="32"/>
        </w:rPr>
      </w:pPr>
      <w:r>
        <w:rPr>
          <w:rFonts w:ascii="方正仿宋简体" w:eastAsia="方正仿宋简体"/>
          <w:color w:val="000000"/>
          <w:kern w:val="0"/>
          <w:sz w:val="32"/>
          <w:szCs w:val="32"/>
        </w:rPr>
        <w:t>2非税收入执收。201</w:t>
      </w:r>
      <w:r>
        <w:rPr>
          <w:rFonts w:hint="eastAsia" w:ascii="方正仿宋简体" w:eastAsia="方正仿宋简体"/>
          <w:color w:val="000000"/>
          <w:kern w:val="0"/>
          <w:sz w:val="32"/>
          <w:szCs w:val="32"/>
        </w:rPr>
        <w:t>9</w:t>
      </w:r>
      <w:r>
        <w:rPr>
          <w:rFonts w:ascii="方正仿宋简体" w:eastAsia="方正仿宋简体"/>
          <w:color w:val="000000"/>
          <w:kern w:val="0"/>
          <w:sz w:val="32"/>
          <w:szCs w:val="32"/>
        </w:rPr>
        <w:t>年</w:t>
      </w:r>
      <w:r>
        <w:rPr>
          <w:rFonts w:hint="eastAsia" w:ascii="方正仿宋简体" w:eastAsia="方正仿宋简体"/>
          <w:color w:val="000000"/>
          <w:kern w:val="0"/>
          <w:sz w:val="32"/>
          <w:szCs w:val="32"/>
        </w:rPr>
        <w:t>无。</w:t>
      </w:r>
    </w:p>
    <w:p>
      <w:pPr>
        <w:widowControl/>
        <w:adjustRightInd w:val="0"/>
        <w:snapToGrid w:val="0"/>
        <w:spacing w:line="600" w:lineRule="exact"/>
        <w:ind w:firstLine="640" w:firstLineChars="200"/>
        <w:jc w:val="left"/>
        <w:rPr>
          <w:rFonts w:ascii="方正仿宋简体" w:eastAsia="方正仿宋简体"/>
          <w:color w:val="000000"/>
          <w:kern w:val="0"/>
          <w:sz w:val="32"/>
          <w:szCs w:val="32"/>
        </w:rPr>
      </w:pPr>
      <w:r>
        <w:rPr>
          <w:rFonts w:hint="eastAsia" w:ascii="方正仿宋简体" w:eastAsia="方正仿宋简体"/>
          <w:color w:val="000000"/>
          <w:kern w:val="0"/>
          <w:sz w:val="32"/>
          <w:szCs w:val="32"/>
        </w:rPr>
        <w:t>3.</w:t>
      </w:r>
      <w:r>
        <w:rPr>
          <w:rFonts w:ascii="方正仿宋简体" w:eastAsia="方正仿宋简体"/>
          <w:color w:val="000000"/>
          <w:kern w:val="0"/>
          <w:sz w:val="32"/>
          <w:szCs w:val="32"/>
        </w:rPr>
        <w:t>政策采购实施计划。</w:t>
      </w:r>
      <w:r>
        <w:rPr>
          <w:rFonts w:hint="eastAsia" w:ascii="方正仿宋简体" w:eastAsia="方正仿宋简体"/>
          <w:color w:val="000000"/>
          <w:kern w:val="0"/>
          <w:sz w:val="32"/>
          <w:szCs w:val="32"/>
        </w:rPr>
        <w:t>2019年区农经局未开展政府集中性采购工作。</w:t>
      </w:r>
    </w:p>
    <w:p>
      <w:pPr>
        <w:widowControl/>
        <w:adjustRightInd w:val="0"/>
        <w:snapToGrid w:val="0"/>
        <w:spacing w:line="600" w:lineRule="exact"/>
        <w:ind w:firstLine="720"/>
        <w:jc w:val="left"/>
        <w:rPr>
          <w:rFonts w:ascii="方正仿宋简体" w:eastAsia="方正仿宋简体"/>
          <w:color w:val="000000"/>
          <w:kern w:val="0"/>
          <w:sz w:val="32"/>
          <w:szCs w:val="32"/>
        </w:rPr>
      </w:pPr>
      <w:r>
        <w:rPr>
          <w:rFonts w:ascii="方正仿宋简体" w:eastAsia="方正仿宋简体"/>
          <w:color w:val="000000"/>
          <w:kern w:val="0"/>
          <w:sz w:val="32"/>
          <w:szCs w:val="32"/>
        </w:rPr>
        <w:t>4.资产管理。201</w:t>
      </w:r>
      <w:r>
        <w:rPr>
          <w:rFonts w:hint="eastAsia" w:ascii="方正仿宋简体" w:eastAsia="方正仿宋简体"/>
          <w:color w:val="000000"/>
          <w:kern w:val="0"/>
          <w:sz w:val="32"/>
          <w:szCs w:val="32"/>
        </w:rPr>
        <w:t>9</w:t>
      </w:r>
      <w:r>
        <w:rPr>
          <w:rFonts w:ascii="方正仿宋简体" w:eastAsia="方正仿宋简体"/>
          <w:color w:val="000000"/>
          <w:kern w:val="0"/>
          <w:sz w:val="32"/>
          <w:szCs w:val="32"/>
        </w:rPr>
        <w:t>年末区农经局固定资产</w:t>
      </w:r>
      <w:r>
        <w:rPr>
          <w:rFonts w:hint="eastAsia" w:ascii="方正仿宋简体" w:eastAsia="方正仿宋简体"/>
          <w:color w:val="000000"/>
          <w:kern w:val="0"/>
          <w:sz w:val="32"/>
          <w:szCs w:val="32"/>
        </w:rPr>
        <w:t>79.93</w:t>
      </w:r>
      <w:r>
        <w:rPr>
          <w:rFonts w:ascii="方正仿宋简体" w:eastAsia="方正仿宋简体"/>
          <w:color w:val="000000"/>
          <w:kern w:val="0"/>
          <w:sz w:val="32"/>
          <w:szCs w:val="32"/>
        </w:rPr>
        <w:t>万元，其中通用设备</w:t>
      </w:r>
      <w:r>
        <w:rPr>
          <w:rFonts w:hint="eastAsia" w:ascii="方正仿宋简体" w:eastAsia="方正仿宋简体"/>
          <w:color w:val="000000"/>
          <w:kern w:val="0"/>
          <w:sz w:val="32"/>
          <w:szCs w:val="32"/>
        </w:rPr>
        <w:t>67.61</w:t>
      </w:r>
      <w:r>
        <w:rPr>
          <w:rFonts w:ascii="方正仿宋简体" w:eastAsia="方正仿宋简体"/>
          <w:color w:val="000000"/>
          <w:kern w:val="0"/>
          <w:sz w:val="32"/>
          <w:szCs w:val="32"/>
        </w:rPr>
        <w:t>万元，专用设备0.34万元，家具、用具、装具及动植物11.97万元。我局建立健全了单位的固定资产管理制度，依托于固定资产动态管理系统，实现了对固定资产的实时管理，不仅仅明确了资产分类，还很直观</w:t>
      </w:r>
      <w:r>
        <w:rPr>
          <w:rFonts w:hint="eastAsia" w:ascii="方正仿宋简体" w:eastAsia="方正仿宋简体"/>
          <w:color w:val="000000"/>
          <w:kern w:val="0"/>
          <w:sz w:val="32"/>
          <w:szCs w:val="32"/>
          <w:lang w:eastAsia="zh-CN"/>
        </w:rPr>
        <w:t>地</w:t>
      </w:r>
      <w:r>
        <w:rPr>
          <w:rFonts w:ascii="方正仿宋简体" w:eastAsia="方正仿宋简体"/>
          <w:color w:val="000000"/>
          <w:kern w:val="0"/>
          <w:sz w:val="32"/>
          <w:szCs w:val="32"/>
        </w:rPr>
        <w:t>体现了资产的分布、构成和变动。</w:t>
      </w:r>
    </w:p>
    <w:p>
      <w:pPr>
        <w:widowControl/>
        <w:adjustRightInd w:val="0"/>
        <w:snapToGrid w:val="0"/>
        <w:spacing w:line="600" w:lineRule="exact"/>
        <w:ind w:firstLine="720"/>
        <w:jc w:val="left"/>
        <w:rPr>
          <w:rFonts w:ascii="方正仿宋简体" w:eastAsia="方正仿宋简体"/>
          <w:color w:val="000000"/>
          <w:kern w:val="0"/>
          <w:sz w:val="32"/>
          <w:szCs w:val="32"/>
        </w:rPr>
      </w:pPr>
      <w:r>
        <w:rPr>
          <w:rFonts w:hint="eastAsia" w:ascii="方正仿宋简体" w:eastAsia="方正仿宋简体"/>
          <w:color w:val="000000"/>
          <w:kern w:val="0"/>
          <w:sz w:val="32"/>
          <w:szCs w:val="32"/>
        </w:rPr>
        <w:t>5</w:t>
      </w:r>
      <w:r>
        <w:rPr>
          <w:rFonts w:ascii="方正仿宋简体" w:eastAsia="方正仿宋简体"/>
          <w:color w:val="000000"/>
          <w:kern w:val="0"/>
          <w:sz w:val="32"/>
          <w:szCs w:val="32"/>
        </w:rPr>
        <w:t>.信息公开。根据《</w:t>
      </w:r>
      <w:r>
        <w:rPr>
          <w:rFonts w:hint="eastAsia" w:ascii="方正仿宋简体" w:eastAsia="方正仿宋简体"/>
          <w:color w:val="000000"/>
          <w:kern w:val="0"/>
          <w:sz w:val="32"/>
          <w:szCs w:val="32"/>
          <w:lang w:eastAsia="zh-CN"/>
        </w:rPr>
        <w:t>中华人民共和国</w:t>
      </w:r>
      <w:r>
        <w:rPr>
          <w:rFonts w:ascii="方正仿宋简体" w:eastAsia="方正仿宋简体"/>
          <w:color w:val="000000"/>
          <w:kern w:val="0"/>
          <w:sz w:val="32"/>
          <w:szCs w:val="32"/>
        </w:rPr>
        <w:t>预算法》要求，我局切实履行公开责任和义务，及时在财政部门批复后二十日内向社会公开本部门预算、决算编制说明（含所有财政资金安排的“三公”经费、机关运行经费的安排、使用情况等），积极做好了部门年度预、决算公开工作，201</w:t>
      </w:r>
      <w:r>
        <w:rPr>
          <w:rFonts w:hint="eastAsia" w:ascii="方正仿宋简体" w:eastAsia="方正仿宋简体"/>
          <w:color w:val="000000"/>
          <w:kern w:val="0"/>
          <w:sz w:val="32"/>
          <w:szCs w:val="32"/>
        </w:rPr>
        <w:t>9</w:t>
      </w:r>
      <w:r>
        <w:rPr>
          <w:rFonts w:ascii="方正仿宋简体" w:eastAsia="方正仿宋简体"/>
          <w:color w:val="000000"/>
          <w:kern w:val="0"/>
          <w:sz w:val="32"/>
          <w:szCs w:val="32"/>
        </w:rPr>
        <w:t>年我局预算编制说明已在区政府门户网站上公开</w:t>
      </w:r>
      <w:r>
        <w:rPr>
          <w:rFonts w:hint="eastAsia" w:ascii="方正仿宋简体" w:eastAsia="方正仿宋简体"/>
          <w:color w:val="000000"/>
          <w:kern w:val="0"/>
          <w:sz w:val="32"/>
          <w:szCs w:val="32"/>
        </w:rPr>
        <w:t>。</w:t>
      </w:r>
    </w:p>
    <w:p>
      <w:pPr>
        <w:spacing w:line="600" w:lineRule="exact"/>
        <w:ind w:firstLine="640" w:firstLineChars="200"/>
        <w:rPr>
          <w:rFonts w:ascii="方正仿宋简体" w:eastAsia="方正仿宋简体"/>
          <w:color w:val="000000"/>
          <w:kern w:val="0"/>
          <w:sz w:val="32"/>
          <w:szCs w:val="32"/>
        </w:rPr>
      </w:pPr>
      <w:r>
        <w:rPr>
          <w:rFonts w:hint="eastAsia" w:ascii="方正仿宋简体" w:eastAsia="方正仿宋简体"/>
          <w:color w:val="000000"/>
          <w:kern w:val="0"/>
          <w:sz w:val="32"/>
          <w:szCs w:val="32"/>
        </w:rPr>
        <w:t>6.</w:t>
      </w:r>
      <w:r>
        <w:rPr>
          <w:rFonts w:ascii="方正仿宋简体" w:eastAsia="方正仿宋简体"/>
          <w:color w:val="000000"/>
          <w:kern w:val="0"/>
          <w:sz w:val="32"/>
          <w:szCs w:val="32"/>
        </w:rPr>
        <w:t>绩效评价。区农经局未对201</w:t>
      </w:r>
      <w:r>
        <w:rPr>
          <w:rFonts w:hint="eastAsia" w:ascii="方正仿宋简体" w:eastAsia="方正仿宋简体"/>
          <w:color w:val="000000"/>
          <w:kern w:val="0"/>
          <w:sz w:val="32"/>
          <w:szCs w:val="32"/>
        </w:rPr>
        <w:t>9</w:t>
      </w:r>
      <w:r>
        <w:rPr>
          <w:rFonts w:ascii="方正仿宋简体" w:eastAsia="方正仿宋简体"/>
          <w:color w:val="000000"/>
          <w:kern w:val="0"/>
          <w:sz w:val="32"/>
          <w:szCs w:val="32"/>
        </w:rPr>
        <w:t>年一般公共预算项目支出开展绩效目标管理。</w:t>
      </w:r>
    </w:p>
    <w:p>
      <w:pPr>
        <w:spacing w:line="600" w:lineRule="exact"/>
        <w:ind w:firstLine="640" w:firstLineChars="200"/>
        <w:rPr>
          <w:rFonts w:ascii="方正仿宋简体" w:eastAsia="方正仿宋简体"/>
          <w:color w:val="000000"/>
          <w:kern w:val="0"/>
          <w:sz w:val="32"/>
          <w:szCs w:val="32"/>
        </w:rPr>
      </w:pPr>
      <w:r>
        <w:rPr>
          <w:rFonts w:hint="eastAsia" w:ascii="方正仿宋简体" w:eastAsia="方正仿宋简体"/>
          <w:color w:val="000000"/>
          <w:kern w:val="0"/>
          <w:sz w:val="32"/>
          <w:szCs w:val="32"/>
        </w:rPr>
        <w:t>7</w:t>
      </w:r>
      <w:r>
        <w:rPr>
          <w:rFonts w:ascii="方正仿宋简体" w:eastAsia="方正仿宋简体"/>
          <w:color w:val="000000"/>
          <w:kern w:val="0"/>
          <w:sz w:val="32"/>
          <w:szCs w:val="32"/>
        </w:rPr>
        <w:t>.依法接受财政监督</w:t>
      </w:r>
      <w:r>
        <w:rPr>
          <w:rFonts w:hint="eastAsia" w:ascii="方正仿宋简体" w:eastAsia="方正仿宋简体"/>
          <w:color w:val="000000"/>
          <w:kern w:val="0"/>
          <w:sz w:val="32"/>
          <w:szCs w:val="32"/>
        </w:rPr>
        <w:t>。区农经局严格按照区财政局制发文件及农口工作群交办工作，高质高效报送相关表册、数据、报告，依法依规依纪接受财政监督，提高本部门财务实效。</w:t>
      </w:r>
    </w:p>
    <w:p>
      <w:pPr>
        <w:widowControl/>
        <w:adjustRightInd w:val="0"/>
        <w:snapToGrid w:val="0"/>
        <w:spacing w:line="600" w:lineRule="exact"/>
        <w:ind w:firstLine="720"/>
        <w:jc w:val="left"/>
        <w:rPr>
          <w:rFonts w:eastAsia="楷体"/>
          <w:color w:val="000000"/>
          <w:kern w:val="0"/>
          <w:sz w:val="32"/>
          <w:szCs w:val="32"/>
          <w:lang w:val="zh-CN"/>
        </w:rPr>
      </w:pPr>
      <w:r>
        <w:rPr>
          <w:rFonts w:eastAsia="楷体"/>
          <w:color w:val="000000"/>
          <w:kern w:val="0"/>
          <w:sz w:val="32"/>
          <w:szCs w:val="32"/>
          <w:lang w:val="zh-CN"/>
        </w:rPr>
        <w:t>（四）整体绩效。</w:t>
      </w:r>
    </w:p>
    <w:p>
      <w:pPr>
        <w:pStyle w:val="29"/>
        <w:widowControl w:val="0"/>
        <w:spacing w:line="600" w:lineRule="exact"/>
        <w:ind w:firstLine="640"/>
        <w:rPr>
          <w:rFonts w:eastAsia="方正仿宋简体"/>
          <w:szCs w:val="32"/>
        </w:rPr>
      </w:pPr>
      <w:r>
        <w:rPr>
          <w:rFonts w:eastAsia="方正仿宋简体"/>
          <w:szCs w:val="32"/>
        </w:rPr>
        <w:t>201</w:t>
      </w:r>
      <w:r>
        <w:rPr>
          <w:rFonts w:hint="eastAsia" w:eastAsia="方正仿宋简体"/>
          <w:szCs w:val="32"/>
        </w:rPr>
        <w:t>9</w:t>
      </w:r>
      <w:r>
        <w:rPr>
          <w:rFonts w:eastAsia="方正仿宋简体"/>
          <w:szCs w:val="32"/>
        </w:rPr>
        <w:t>年以来，我局认真贯彻落实党的十九大精神、区委</w:t>
      </w:r>
      <w:r>
        <w:rPr>
          <w:rFonts w:hint="eastAsia" w:eastAsia="方正仿宋简体"/>
          <w:szCs w:val="32"/>
        </w:rPr>
        <w:t>五</w:t>
      </w:r>
      <w:r>
        <w:rPr>
          <w:rFonts w:eastAsia="方正仿宋简体"/>
          <w:szCs w:val="32"/>
        </w:rPr>
        <w:t>届</w:t>
      </w:r>
      <w:r>
        <w:rPr>
          <w:rFonts w:hint="eastAsia" w:eastAsia="方正仿宋简体"/>
          <w:szCs w:val="32"/>
        </w:rPr>
        <w:t>四</w:t>
      </w:r>
      <w:r>
        <w:rPr>
          <w:rFonts w:eastAsia="方正仿宋简体"/>
          <w:szCs w:val="32"/>
        </w:rPr>
        <w:t>次、区政府五届三次全会精神和区委</w:t>
      </w:r>
      <w:r>
        <w:rPr>
          <w:rFonts w:hint="eastAsia" w:eastAsia="方正仿宋简体"/>
          <w:szCs w:val="32"/>
          <w:lang w:eastAsia="zh-CN"/>
        </w:rPr>
        <w:t>、</w:t>
      </w:r>
      <w:r>
        <w:rPr>
          <w:rFonts w:eastAsia="方正仿宋简体"/>
          <w:szCs w:val="32"/>
        </w:rPr>
        <w:t>区政府关于农业农村工作的总体部署，紧紧围绕</w:t>
      </w:r>
      <w:r>
        <w:rPr>
          <w:rFonts w:eastAsia="仿宋"/>
          <w:szCs w:val="32"/>
        </w:rPr>
        <w:t>201</w:t>
      </w:r>
      <w:r>
        <w:rPr>
          <w:rFonts w:hint="eastAsia" w:eastAsia="仿宋"/>
          <w:szCs w:val="32"/>
        </w:rPr>
        <w:t>9</w:t>
      </w:r>
      <w:r>
        <w:rPr>
          <w:rFonts w:eastAsia="仿宋"/>
          <w:szCs w:val="32"/>
        </w:rPr>
        <w:t>年雁江区《政府工作报告》政务目标及资阳市农业局下达的201</w:t>
      </w:r>
      <w:r>
        <w:rPr>
          <w:rFonts w:hint="eastAsia" w:eastAsia="仿宋"/>
          <w:szCs w:val="32"/>
        </w:rPr>
        <w:t>9</w:t>
      </w:r>
      <w:r>
        <w:rPr>
          <w:rFonts w:eastAsia="仿宋"/>
          <w:szCs w:val="32"/>
        </w:rPr>
        <w:t>年农业目标任务，</w:t>
      </w:r>
      <w:r>
        <w:rPr>
          <w:rFonts w:eastAsia="方正仿宋简体"/>
          <w:szCs w:val="32"/>
        </w:rPr>
        <w:t>大力实施乡村振兴战略，探索</w:t>
      </w:r>
      <w:r>
        <w:rPr>
          <w:rFonts w:hint="eastAsia" w:ascii="方正仿宋简体" w:hAnsi="方正仿宋简体" w:eastAsia="方正仿宋简体" w:cs="方正仿宋简体"/>
          <w:szCs w:val="32"/>
        </w:rPr>
        <w:t>“三权分置”</w:t>
      </w:r>
      <w:r>
        <w:rPr>
          <w:rFonts w:eastAsia="方正仿宋简体"/>
          <w:szCs w:val="32"/>
        </w:rPr>
        <w:t>有效形式，积极启动农村集体产权制度改革，全面完成农村集体资产清产核资工作，着力探索集体经济发展新模式，全力打赢脱贫攻坚战，较好完成了本年目标任务</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600" w:lineRule="exact"/>
        <w:ind w:firstLine="640"/>
        <w:rPr>
          <w:rFonts w:eastAsia="仿宋_GB2312"/>
          <w:color w:val="333333"/>
          <w:sz w:val="32"/>
          <w:szCs w:val="32"/>
          <w:shd w:val="clear" w:color="auto" w:fill="FFFFFF"/>
        </w:rPr>
      </w:pPr>
      <w:r>
        <w:rPr>
          <w:rFonts w:eastAsia="仿宋_GB2312"/>
          <w:color w:val="333333"/>
          <w:sz w:val="32"/>
          <w:szCs w:val="32"/>
          <w:shd w:val="clear" w:color="auto" w:fill="FFFFFF"/>
        </w:rPr>
        <w:t>从总体情况自评来看，</w:t>
      </w:r>
      <w:r>
        <w:rPr>
          <w:rFonts w:hint="eastAsia" w:eastAsia="仿宋_GB2312"/>
          <w:color w:val="333333"/>
          <w:sz w:val="32"/>
          <w:szCs w:val="32"/>
          <w:shd w:val="clear" w:color="auto" w:fill="FFFFFF"/>
        </w:rPr>
        <w:t>2019</w:t>
      </w:r>
      <w:r>
        <w:rPr>
          <w:rFonts w:eastAsia="仿宋_GB2312"/>
          <w:color w:val="333333"/>
          <w:sz w:val="32"/>
          <w:szCs w:val="32"/>
          <w:shd w:val="clear" w:color="auto" w:fill="FFFFFF"/>
        </w:rPr>
        <w:t>年度农经局虽取得了较好的成绩，但也存在困难和不足，主要体现在经费少而紧，创收难，而上级要求严，标准高，经费困难与精细化管理之间存在矛盾。尽管如此，我们仍会千方百计想尽办法，克服困难，坚定信念，开源节流，加强内部财务管理，加强资金的绩效管理，把工作做得更精细扎实。</w:t>
      </w:r>
    </w:p>
    <w:p>
      <w:pPr>
        <w:spacing w:line="600" w:lineRule="exact"/>
        <w:ind w:firstLine="640"/>
        <w:rPr>
          <w:rFonts w:eastAsia="仿宋_GB2312"/>
          <w:color w:val="333333"/>
          <w:sz w:val="32"/>
          <w:szCs w:val="32"/>
          <w:shd w:val="clear" w:color="auto" w:fill="FFFFFF"/>
        </w:rPr>
      </w:pPr>
    </w:p>
    <w:p>
      <w:pPr>
        <w:spacing w:line="600" w:lineRule="exact"/>
        <w:outlineLvl w:val="0"/>
        <w:rPr>
          <w:rFonts w:eastAsia="仿宋_GB2312"/>
          <w:color w:val="333333"/>
          <w:sz w:val="32"/>
          <w:szCs w:val="32"/>
          <w:shd w:val="clear" w:color="auto" w:fill="FFFFFF"/>
        </w:rPr>
      </w:pPr>
      <w:bookmarkStart w:id="62" w:name="_Toc17103570"/>
    </w:p>
    <w:p>
      <w:pPr>
        <w:spacing w:line="600" w:lineRule="exact"/>
        <w:jc w:val="center"/>
        <w:outlineLvl w:val="0"/>
        <w:rPr>
          <w:rFonts w:ascii="黑体" w:hAnsi="黑体" w:eastAsia="黑体"/>
          <w:bCs/>
          <w:kern w:val="44"/>
          <w:sz w:val="44"/>
          <w:szCs w:val="44"/>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8"/>
      <w:bookmarkEnd w:id="62"/>
    </w:p>
    <w:p>
      <w:pPr>
        <w:pStyle w:val="3"/>
        <w:spacing w:before="0" w:after="0"/>
        <w:rPr>
          <w:rFonts w:ascii="仿宋" w:hAnsi="仿宋" w:eastAsia="仿宋"/>
          <w:color w:val="000000"/>
        </w:rPr>
      </w:pPr>
      <w:bookmarkStart w:id="63" w:name="_Toc17103571"/>
      <w:r>
        <w:rPr>
          <w:rFonts w:hint="eastAsia" w:ascii="仿宋" w:hAnsi="仿宋" w:eastAsia="仿宋"/>
          <w:b w:val="0"/>
          <w:color w:val="000000"/>
        </w:rPr>
        <w:t>一、收</w:t>
      </w:r>
      <w:r>
        <w:rPr>
          <w:rStyle w:val="25"/>
          <w:rFonts w:hint="eastAsia" w:ascii="仿宋" w:hAnsi="仿宋" w:eastAsia="仿宋"/>
          <w:b w:val="0"/>
          <w:bCs w:val="0"/>
        </w:rPr>
        <w:t>入支出决算总表</w:t>
      </w:r>
      <w:bookmarkEnd w:id="63"/>
    </w:p>
    <w:p>
      <w:pPr>
        <w:pStyle w:val="3"/>
        <w:spacing w:before="0" w:after="0"/>
        <w:rPr>
          <w:rFonts w:ascii="仿宋" w:hAnsi="仿宋" w:eastAsia="仿宋"/>
          <w:color w:val="000000"/>
        </w:rPr>
      </w:pPr>
      <w:bookmarkStart w:id="64" w:name="_Toc17103572"/>
      <w:r>
        <w:rPr>
          <w:rFonts w:hint="eastAsia" w:ascii="仿宋" w:hAnsi="仿宋" w:eastAsia="仿宋"/>
          <w:b w:val="0"/>
          <w:color w:val="000000"/>
        </w:rPr>
        <w:t>二、收</w:t>
      </w:r>
      <w:r>
        <w:rPr>
          <w:rStyle w:val="25"/>
          <w:rFonts w:hint="eastAsia" w:ascii="仿宋" w:hAnsi="仿宋" w:eastAsia="仿宋"/>
          <w:b w:val="0"/>
          <w:bCs w:val="0"/>
        </w:rPr>
        <w:t>入决算表</w:t>
      </w:r>
      <w:bookmarkEnd w:id="64"/>
    </w:p>
    <w:p>
      <w:pPr>
        <w:pStyle w:val="3"/>
        <w:spacing w:before="0" w:after="0"/>
        <w:rPr>
          <w:rFonts w:ascii="仿宋" w:hAnsi="仿宋" w:eastAsia="仿宋"/>
          <w:color w:val="000000"/>
        </w:rPr>
      </w:pPr>
      <w:bookmarkStart w:id="65" w:name="_Toc17103573"/>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5"/>
    </w:p>
    <w:p>
      <w:pPr>
        <w:pStyle w:val="3"/>
        <w:spacing w:before="0" w:after="0"/>
        <w:rPr>
          <w:rFonts w:ascii="仿宋" w:hAnsi="仿宋" w:eastAsia="仿宋"/>
          <w:b w:val="0"/>
          <w:color w:val="000000"/>
        </w:rPr>
      </w:pPr>
      <w:bookmarkStart w:id="66" w:name="_Toc17103574"/>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6"/>
    </w:p>
    <w:p>
      <w:pPr>
        <w:pStyle w:val="3"/>
        <w:spacing w:before="0" w:after="0"/>
        <w:rPr>
          <w:rFonts w:ascii="仿宋" w:hAnsi="仿宋" w:eastAsia="仿宋"/>
          <w:color w:val="000000"/>
        </w:rPr>
      </w:pPr>
      <w:bookmarkStart w:id="67" w:name="_Toc17103575"/>
      <w:r>
        <w:rPr>
          <w:rStyle w:val="25"/>
          <w:rFonts w:hint="eastAsia" w:ascii="仿宋" w:hAnsi="仿宋" w:eastAsia="仿宋"/>
          <w:b w:val="0"/>
          <w:bCs w:val="0"/>
        </w:rPr>
        <w:t>五、</w:t>
      </w:r>
      <w:bookmarkEnd w:id="67"/>
      <w:r>
        <w:rPr>
          <w:rFonts w:hint="eastAsia" w:ascii="仿宋" w:hAnsi="仿宋" w:eastAsia="仿宋"/>
          <w:b w:val="0"/>
          <w:color w:val="000000"/>
        </w:rPr>
        <w:t>一</w:t>
      </w:r>
      <w:r>
        <w:rPr>
          <w:rStyle w:val="25"/>
          <w:rFonts w:hint="eastAsia" w:ascii="仿宋" w:hAnsi="仿宋" w:eastAsia="仿宋"/>
          <w:b w:val="0"/>
          <w:bCs w:val="0"/>
        </w:rPr>
        <w:t>般公共预算财政拨款支出决算表</w:t>
      </w:r>
    </w:p>
    <w:p>
      <w:pPr>
        <w:pStyle w:val="3"/>
        <w:spacing w:before="0" w:after="0"/>
        <w:rPr>
          <w:rFonts w:ascii="仿宋" w:hAnsi="仿宋" w:eastAsia="仿宋"/>
          <w:color w:val="000000"/>
        </w:rPr>
      </w:pPr>
      <w:bookmarkStart w:id="68" w:name="_Toc17103576"/>
      <w:r>
        <w:rPr>
          <w:rStyle w:val="25"/>
          <w:rFonts w:hint="eastAsia" w:ascii="仿宋" w:hAnsi="仿宋" w:eastAsia="仿宋"/>
          <w:b w:val="0"/>
          <w:bCs w:val="0"/>
        </w:rPr>
        <w:t>六、</w:t>
      </w:r>
      <w:bookmarkEnd w:id="68"/>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p>
    <w:p>
      <w:pPr>
        <w:pStyle w:val="3"/>
        <w:spacing w:before="0" w:after="0"/>
        <w:rPr>
          <w:rFonts w:ascii="仿宋" w:hAnsi="仿宋" w:eastAsia="仿宋"/>
          <w:color w:val="000000"/>
        </w:rPr>
      </w:pPr>
      <w:bookmarkStart w:id="69" w:name="_Toc17103577"/>
      <w:r>
        <w:rPr>
          <w:rStyle w:val="25"/>
          <w:rFonts w:hint="eastAsia" w:ascii="仿宋" w:hAnsi="仿宋" w:eastAsia="仿宋"/>
          <w:b w:val="0"/>
          <w:bCs w:val="0"/>
        </w:rPr>
        <w:t>七、</w:t>
      </w:r>
      <w:bookmarkEnd w:id="69"/>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p>
    <w:p>
      <w:pPr>
        <w:pStyle w:val="3"/>
        <w:spacing w:before="0" w:after="0"/>
        <w:rPr>
          <w:rFonts w:ascii="仿宋" w:hAnsi="仿宋" w:eastAsia="仿宋"/>
          <w:color w:val="000000"/>
        </w:rPr>
      </w:pPr>
      <w:bookmarkStart w:id="70" w:name="_Toc17103578"/>
      <w:r>
        <w:rPr>
          <w:rStyle w:val="25"/>
          <w:rFonts w:hint="eastAsia" w:ascii="仿宋" w:hAnsi="仿宋" w:eastAsia="仿宋"/>
          <w:b w:val="0"/>
          <w:bCs w:val="0"/>
        </w:rPr>
        <w:t>八、</w:t>
      </w:r>
      <w:bookmarkEnd w:id="70"/>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571" w:hanging="720"/>
      </w:pPr>
      <w:rPr>
        <w:rFonts w:hint="default"/>
        <w:b w:val="0"/>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jNTg3YjdiNWUyYjFhYzdkNDkyOTM3NzQwMjExZTYifQ=="/>
  </w:docVars>
  <w:rsids>
    <w:rsidRoot w:val="00F1361C"/>
    <w:rsid w:val="000222C6"/>
    <w:rsid w:val="0002314E"/>
    <w:rsid w:val="0002549F"/>
    <w:rsid w:val="0003385C"/>
    <w:rsid w:val="00046DB1"/>
    <w:rsid w:val="00061269"/>
    <w:rsid w:val="000646F2"/>
    <w:rsid w:val="0006487A"/>
    <w:rsid w:val="00065F8F"/>
    <w:rsid w:val="00067368"/>
    <w:rsid w:val="000768F2"/>
    <w:rsid w:val="0008479F"/>
    <w:rsid w:val="0009184B"/>
    <w:rsid w:val="0009593C"/>
    <w:rsid w:val="000B047F"/>
    <w:rsid w:val="000B5923"/>
    <w:rsid w:val="000B5A48"/>
    <w:rsid w:val="000B6FF3"/>
    <w:rsid w:val="000C3467"/>
    <w:rsid w:val="000C3CA6"/>
    <w:rsid w:val="000C6BB2"/>
    <w:rsid w:val="000D1267"/>
    <w:rsid w:val="000D1D50"/>
    <w:rsid w:val="000D5782"/>
    <w:rsid w:val="000E03AC"/>
    <w:rsid w:val="000E3215"/>
    <w:rsid w:val="000E6613"/>
    <w:rsid w:val="000E7119"/>
    <w:rsid w:val="000F2864"/>
    <w:rsid w:val="00103A96"/>
    <w:rsid w:val="00114A87"/>
    <w:rsid w:val="00114E9B"/>
    <w:rsid w:val="00132CC5"/>
    <w:rsid w:val="00143AC0"/>
    <w:rsid w:val="0014729F"/>
    <w:rsid w:val="00157BAB"/>
    <w:rsid w:val="001654D1"/>
    <w:rsid w:val="00166D75"/>
    <w:rsid w:val="0018106D"/>
    <w:rsid w:val="00184BD6"/>
    <w:rsid w:val="00184C02"/>
    <w:rsid w:val="001860C5"/>
    <w:rsid w:val="001877A7"/>
    <w:rsid w:val="00191536"/>
    <w:rsid w:val="00196687"/>
    <w:rsid w:val="001A43A4"/>
    <w:rsid w:val="001A7127"/>
    <w:rsid w:val="001B0C0D"/>
    <w:rsid w:val="001B2E41"/>
    <w:rsid w:val="001B6F50"/>
    <w:rsid w:val="001C0962"/>
    <w:rsid w:val="001C7034"/>
    <w:rsid w:val="001D7531"/>
    <w:rsid w:val="001E2377"/>
    <w:rsid w:val="001E737D"/>
    <w:rsid w:val="001F0336"/>
    <w:rsid w:val="001F0592"/>
    <w:rsid w:val="001F7506"/>
    <w:rsid w:val="002006CD"/>
    <w:rsid w:val="00202B36"/>
    <w:rsid w:val="00204B7A"/>
    <w:rsid w:val="0021101A"/>
    <w:rsid w:val="002114B7"/>
    <w:rsid w:val="002121C3"/>
    <w:rsid w:val="00220271"/>
    <w:rsid w:val="00220536"/>
    <w:rsid w:val="00225175"/>
    <w:rsid w:val="002314BC"/>
    <w:rsid w:val="00235629"/>
    <w:rsid w:val="0024509D"/>
    <w:rsid w:val="00260C38"/>
    <w:rsid w:val="002616C0"/>
    <w:rsid w:val="002662AA"/>
    <w:rsid w:val="00270C33"/>
    <w:rsid w:val="00280496"/>
    <w:rsid w:val="00295495"/>
    <w:rsid w:val="002B2613"/>
    <w:rsid w:val="002B5394"/>
    <w:rsid w:val="002C4E4C"/>
    <w:rsid w:val="002E330E"/>
    <w:rsid w:val="002F1818"/>
    <w:rsid w:val="002F567B"/>
    <w:rsid w:val="00301FC8"/>
    <w:rsid w:val="003216A9"/>
    <w:rsid w:val="003349AF"/>
    <w:rsid w:val="00344DE0"/>
    <w:rsid w:val="0035329B"/>
    <w:rsid w:val="003572B4"/>
    <w:rsid w:val="0037013F"/>
    <w:rsid w:val="00380C92"/>
    <w:rsid w:val="003A484F"/>
    <w:rsid w:val="003B0BE0"/>
    <w:rsid w:val="003B0C1B"/>
    <w:rsid w:val="003B279B"/>
    <w:rsid w:val="003B4A64"/>
    <w:rsid w:val="003B688C"/>
    <w:rsid w:val="003C0291"/>
    <w:rsid w:val="003C0EEF"/>
    <w:rsid w:val="003C39AE"/>
    <w:rsid w:val="003C7B60"/>
    <w:rsid w:val="003D1FB2"/>
    <w:rsid w:val="003D66DA"/>
    <w:rsid w:val="003E1310"/>
    <w:rsid w:val="003E6F55"/>
    <w:rsid w:val="003F14D3"/>
    <w:rsid w:val="0040119F"/>
    <w:rsid w:val="00406254"/>
    <w:rsid w:val="00415768"/>
    <w:rsid w:val="00416AD3"/>
    <w:rsid w:val="004223DE"/>
    <w:rsid w:val="004269D2"/>
    <w:rsid w:val="00433F11"/>
    <w:rsid w:val="00434489"/>
    <w:rsid w:val="00437085"/>
    <w:rsid w:val="00440EF3"/>
    <w:rsid w:val="00443880"/>
    <w:rsid w:val="004463D5"/>
    <w:rsid w:val="004464F4"/>
    <w:rsid w:val="00447DAF"/>
    <w:rsid w:val="00461D9D"/>
    <w:rsid w:val="00471401"/>
    <w:rsid w:val="00473F31"/>
    <w:rsid w:val="0048263A"/>
    <w:rsid w:val="00484F64"/>
    <w:rsid w:val="00487E5D"/>
    <w:rsid w:val="004A711F"/>
    <w:rsid w:val="004B199D"/>
    <w:rsid w:val="004B4690"/>
    <w:rsid w:val="004B74A0"/>
    <w:rsid w:val="004D2401"/>
    <w:rsid w:val="004E0A2D"/>
    <w:rsid w:val="004E206B"/>
    <w:rsid w:val="004E6DF7"/>
    <w:rsid w:val="004F0FBD"/>
    <w:rsid w:val="004F3DD5"/>
    <w:rsid w:val="00505A47"/>
    <w:rsid w:val="00512FDA"/>
    <w:rsid w:val="00520DA0"/>
    <w:rsid w:val="005213E3"/>
    <w:rsid w:val="005331D6"/>
    <w:rsid w:val="005530C2"/>
    <w:rsid w:val="005664BB"/>
    <w:rsid w:val="00567A4A"/>
    <w:rsid w:val="0057481D"/>
    <w:rsid w:val="0058115C"/>
    <w:rsid w:val="0058486E"/>
    <w:rsid w:val="005855ED"/>
    <w:rsid w:val="0059492F"/>
    <w:rsid w:val="005A23AF"/>
    <w:rsid w:val="005A6D32"/>
    <w:rsid w:val="005B1861"/>
    <w:rsid w:val="005B5A6B"/>
    <w:rsid w:val="005C2DB3"/>
    <w:rsid w:val="005C3215"/>
    <w:rsid w:val="005C5945"/>
    <w:rsid w:val="005C648A"/>
    <w:rsid w:val="005D1C8B"/>
    <w:rsid w:val="005D5CED"/>
    <w:rsid w:val="005D69F3"/>
    <w:rsid w:val="005F1A4C"/>
    <w:rsid w:val="005F4685"/>
    <w:rsid w:val="005F5E90"/>
    <w:rsid w:val="005F6D28"/>
    <w:rsid w:val="00605688"/>
    <w:rsid w:val="006070AF"/>
    <w:rsid w:val="00607E6C"/>
    <w:rsid w:val="006101B1"/>
    <w:rsid w:val="00614E44"/>
    <w:rsid w:val="00616E93"/>
    <w:rsid w:val="00622830"/>
    <w:rsid w:val="00630AEF"/>
    <w:rsid w:val="006325F8"/>
    <w:rsid w:val="006337AC"/>
    <w:rsid w:val="00634C9A"/>
    <w:rsid w:val="0063776C"/>
    <w:rsid w:val="00642408"/>
    <w:rsid w:val="006440E4"/>
    <w:rsid w:val="00647107"/>
    <w:rsid w:val="006474C6"/>
    <w:rsid w:val="00651CB8"/>
    <w:rsid w:val="00652F10"/>
    <w:rsid w:val="0066343B"/>
    <w:rsid w:val="00664777"/>
    <w:rsid w:val="00671425"/>
    <w:rsid w:val="006748A4"/>
    <w:rsid w:val="006763C2"/>
    <w:rsid w:val="00681766"/>
    <w:rsid w:val="00683E73"/>
    <w:rsid w:val="006867E8"/>
    <w:rsid w:val="006A0B7D"/>
    <w:rsid w:val="006A3141"/>
    <w:rsid w:val="006A3F34"/>
    <w:rsid w:val="006A5410"/>
    <w:rsid w:val="006A5E34"/>
    <w:rsid w:val="006B2422"/>
    <w:rsid w:val="006B2B9A"/>
    <w:rsid w:val="006C1937"/>
    <w:rsid w:val="006D22EB"/>
    <w:rsid w:val="006F020C"/>
    <w:rsid w:val="00704FE4"/>
    <w:rsid w:val="0071219F"/>
    <w:rsid w:val="007127B7"/>
    <w:rsid w:val="00716368"/>
    <w:rsid w:val="007416B6"/>
    <w:rsid w:val="00744003"/>
    <w:rsid w:val="00746F48"/>
    <w:rsid w:val="0075404D"/>
    <w:rsid w:val="007545E2"/>
    <w:rsid w:val="0076182A"/>
    <w:rsid w:val="00764DC3"/>
    <w:rsid w:val="007651F6"/>
    <w:rsid w:val="00767B7E"/>
    <w:rsid w:val="00773EEC"/>
    <w:rsid w:val="007770C3"/>
    <w:rsid w:val="00781BC0"/>
    <w:rsid w:val="00783158"/>
    <w:rsid w:val="00784D24"/>
    <w:rsid w:val="00785BEC"/>
    <w:rsid w:val="00785FBA"/>
    <w:rsid w:val="00786E4A"/>
    <w:rsid w:val="007875EB"/>
    <w:rsid w:val="0079426B"/>
    <w:rsid w:val="007956DE"/>
    <w:rsid w:val="007B03F9"/>
    <w:rsid w:val="007C0AB5"/>
    <w:rsid w:val="007D312A"/>
    <w:rsid w:val="007D3F19"/>
    <w:rsid w:val="007E23B0"/>
    <w:rsid w:val="007E6A10"/>
    <w:rsid w:val="007F1991"/>
    <w:rsid w:val="007F2517"/>
    <w:rsid w:val="007F2C2F"/>
    <w:rsid w:val="007F55FC"/>
    <w:rsid w:val="007F5665"/>
    <w:rsid w:val="00800112"/>
    <w:rsid w:val="00804E39"/>
    <w:rsid w:val="008076A0"/>
    <w:rsid w:val="00812246"/>
    <w:rsid w:val="00812341"/>
    <w:rsid w:val="008253BB"/>
    <w:rsid w:val="00830793"/>
    <w:rsid w:val="008352F4"/>
    <w:rsid w:val="0083649D"/>
    <w:rsid w:val="0083706E"/>
    <w:rsid w:val="008423A5"/>
    <w:rsid w:val="00850625"/>
    <w:rsid w:val="0085242E"/>
    <w:rsid w:val="00853718"/>
    <w:rsid w:val="00855221"/>
    <w:rsid w:val="00860645"/>
    <w:rsid w:val="00867063"/>
    <w:rsid w:val="00871F71"/>
    <w:rsid w:val="00872F7C"/>
    <w:rsid w:val="00873E72"/>
    <w:rsid w:val="00880497"/>
    <w:rsid w:val="00883328"/>
    <w:rsid w:val="00885AF4"/>
    <w:rsid w:val="00887508"/>
    <w:rsid w:val="00890345"/>
    <w:rsid w:val="008939CD"/>
    <w:rsid w:val="008A4FFC"/>
    <w:rsid w:val="008A52ED"/>
    <w:rsid w:val="008B768C"/>
    <w:rsid w:val="008C4DB1"/>
    <w:rsid w:val="008C4EAF"/>
    <w:rsid w:val="008C5176"/>
    <w:rsid w:val="008C7FD0"/>
    <w:rsid w:val="008D7AA0"/>
    <w:rsid w:val="008E1DE7"/>
    <w:rsid w:val="008E707C"/>
    <w:rsid w:val="00900B08"/>
    <w:rsid w:val="00902155"/>
    <w:rsid w:val="00902FA3"/>
    <w:rsid w:val="0091594F"/>
    <w:rsid w:val="00923564"/>
    <w:rsid w:val="0092392E"/>
    <w:rsid w:val="0092769A"/>
    <w:rsid w:val="009315F9"/>
    <w:rsid w:val="00946133"/>
    <w:rsid w:val="00946945"/>
    <w:rsid w:val="00951248"/>
    <w:rsid w:val="0095152F"/>
    <w:rsid w:val="00954C49"/>
    <w:rsid w:val="009566B8"/>
    <w:rsid w:val="009674D8"/>
    <w:rsid w:val="0097099F"/>
    <w:rsid w:val="00971997"/>
    <w:rsid w:val="00971FFC"/>
    <w:rsid w:val="00981CEA"/>
    <w:rsid w:val="0098660A"/>
    <w:rsid w:val="0098675A"/>
    <w:rsid w:val="009931C3"/>
    <w:rsid w:val="009A48C7"/>
    <w:rsid w:val="009B0ACA"/>
    <w:rsid w:val="009B2C43"/>
    <w:rsid w:val="009B4EAE"/>
    <w:rsid w:val="009B7573"/>
    <w:rsid w:val="009C22F4"/>
    <w:rsid w:val="009C2B05"/>
    <w:rsid w:val="009C2E98"/>
    <w:rsid w:val="009D3447"/>
    <w:rsid w:val="009D4711"/>
    <w:rsid w:val="009F0E76"/>
    <w:rsid w:val="009F1185"/>
    <w:rsid w:val="009F18CD"/>
    <w:rsid w:val="009F2A13"/>
    <w:rsid w:val="00A04EB0"/>
    <w:rsid w:val="00A11E84"/>
    <w:rsid w:val="00A13CC1"/>
    <w:rsid w:val="00A16847"/>
    <w:rsid w:val="00A22B8D"/>
    <w:rsid w:val="00A237D8"/>
    <w:rsid w:val="00A268C4"/>
    <w:rsid w:val="00A307CD"/>
    <w:rsid w:val="00A40A00"/>
    <w:rsid w:val="00A4142F"/>
    <w:rsid w:val="00A46253"/>
    <w:rsid w:val="00A56DF2"/>
    <w:rsid w:val="00A66C20"/>
    <w:rsid w:val="00A67AB5"/>
    <w:rsid w:val="00A76DEA"/>
    <w:rsid w:val="00A76F5B"/>
    <w:rsid w:val="00A866E9"/>
    <w:rsid w:val="00A91760"/>
    <w:rsid w:val="00A93B00"/>
    <w:rsid w:val="00A93C21"/>
    <w:rsid w:val="00A95CEA"/>
    <w:rsid w:val="00AC3C6A"/>
    <w:rsid w:val="00AD5620"/>
    <w:rsid w:val="00AD7C1B"/>
    <w:rsid w:val="00AE16BA"/>
    <w:rsid w:val="00AE1EBE"/>
    <w:rsid w:val="00AF41C8"/>
    <w:rsid w:val="00AF6E2D"/>
    <w:rsid w:val="00B03934"/>
    <w:rsid w:val="00B03C9D"/>
    <w:rsid w:val="00B060AE"/>
    <w:rsid w:val="00B10517"/>
    <w:rsid w:val="00B14B72"/>
    <w:rsid w:val="00B14E76"/>
    <w:rsid w:val="00B161B8"/>
    <w:rsid w:val="00B2048C"/>
    <w:rsid w:val="00B310B9"/>
    <w:rsid w:val="00B3411D"/>
    <w:rsid w:val="00B35F3F"/>
    <w:rsid w:val="00B36CBB"/>
    <w:rsid w:val="00B425E0"/>
    <w:rsid w:val="00B440AA"/>
    <w:rsid w:val="00B44B70"/>
    <w:rsid w:val="00B53C56"/>
    <w:rsid w:val="00B77EA6"/>
    <w:rsid w:val="00B81598"/>
    <w:rsid w:val="00B841F1"/>
    <w:rsid w:val="00B944D6"/>
    <w:rsid w:val="00BB2210"/>
    <w:rsid w:val="00BB4DF0"/>
    <w:rsid w:val="00BC289F"/>
    <w:rsid w:val="00BC5361"/>
    <w:rsid w:val="00BC5460"/>
    <w:rsid w:val="00BC6B50"/>
    <w:rsid w:val="00BD0E25"/>
    <w:rsid w:val="00BE7F88"/>
    <w:rsid w:val="00BF2778"/>
    <w:rsid w:val="00BF3BF9"/>
    <w:rsid w:val="00BF5BD6"/>
    <w:rsid w:val="00C03E31"/>
    <w:rsid w:val="00C174B9"/>
    <w:rsid w:val="00C33E72"/>
    <w:rsid w:val="00C354B2"/>
    <w:rsid w:val="00C35554"/>
    <w:rsid w:val="00C37C68"/>
    <w:rsid w:val="00C42709"/>
    <w:rsid w:val="00C4527C"/>
    <w:rsid w:val="00C533CC"/>
    <w:rsid w:val="00C5751C"/>
    <w:rsid w:val="00C61BFC"/>
    <w:rsid w:val="00C62B85"/>
    <w:rsid w:val="00C63919"/>
    <w:rsid w:val="00C65438"/>
    <w:rsid w:val="00C7411F"/>
    <w:rsid w:val="00C813CE"/>
    <w:rsid w:val="00C91CBB"/>
    <w:rsid w:val="00CA0051"/>
    <w:rsid w:val="00CC09B6"/>
    <w:rsid w:val="00CC666F"/>
    <w:rsid w:val="00CD1E3F"/>
    <w:rsid w:val="00CE44F6"/>
    <w:rsid w:val="00CE49DA"/>
    <w:rsid w:val="00CE7B61"/>
    <w:rsid w:val="00D00095"/>
    <w:rsid w:val="00D0170A"/>
    <w:rsid w:val="00D20620"/>
    <w:rsid w:val="00D20D37"/>
    <w:rsid w:val="00D26091"/>
    <w:rsid w:val="00D3427B"/>
    <w:rsid w:val="00D34E7C"/>
    <w:rsid w:val="00D35489"/>
    <w:rsid w:val="00D41D3D"/>
    <w:rsid w:val="00D44A6B"/>
    <w:rsid w:val="00D51276"/>
    <w:rsid w:val="00D51FCA"/>
    <w:rsid w:val="00D526A7"/>
    <w:rsid w:val="00D55246"/>
    <w:rsid w:val="00D7035F"/>
    <w:rsid w:val="00D768C3"/>
    <w:rsid w:val="00D77BC7"/>
    <w:rsid w:val="00DA233A"/>
    <w:rsid w:val="00DA65AC"/>
    <w:rsid w:val="00DB1913"/>
    <w:rsid w:val="00DB283C"/>
    <w:rsid w:val="00DB2E73"/>
    <w:rsid w:val="00DB39AD"/>
    <w:rsid w:val="00DC297D"/>
    <w:rsid w:val="00DC3427"/>
    <w:rsid w:val="00DC410D"/>
    <w:rsid w:val="00DC68CA"/>
    <w:rsid w:val="00DC7CBA"/>
    <w:rsid w:val="00DD73B7"/>
    <w:rsid w:val="00DF25D8"/>
    <w:rsid w:val="00DF28BC"/>
    <w:rsid w:val="00DF34B9"/>
    <w:rsid w:val="00E005CA"/>
    <w:rsid w:val="00E00D01"/>
    <w:rsid w:val="00E01053"/>
    <w:rsid w:val="00E04629"/>
    <w:rsid w:val="00E07ACF"/>
    <w:rsid w:val="00E3057C"/>
    <w:rsid w:val="00E322B9"/>
    <w:rsid w:val="00E331A1"/>
    <w:rsid w:val="00E33202"/>
    <w:rsid w:val="00E336A9"/>
    <w:rsid w:val="00E35F2B"/>
    <w:rsid w:val="00E50624"/>
    <w:rsid w:val="00E568DF"/>
    <w:rsid w:val="00E617AE"/>
    <w:rsid w:val="00E64269"/>
    <w:rsid w:val="00E73FC6"/>
    <w:rsid w:val="00E80D7B"/>
    <w:rsid w:val="00E820C9"/>
    <w:rsid w:val="00E82267"/>
    <w:rsid w:val="00E842A3"/>
    <w:rsid w:val="00EA010F"/>
    <w:rsid w:val="00EB1BDB"/>
    <w:rsid w:val="00EB4567"/>
    <w:rsid w:val="00EB51FC"/>
    <w:rsid w:val="00ED1B63"/>
    <w:rsid w:val="00ED1B94"/>
    <w:rsid w:val="00ED3C1F"/>
    <w:rsid w:val="00ED4085"/>
    <w:rsid w:val="00ED420E"/>
    <w:rsid w:val="00EE2F57"/>
    <w:rsid w:val="00EF4C34"/>
    <w:rsid w:val="00EF6510"/>
    <w:rsid w:val="00EF77C6"/>
    <w:rsid w:val="00F0157A"/>
    <w:rsid w:val="00F05438"/>
    <w:rsid w:val="00F1361C"/>
    <w:rsid w:val="00F160C7"/>
    <w:rsid w:val="00F309F3"/>
    <w:rsid w:val="00F34C21"/>
    <w:rsid w:val="00F36177"/>
    <w:rsid w:val="00F36D8F"/>
    <w:rsid w:val="00F417B1"/>
    <w:rsid w:val="00F469FE"/>
    <w:rsid w:val="00F46E39"/>
    <w:rsid w:val="00F4721E"/>
    <w:rsid w:val="00F52A55"/>
    <w:rsid w:val="00F602DF"/>
    <w:rsid w:val="00F633A7"/>
    <w:rsid w:val="00F81FD9"/>
    <w:rsid w:val="00F841AA"/>
    <w:rsid w:val="00F85F53"/>
    <w:rsid w:val="00F90C81"/>
    <w:rsid w:val="00F964AC"/>
    <w:rsid w:val="00FA1BCC"/>
    <w:rsid w:val="00FA22A4"/>
    <w:rsid w:val="00FA23E8"/>
    <w:rsid w:val="00FA55BC"/>
    <w:rsid w:val="00FD28EB"/>
    <w:rsid w:val="00FD3CC1"/>
    <w:rsid w:val="00FD6E13"/>
    <w:rsid w:val="00FE2BA6"/>
    <w:rsid w:val="00FE375C"/>
    <w:rsid w:val="00FF1E02"/>
    <w:rsid w:val="00FF3059"/>
    <w:rsid w:val="00FF30B4"/>
    <w:rsid w:val="10C055FF"/>
    <w:rsid w:val="16BB723D"/>
    <w:rsid w:val="198B1E2B"/>
    <w:rsid w:val="22CE666A"/>
    <w:rsid w:val="240371BF"/>
    <w:rsid w:val="246456B0"/>
    <w:rsid w:val="28EB304C"/>
    <w:rsid w:val="29FD04D3"/>
    <w:rsid w:val="312620E9"/>
    <w:rsid w:val="319F7F4E"/>
    <w:rsid w:val="37585548"/>
    <w:rsid w:val="3E500D27"/>
    <w:rsid w:val="3EBC5209"/>
    <w:rsid w:val="57A57BC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uiPriority w:val="99"/>
    <w:rPr>
      <w:sz w:val="18"/>
      <w:szCs w:val="18"/>
    </w:rPr>
  </w:style>
  <w:style w:type="paragraph" w:styleId="8">
    <w:name w:val="footer"/>
    <w:basedOn w:val="1"/>
    <w:link w:val="19"/>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22"/>
    <w:rPr>
      <w:b/>
    </w:rPr>
  </w:style>
  <w:style w:type="character" w:styleId="15">
    <w:name w:val="Hyperlink"/>
    <w:basedOn w:val="13"/>
    <w:unhideWhenUsed/>
    <w:uiPriority w:val="99"/>
    <w:rPr>
      <w:color w:val="0000FF" w:themeColor="hyperlink"/>
      <w:u w:val="single"/>
      <w14:textFill>
        <w14:solidFill>
          <w14:schemeClr w14:val="hlink"/>
        </w14:solidFill>
      </w14:textFill>
    </w:rPr>
  </w:style>
  <w:style w:type="character" w:customStyle="1" w:styleId="16">
    <w:name w:val="Header Char"/>
    <w:basedOn w:val="13"/>
    <w:semiHidden/>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uiPriority w:val="99"/>
    <w:rPr>
      <w:rFonts w:ascii="Times New Roman" w:hAnsi="Times New Roman"/>
      <w:sz w:val="18"/>
      <w:szCs w:val="18"/>
    </w:rPr>
  </w:style>
  <w:style w:type="character" w:customStyle="1" w:styleId="19">
    <w:name w:val="页脚 Char"/>
    <w:link w:val="8"/>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locked/>
    <w:uiPriority w:val="99"/>
    <w:rPr>
      <w:rFonts w:ascii="仿宋_GB2312" w:hAnsi="Times New Roman" w:eastAsia="仿宋_GB2312"/>
      <w:sz w:val="24"/>
    </w:rPr>
  </w:style>
  <w:style w:type="paragraph" w:customStyle="1" w:styleId="2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uiPriority w:val="9"/>
    <w:rPr>
      <w:rFonts w:ascii="Times New Roman" w:hAnsi="Times New Roman"/>
      <w:b/>
      <w:bCs/>
      <w:kern w:val="2"/>
      <w:sz w:val="32"/>
      <w:szCs w:val="32"/>
    </w:rPr>
  </w:style>
  <w:style w:type="paragraph" w:customStyle="1" w:styleId="29">
    <w:name w:val="p0"/>
    <w:basedOn w:val="1"/>
    <w:qFormat/>
    <w:uiPriority w:val="0"/>
    <w:pPr>
      <w:widowControl/>
    </w:pPr>
    <w:rPr>
      <w:kern w:val="0"/>
      <w:sz w:val="32"/>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chart" Target="charts/chart3.xml"/><Relationship Id="rId10" Type="http://schemas.openxmlformats.org/officeDocument/2006/relationships/image" Target="media/image3.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2019</a:t>
            </a:r>
            <a:r>
              <a:rPr lang="zh-CN" altLang="en-US"/>
              <a:t>年本年收入</a:t>
            </a:r>
            <a:endParaRPr lang="zh-CN" altLang="en-US"/>
          </a:p>
        </c:rich>
      </c:tx>
      <c:layout>
        <c:manualLayout>
          <c:xMode val="edge"/>
          <c:yMode val="edge"/>
          <c:x val="0.292715231788079"/>
          <c:y val="0.021505376344086"/>
        </c:manualLayout>
      </c:layout>
      <c:overlay val="0"/>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Lbls>
            <c:delete val="1"/>
          </c:dLbls>
          <c:cat>
            <c:strRef>
              <c:f>Sheet1!$A$2:$A$8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Sheet1!$B$2:$B$8</c:f>
              <c:numCache>
                <c:formatCode>General</c:formatCode>
                <c:ptCount val="7"/>
                <c:pt idx="0">
                  <c:v>753.66</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2019</a:t>
            </a:r>
            <a:r>
              <a:rPr lang="zh-CN" altLang="en-US"/>
              <a:t>年本年支出</a:t>
            </a:r>
            <a:endParaRPr lang="zh-CN" altLang="en-US"/>
          </a:p>
        </c:rich>
      </c:tx>
      <c:layout/>
      <c:overlay val="0"/>
    </c:title>
    <c:autoTitleDeleted val="0"/>
    <c:plotArea>
      <c:layout/>
      <c:pieChart>
        <c:varyColors val="1"/>
        <c:ser>
          <c:idx val="0"/>
          <c:order val="0"/>
          <c:tx>
            <c:strRef>
              <c:f>Sheet1!$B$1</c:f>
              <c:strCache>
                <c:ptCount val="1"/>
                <c:pt idx="0">
                  <c:v>2018年本年支出</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332.08</c:v>
                </c:pt>
                <c:pt idx="1">
                  <c:v>318.02</c:v>
                </c:pt>
                <c:pt idx="2">
                  <c:v>0</c:v>
                </c:pt>
                <c:pt idx="3">
                  <c:v>0</c:v>
                </c:pt>
                <c:pt idx="4">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一般公共预算财政拨款支出决算结构情况</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5"/>
                <c:pt idx="0">
                  <c:v>社会保障就业支出</c:v>
                </c:pt>
                <c:pt idx="1">
                  <c:v>医疗卫生与计划生育支出</c:v>
                </c:pt>
                <c:pt idx="2">
                  <c:v>节能环保支出</c:v>
                </c:pt>
                <c:pt idx="3">
                  <c:v>农林水支出</c:v>
                </c:pt>
                <c:pt idx="4">
                  <c:v>住房保障支出</c:v>
                </c:pt>
              </c:strCache>
            </c:strRef>
          </c:cat>
          <c:val>
            <c:numRef>
              <c:f>Sheet1!$B$2:$B$6</c:f>
              <c:numCache>
                <c:formatCode>General</c:formatCode>
                <c:ptCount val="5"/>
                <c:pt idx="0">
                  <c:v>67.44</c:v>
                </c:pt>
                <c:pt idx="1">
                  <c:v>9.05</c:v>
                </c:pt>
                <c:pt idx="2">
                  <c:v>9.63</c:v>
                </c:pt>
                <c:pt idx="3">
                  <c:v>548.73</c:v>
                </c:pt>
                <c:pt idx="4">
                  <c:v>15.25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6.png"/></Relationships>
</file>

<file path=word/drawings/_rels/drawing2.xml.rels><?xml version="1.0" encoding="UTF-8" standalone="yes"?>
<Relationships xmlns="http://schemas.openxmlformats.org/package/2006/relationships"><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xmlns:a="http://schemas.openxmlformats.org/drawingml/2006/main">
      <cdr:nvPicPr>
        <cdr:cNvPr id="2" name="图片 1"/>
        <cdr:cNvPicPr/>
      </cdr:nvPicPr>
      <cdr:blipFill>
        <a:blip xmlns:r="http://schemas.openxmlformats.org/officeDocument/2006/relationships" r:embed="rId1"/>
        <a:stretch>
          <a:fillRect/>
        </a:stretch>
      </cdr:blipFill>
      <cdr:spPr>
        <a:xfrm>
          <a:off x="0" y="0"/>
          <a:ext cx="5276850" cy="3076575"/>
        </a:xfrm>
        <a:prstGeom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0.96417</cdr:x>
      <cdr:y>0.96028</cdr:y>
    </cdr:to>
    <cdr:pic xmlns:a="http://schemas.openxmlformats.org/drawingml/2006/main">
      <cdr:nvPicPr>
        <cdr:cNvPr id="2" name="图片 1"/>
        <cdr:cNvPicPr/>
      </cdr:nvPicPr>
      <cdr:blipFill>
        <a:blip xmlns:r="http://schemas.openxmlformats.org/officeDocument/2006/relationships" r:embed="rId1"/>
        <a:stretch>
          <a:fillRect/>
        </a:stretch>
      </cdr:blipFill>
      <cdr:spPr>
        <a:xfrm>
          <a:off x="0" y="0"/>
          <a:ext cx="4628572" cy="2771429"/>
        </a:xfrm>
        <a:prstGeom prst="rect">
          <a:avLst/>
        </a:prstGeom>
      </cdr:spPr>
    </cdr:pic>
  </cdr:relSizeAnchor>
  <cdr:relSizeAnchor xmlns:cdr="http://schemas.openxmlformats.org/drawingml/2006/chartDrawing">
    <cdr:from>
      <cdr:x>0</cdr:x>
      <cdr:y>0</cdr:y>
    </cdr:from>
    <cdr:to>
      <cdr:x>0.98202</cdr:x>
      <cdr:y>0.95368</cdr:y>
    </cdr:to>
    <cdr:pic xmlns:a="http://schemas.openxmlformats.org/drawingml/2006/main">
      <cdr:nvPicPr>
        <cdr:cNvPr id="3" name="图片 2"/>
        <cdr:cNvPicPr/>
      </cdr:nvPicPr>
      <cdr:blipFill>
        <a:blip xmlns:r="http://schemas.openxmlformats.org/officeDocument/2006/relationships" r:embed="rId2"/>
        <a:stretch>
          <a:fillRect/>
        </a:stretch>
      </cdr:blipFill>
      <cdr:spPr>
        <a:xfrm>
          <a:off x="0" y="0"/>
          <a:ext cx="4714286" cy="2752381"/>
        </a:xfrm>
        <a:prstGeom prst="rect">
          <a:avLst/>
        </a:prstGeom>
      </cdr:spPr>
    </cdr:pic>
  </cdr:relSizeAnchor>
  <cdr:relSizeAnchor xmlns:cdr="http://schemas.openxmlformats.org/drawingml/2006/chartDrawing">
    <cdr:from>
      <cdr:x>0</cdr:x>
      <cdr:y>0</cdr:y>
    </cdr:from>
    <cdr:to>
      <cdr:x>0.99789</cdr:x>
      <cdr:y>0.99328</cdr:y>
    </cdr:to>
    <cdr:pic xmlns:a="http://schemas.openxmlformats.org/drawingml/2006/main">
      <cdr:nvPicPr>
        <cdr:cNvPr id="4" name="图片 3"/>
        <cdr:cNvPicPr/>
      </cdr:nvPicPr>
      <cdr:blipFill>
        <a:blip xmlns:r="http://schemas.openxmlformats.org/officeDocument/2006/relationships" r:embed="rId3"/>
        <a:stretch>
          <a:fillRect/>
        </a:stretch>
      </cdr:blipFill>
      <cdr:spPr>
        <a:xfrm>
          <a:off x="0" y="0"/>
          <a:ext cx="4790477" cy="2866667"/>
        </a:xfrm>
        <a:prstGeom prst="rect">
          <a:avLst/>
        </a:prstGeom>
      </cdr:spPr>
    </cdr:pic>
  </cdr:relSizeAnchor>
  <cdr:relSizeAnchor xmlns:cdr="http://schemas.openxmlformats.org/drawingml/2006/chartDrawing">
    <cdr:from>
      <cdr:x>0</cdr:x>
      <cdr:y>0</cdr:y>
    </cdr:from>
    <cdr:to>
      <cdr:x>0.99392</cdr:x>
      <cdr:y>1</cdr:y>
    </cdr:to>
    <cdr:pic xmlns:a="http://schemas.openxmlformats.org/drawingml/2006/main">
      <cdr:nvPicPr>
        <cdr:cNvPr id="5" name="图片 4"/>
        <cdr:cNvPicPr/>
      </cdr:nvPicPr>
      <cdr:blipFill>
        <a:blip xmlns:r="http://schemas.openxmlformats.org/officeDocument/2006/relationships" r:embed="rId4"/>
        <a:stretch>
          <a:fillRect/>
        </a:stretch>
      </cdr:blipFill>
      <cdr:spPr>
        <a:xfrm>
          <a:off x="0" y="0"/>
          <a:ext cx="4771429" cy="2952381"/>
        </a:xfrm>
        <a:prstGeom prst="rect">
          <a:avLst/>
        </a:prstGeom>
      </cdr:spPr>
    </cdr:pic>
  </cdr:relSizeAnchor>
  <cdr:relSizeAnchor xmlns:cdr="http://schemas.openxmlformats.org/drawingml/2006/chartDrawing">
    <cdr:from>
      <cdr:x>0</cdr:x>
      <cdr:y>0</cdr:y>
    </cdr:from>
    <cdr:to>
      <cdr:x>1</cdr:x>
      <cdr:y>1</cdr:y>
    </cdr:to>
    <cdr:pic xmlns:a="http://schemas.openxmlformats.org/drawingml/2006/main">
      <cdr:nvPicPr>
        <cdr:cNvPr id="6" name="图片 5"/>
        <cdr:cNvPicPr/>
      </cdr:nvPicPr>
      <cdr:blipFill>
        <a:blip xmlns:r="http://schemas.openxmlformats.org/officeDocument/2006/relationships" r:embed="rId5"/>
        <a:stretch>
          <a:fillRect/>
        </a:stretch>
      </cdr:blipFill>
      <cdr:spPr>
        <a:xfrm>
          <a:off x="0" y="0"/>
          <a:ext cx="4828572" cy="3019048"/>
        </a:xfrm>
        <a:prstGeom prst="rect">
          <a:avLst/>
        </a:prstGeom>
      </cdr:spPr>
    </cdr:pic>
  </cdr:relSizeAnchor>
  <cdr:relSizeAnchor xmlns:cdr="http://schemas.openxmlformats.org/drawingml/2006/chartDrawing">
    <cdr:from>
      <cdr:x>0</cdr:x>
      <cdr:y>0</cdr:y>
    </cdr:from>
    <cdr:to>
      <cdr:x>1</cdr:x>
      <cdr:y>1</cdr:y>
    </cdr:to>
    <cdr:pic xmlns:a="http://schemas.openxmlformats.org/drawingml/2006/main">
      <cdr:nvPicPr>
        <cdr:cNvPr id="7" name="图片 6"/>
        <cdr:cNvPicPr/>
      </cdr:nvPicPr>
      <cdr:blipFill>
        <a:blip xmlns:r="http://schemas.openxmlformats.org/officeDocument/2006/relationships" r:embed="rId6"/>
        <a:stretch>
          <a:fillRect/>
        </a:stretch>
      </cdr:blipFill>
      <cdr:spPr>
        <a:xfrm>
          <a:off x="0" y="0"/>
          <a:ext cx="4847619" cy="3000000"/>
        </a:xfrm>
        <a:prstGeom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BA9B-E477-4D2E-80F7-82D64B79425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23</Pages>
  <Words>7655</Words>
  <Characters>8398</Characters>
  <Lines>68</Lines>
  <Paragraphs>19</Paragraphs>
  <TotalTime>26</TotalTime>
  <ScaleCrop>false</ScaleCrop>
  <LinksUpToDate>false</LinksUpToDate>
  <CharactersWithSpaces>8466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2020-09-01T07:04:00Z</dcterms:created>
  <dc:creator>张彬茜</dc:creator>
  <cp:lastModifiedBy>Administrator</cp:lastModifiedBy>
  <cp:lastPrinted>2019-08-01T00:48:00Z</cp:lastPrinted>
  <dcterms:modified xsi:type="dcterms:W3CDTF">2022-10-18T02:02:33Z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3BE58EB7857C487F82E78268786891CE</vt:lpwstr>
  </property>
</Properties>
</file>