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资阳市雁江区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财政局</w:t>
      </w:r>
    </w:p>
    <w:p>
      <w:pPr>
        <w:spacing w:line="54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2022年举借政府债务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的情况说明</w:t>
      </w:r>
    </w:p>
    <w:p>
      <w:pPr>
        <w:spacing w:line="540" w:lineRule="exact"/>
        <w:jc w:val="center"/>
        <w:rPr>
          <w:rFonts w:ascii="宋体" w:hAnsi="宋体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60" w:firstLineChars="200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b w:val="0"/>
          <w:bCs w:val="0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  <w:t>2021年底，全区政府债务余额892864万元（其中一般债务313360万元，专项债务579504万元），2022年举借政府债务173955万元（其中95395万元为到期债</w:t>
      </w:r>
      <w:bookmarkStart w:id="0" w:name="_GoBack"/>
      <w:bookmarkEnd w:id="0"/>
      <w:r>
        <w:rPr>
          <w:rFonts w:hint="eastAsia" w:ascii="宋体" w:hAnsi="宋体" w:eastAsia="方正仿宋简体" w:cs="方正仿宋简体"/>
          <w:b w:val="0"/>
          <w:bCs w:val="0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  <w:t>务再融资，5760万元为新增一般债券，72800万元为新增专项债券），偿还政府债务101795万元，2022年末政府债务余额为965024万元（其中一般债务319120万元，专项债务645904万元）。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86C38"/>
    <w:rsid w:val="338A6086"/>
    <w:rsid w:val="35063EFC"/>
    <w:rsid w:val="3B536163"/>
    <w:rsid w:val="3EC6712A"/>
    <w:rsid w:val="469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陪安东尼度过漫长岁月</cp:lastModifiedBy>
  <dcterms:modified xsi:type="dcterms:W3CDTF">2023-01-19T03:11:32Z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4E87336B8BE3477AA803F168CB9FF36B</vt:lpwstr>
  </property>
  <property fmtid="{D5CDD505-2E9C-101B-9397-08002B2CF9AE}" pid="4" name="KSOSaveFontToCloudKey">
    <vt:lpwstr>908999676_btnclosed</vt:lpwstr>
  </property>
</Properties>
</file>