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outlineLvl w:val="0"/>
        <w:rPr>
          <w:rFonts w:hint="eastAsia" w:ascii="方正小标宋简体" w:hAnsi="宋体" w:eastAsia="方正小标宋简体"/>
          <w:szCs w:val="21"/>
        </w:rPr>
      </w:pPr>
      <w:bookmarkStart w:id="0" w:name="_Toc15306267"/>
    </w:p>
    <w:p>
      <w:pPr>
        <w:jc w:val="center"/>
        <w:outlineLvl w:val="0"/>
        <w:rPr>
          <w:rFonts w:ascii="方正小标宋简体" w:hAnsi="宋体" w:eastAsia="方正小标宋简体"/>
          <w:sz w:val="72"/>
          <w:szCs w:val="72"/>
        </w:rPr>
      </w:pPr>
    </w:p>
    <w:p>
      <w:pPr>
        <w:jc w:val="center"/>
        <w:outlineLvl w:val="0"/>
        <w:rPr>
          <w:rFonts w:ascii="方正小标宋简体" w:hAnsi="宋体" w:eastAsia="方正小标宋简体"/>
          <w:sz w:val="72"/>
          <w:szCs w:val="72"/>
        </w:rPr>
      </w:pPr>
    </w:p>
    <w:p>
      <w:pPr>
        <w:adjustRightInd w:val="0"/>
        <w:snapToGrid w:val="0"/>
        <w:jc w:val="center"/>
        <w:outlineLvl w:val="0"/>
        <w:rPr>
          <w:rFonts w:ascii="方正小标宋简体" w:hAnsi="方正小标宋简体" w:eastAsia="方正小标宋简体" w:cs="方正小标宋简体"/>
          <w:sz w:val="72"/>
          <w:szCs w:val="72"/>
        </w:rPr>
      </w:pPr>
      <w:bookmarkStart w:id="1" w:name="_Toc15396475"/>
      <w:bookmarkStart w:id="2" w:name="_Toc15378441"/>
      <w:bookmarkStart w:id="3" w:name="_Toc15377193"/>
      <w:bookmarkStart w:id="4" w:name="_Toc15377425"/>
      <w:bookmarkStart w:id="5" w:name="_Toc143014792"/>
      <w:bookmarkStart w:id="6" w:name="_Toc143014999"/>
      <w:bookmarkStart w:id="7" w:name="_Toc15396597"/>
      <w:bookmarkStart w:id="8" w:name="_Toc143015120"/>
      <w:bookmarkStart w:id="9" w:name="_Toc27214"/>
      <w:r>
        <w:rPr>
          <w:rFonts w:hint="eastAsia" w:ascii="方正小标宋简体" w:hAnsi="方正小标宋简体" w:eastAsia="方正小标宋简体" w:cs="方正小标宋简体"/>
          <w:sz w:val="72"/>
          <w:szCs w:val="72"/>
        </w:rPr>
        <w:t>2022年度</w:t>
      </w:r>
      <w:bookmarkEnd w:id="1"/>
      <w:bookmarkEnd w:id="2"/>
      <w:bookmarkEnd w:id="3"/>
      <w:bookmarkEnd w:id="4"/>
      <w:bookmarkEnd w:id="5"/>
      <w:bookmarkEnd w:id="6"/>
      <w:bookmarkEnd w:id="7"/>
      <w:bookmarkEnd w:id="8"/>
      <w:bookmarkEnd w:id="9"/>
    </w:p>
    <w:bookmarkEnd w:id="0"/>
    <w:p>
      <w:pPr>
        <w:adjustRightInd w:val="0"/>
        <w:snapToGrid w:val="0"/>
        <w:jc w:val="center"/>
        <w:outlineLvl w:val="0"/>
        <w:rPr>
          <w:rFonts w:ascii="方正小标宋简体" w:hAnsi="方正小标宋简体" w:eastAsia="方正小标宋简体" w:cs="方正小标宋简体"/>
          <w:sz w:val="72"/>
          <w:szCs w:val="72"/>
        </w:rPr>
      </w:pPr>
      <w:bookmarkStart w:id="10" w:name="_Toc15306268"/>
      <w:bookmarkStart w:id="11" w:name="_Toc15377194"/>
      <w:bookmarkStart w:id="12" w:name="_Toc143014793"/>
      <w:bookmarkStart w:id="13" w:name="_Toc15396598"/>
      <w:bookmarkStart w:id="14" w:name="_Toc15378442"/>
      <w:bookmarkStart w:id="15" w:name="_Toc15396476"/>
      <w:bookmarkStart w:id="16" w:name="_Toc15377426"/>
      <w:bookmarkStart w:id="17" w:name="_Toc143015000"/>
      <w:bookmarkStart w:id="18" w:name="_Toc19778"/>
      <w:r>
        <w:rPr>
          <w:rFonts w:hint="eastAsia" w:ascii="方正小标宋简体" w:hAnsi="方正小标宋简体" w:eastAsia="方正小标宋简体" w:cs="方正小标宋简体"/>
          <w:sz w:val="72"/>
          <w:szCs w:val="72"/>
        </w:rPr>
        <w:t>资阳市雁江区机关事业单位社会保险局决算</w:t>
      </w:r>
      <w:bookmarkEnd w:id="10"/>
      <w:bookmarkEnd w:id="11"/>
      <w:bookmarkEnd w:id="12"/>
      <w:bookmarkEnd w:id="13"/>
      <w:bookmarkEnd w:id="14"/>
      <w:bookmarkEnd w:id="15"/>
      <w:bookmarkEnd w:id="16"/>
      <w:bookmarkEnd w:id="17"/>
      <w:bookmarkEnd w:id="18"/>
    </w:p>
    <w:p>
      <w:pPr>
        <w:widowControl/>
        <w:jc w:val="center"/>
        <w:rPr>
          <w:rFonts w:hint="eastAsia"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pStyle w:val="10"/>
      </w:pPr>
      <w:r>
        <w:rPr>
          <w:rFonts w:hint="eastAsia"/>
        </w:rPr>
        <w:t>公开时间：2023年8月15日</w:t>
      </w:r>
    </w:p>
    <w:sdt>
      <w:sdtPr>
        <w:rPr>
          <w:lang w:val="zh-CN"/>
        </w:rPr>
        <w:id w:val="-408078221"/>
        <w:docPartObj>
          <w:docPartGallery w:val="Table of Contents"/>
          <w:docPartUnique/>
        </w:docPartObj>
      </w:sdtPr>
      <w:sdtEndPr>
        <w:rPr>
          <w:rFonts w:ascii="Times New Roman" w:hAnsi="Times New Roman" w:eastAsia="宋体"/>
          <w:b/>
          <w:bCs/>
          <w:sz w:val="21"/>
          <w:szCs w:val="24"/>
          <w:lang w:val="zh-CN"/>
        </w:rPr>
      </w:sdtEndPr>
      <w:sdtContent>
        <w:p>
          <w:pPr>
            <w:tabs>
              <w:tab w:val="right" w:leader="dot" w:pos="8296"/>
            </w:tabs>
            <w:rPr>
              <w:rFonts w:ascii="Times New Roman" w:hAnsi="Times New Roman" w:eastAsia="宋体" w:cs="Times New Roman"/>
              <w:b/>
              <w:bCs/>
              <w:kern w:val="2"/>
              <w:sz w:val="21"/>
              <w:szCs w:val="24"/>
              <w:lang w:val="zh-CN" w:eastAsia="zh-CN" w:bidi="ar-SA"/>
            </w:rPr>
          </w:pPr>
          <w:r>
            <w:fldChar w:fldCharType="begin"/>
          </w:r>
          <w:r>
            <w:instrText xml:space="preserve"> TOC \o "1-3" \h \z \u </w:instrText>
          </w:r>
          <w:r>
            <w:fldChar w:fldCharType="separate"/>
          </w:r>
        </w:p>
        <w:p>
          <w:pPr>
            <w:pStyle w:val="10"/>
            <w:tabs>
              <w:tab w:val="right" w:leader="dot" w:pos="8306"/>
              <w:tab w:val="clear" w:pos="8296"/>
            </w:tabs>
          </w:pPr>
          <w:r>
            <w:rPr>
              <w:bCs/>
              <w:lang w:val="zh-CN"/>
            </w:rPr>
            <w:fldChar w:fldCharType="begin"/>
          </w:r>
          <w:r>
            <w:rPr>
              <w:bCs/>
              <w:lang w:val="zh-CN"/>
            </w:rPr>
            <w:instrText xml:space="preserve"> HYPERLINK \l _Toc27214 </w:instrText>
          </w:r>
          <w:r>
            <w:rPr>
              <w:bCs/>
              <w:lang w:val="zh-CN"/>
            </w:rPr>
            <w:fldChar w:fldCharType="separate"/>
          </w:r>
          <w:r>
            <w:rPr>
              <w:rFonts w:hint="eastAsia" w:ascii="方正小标宋简体" w:hAnsi="方正小标宋简体" w:eastAsia="方正小标宋简体" w:cs="方正小标宋简体"/>
              <w:szCs w:val="72"/>
            </w:rPr>
            <w:t>2022年度</w:t>
          </w:r>
          <w:r>
            <w:tab/>
          </w:r>
          <w:r>
            <w:fldChar w:fldCharType="begin"/>
          </w:r>
          <w:r>
            <w:instrText xml:space="preserve"> PAGEREF _Toc27214 \h </w:instrText>
          </w:r>
          <w:r>
            <w:fldChar w:fldCharType="separate"/>
          </w:r>
          <w:r>
            <w:t>1</w:t>
          </w:r>
          <w:r>
            <w:fldChar w:fldCharType="end"/>
          </w:r>
          <w:r>
            <w:rPr>
              <w:bCs/>
              <w:lang w:val="zh-CN"/>
            </w:rPr>
            <w:fldChar w:fldCharType="end"/>
          </w:r>
        </w:p>
        <w:p>
          <w:pPr>
            <w:pStyle w:val="10"/>
            <w:tabs>
              <w:tab w:val="right" w:leader="dot" w:pos="8306"/>
              <w:tab w:val="clear" w:pos="8296"/>
            </w:tabs>
          </w:pPr>
          <w:r>
            <w:rPr>
              <w:bCs/>
              <w:lang w:val="zh-CN"/>
            </w:rPr>
            <w:fldChar w:fldCharType="begin"/>
          </w:r>
          <w:r>
            <w:rPr>
              <w:bCs/>
              <w:lang w:val="zh-CN"/>
            </w:rPr>
            <w:instrText xml:space="preserve"> HYPERLINK \l _Toc19778 </w:instrText>
          </w:r>
          <w:r>
            <w:rPr>
              <w:bCs/>
              <w:lang w:val="zh-CN"/>
            </w:rPr>
            <w:fldChar w:fldCharType="separate"/>
          </w:r>
          <w:r>
            <w:rPr>
              <w:rFonts w:hint="eastAsia" w:ascii="方正小标宋简体" w:hAnsi="方正小标宋简体" w:eastAsia="方正小标宋简体" w:cs="方正小标宋简体"/>
              <w:szCs w:val="72"/>
            </w:rPr>
            <w:t>资阳市雁江区机关事业单位社会保险局决算</w:t>
          </w:r>
          <w:r>
            <w:tab/>
          </w:r>
          <w:r>
            <w:fldChar w:fldCharType="begin"/>
          </w:r>
          <w:r>
            <w:instrText xml:space="preserve"> PAGEREF _Toc19778 \h </w:instrText>
          </w:r>
          <w:r>
            <w:fldChar w:fldCharType="separate"/>
          </w:r>
          <w:r>
            <w:t>1</w:t>
          </w:r>
          <w:r>
            <w:fldChar w:fldCharType="end"/>
          </w:r>
          <w:r>
            <w:rPr>
              <w:bCs/>
              <w:lang w:val="zh-CN"/>
            </w:rPr>
            <w:fldChar w:fldCharType="end"/>
          </w:r>
        </w:p>
        <w:p>
          <w:pPr>
            <w:pStyle w:val="10"/>
            <w:tabs>
              <w:tab w:val="right" w:leader="dot" w:pos="8306"/>
              <w:tab w:val="clear" w:pos="8296"/>
            </w:tabs>
          </w:pPr>
          <w:r>
            <w:rPr>
              <w:bCs/>
              <w:lang w:val="zh-CN"/>
            </w:rPr>
            <w:fldChar w:fldCharType="begin"/>
          </w:r>
          <w:r>
            <w:rPr>
              <w:bCs/>
              <w:lang w:val="zh-CN"/>
            </w:rPr>
            <w:instrText xml:space="preserve"> HYPERLINK \l _Toc23662 </w:instrText>
          </w:r>
          <w:r>
            <w:rPr>
              <w:bCs/>
              <w:lang w:val="zh-CN"/>
            </w:rPr>
            <w:fldChar w:fldCharType="separate"/>
          </w:r>
          <w:r>
            <w:rPr>
              <w:rFonts w:hint="eastAsia"/>
            </w:rPr>
            <w:t>第一部分 单位</w:t>
          </w:r>
          <w:r>
            <w:rPr>
              <w:rFonts w:hint="eastAsia"/>
              <w:bCs/>
            </w:rPr>
            <w:t>概况</w:t>
          </w:r>
          <w:r>
            <w:tab/>
          </w:r>
          <w:r>
            <w:fldChar w:fldCharType="begin"/>
          </w:r>
          <w:r>
            <w:instrText xml:space="preserve"> PAGEREF _Toc23662 \h </w:instrText>
          </w:r>
          <w:r>
            <w:fldChar w:fldCharType="separate"/>
          </w:r>
          <w:r>
            <w:t>3</w:t>
          </w:r>
          <w:r>
            <w:fldChar w:fldCharType="end"/>
          </w:r>
          <w:r>
            <w:rPr>
              <w:bCs/>
              <w:lang w:val="zh-CN"/>
            </w:rPr>
            <w:fldChar w:fldCharType="end"/>
          </w:r>
        </w:p>
        <w:p>
          <w:pPr>
            <w:pStyle w:val="11"/>
            <w:tabs>
              <w:tab w:val="right" w:leader="dot" w:pos="8306"/>
              <w:tab w:val="clear" w:pos="8296"/>
            </w:tabs>
          </w:pPr>
          <w:r>
            <w:rPr>
              <w:bCs/>
              <w:lang w:val="zh-CN"/>
            </w:rPr>
            <w:fldChar w:fldCharType="begin"/>
          </w:r>
          <w:r>
            <w:rPr>
              <w:bCs/>
              <w:lang w:val="zh-CN"/>
            </w:rPr>
            <w:instrText xml:space="preserve"> HYPERLINK \l _Toc2621 </w:instrText>
          </w:r>
          <w:r>
            <w:rPr>
              <w:bCs/>
              <w:lang w:val="zh-CN"/>
            </w:rPr>
            <w:fldChar w:fldCharType="separate"/>
          </w:r>
          <w:r>
            <w:rPr>
              <w:rFonts w:hint="eastAsia"/>
            </w:rPr>
            <w:t>一、主要职责</w:t>
          </w:r>
          <w:r>
            <w:tab/>
          </w:r>
          <w:r>
            <w:fldChar w:fldCharType="begin"/>
          </w:r>
          <w:r>
            <w:instrText xml:space="preserve"> PAGEREF _Toc2621 \h </w:instrText>
          </w:r>
          <w:r>
            <w:fldChar w:fldCharType="separate"/>
          </w:r>
          <w:r>
            <w:t>3</w:t>
          </w:r>
          <w:r>
            <w:fldChar w:fldCharType="end"/>
          </w:r>
          <w:r>
            <w:rPr>
              <w:bCs/>
              <w:lang w:val="zh-CN"/>
            </w:rPr>
            <w:fldChar w:fldCharType="end"/>
          </w:r>
        </w:p>
        <w:p>
          <w:pPr>
            <w:pStyle w:val="11"/>
            <w:tabs>
              <w:tab w:val="right" w:leader="dot" w:pos="8306"/>
              <w:tab w:val="clear" w:pos="8296"/>
            </w:tabs>
          </w:pPr>
          <w:r>
            <w:rPr>
              <w:bCs/>
              <w:lang w:val="zh-CN"/>
            </w:rPr>
            <w:fldChar w:fldCharType="begin"/>
          </w:r>
          <w:r>
            <w:rPr>
              <w:bCs/>
              <w:lang w:val="zh-CN"/>
            </w:rPr>
            <w:instrText xml:space="preserve"> HYPERLINK \l _Toc9354 </w:instrText>
          </w:r>
          <w:r>
            <w:rPr>
              <w:bCs/>
              <w:lang w:val="zh-CN"/>
            </w:rPr>
            <w:fldChar w:fldCharType="separate"/>
          </w:r>
          <w:r>
            <w:rPr>
              <w:rFonts w:hint="eastAsia"/>
            </w:rPr>
            <w:t>二、机构设置</w:t>
          </w:r>
          <w:r>
            <w:tab/>
          </w:r>
          <w:r>
            <w:fldChar w:fldCharType="begin"/>
          </w:r>
          <w:r>
            <w:instrText xml:space="preserve"> PAGEREF _Toc9354 \h </w:instrText>
          </w:r>
          <w:r>
            <w:fldChar w:fldCharType="separate"/>
          </w:r>
          <w:r>
            <w:t>3</w:t>
          </w:r>
          <w:r>
            <w:fldChar w:fldCharType="end"/>
          </w:r>
          <w:r>
            <w:rPr>
              <w:bCs/>
              <w:lang w:val="zh-CN"/>
            </w:rPr>
            <w:fldChar w:fldCharType="end"/>
          </w:r>
        </w:p>
        <w:p>
          <w:pPr>
            <w:pStyle w:val="10"/>
            <w:tabs>
              <w:tab w:val="right" w:leader="dot" w:pos="8306"/>
              <w:tab w:val="clear" w:pos="8296"/>
            </w:tabs>
          </w:pPr>
          <w:r>
            <w:rPr>
              <w:bCs/>
              <w:lang w:val="zh-CN"/>
            </w:rPr>
            <w:fldChar w:fldCharType="begin"/>
          </w:r>
          <w:r>
            <w:rPr>
              <w:bCs/>
              <w:lang w:val="zh-CN"/>
            </w:rPr>
            <w:instrText xml:space="preserve"> HYPERLINK \l _Toc2402 </w:instrText>
          </w:r>
          <w:r>
            <w:rPr>
              <w:bCs/>
              <w:lang w:val="zh-CN"/>
            </w:rPr>
            <w:fldChar w:fldCharType="separate"/>
          </w:r>
          <w:r>
            <w:rPr>
              <w:rFonts w:hint="eastAsia"/>
            </w:rPr>
            <w:t>第二部分 2022年度</w:t>
          </w:r>
          <w:r>
            <w:rPr>
              <w:rFonts w:hint="eastAsia"/>
              <w:bCs/>
            </w:rPr>
            <w:t>单位决算情况说明</w:t>
          </w:r>
          <w:r>
            <w:tab/>
          </w:r>
          <w:r>
            <w:fldChar w:fldCharType="begin"/>
          </w:r>
          <w:r>
            <w:instrText xml:space="preserve"> PAGEREF _Toc2402 \h </w:instrText>
          </w:r>
          <w:r>
            <w:fldChar w:fldCharType="separate"/>
          </w:r>
          <w:r>
            <w:t>5</w:t>
          </w:r>
          <w:r>
            <w:fldChar w:fldCharType="end"/>
          </w:r>
          <w:r>
            <w:rPr>
              <w:bCs/>
              <w:lang w:val="zh-CN"/>
            </w:rPr>
            <w:fldChar w:fldCharType="end"/>
          </w:r>
        </w:p>
        <w:p>
          <w:pPr>
            <w:pStyle w:val="11"/>
            <w:tabs>
              <w:tab w:val="right" w:leader="dot" w:pos="8306"/>
              <w:tab w:val="clear" w:pos="8296"/>
            </w:tabs>
          </w:pPr>
          <w:r>
            <w:rPr>
              <w:bCs/>
              <w:lang w:val="zh-CN"/>
            </w:rPr>
            <w:fldChar w:fldCharType="begin"/>
          </w:r>
          <w:r>
            <w:rPr>
              <w:bCs/>
              <w:lang w:val="zh-CN"/>
            </w:rPr>
            <w:instrText xml:space="preserve"> HYPERLINK \l _Toc8909 </w:instrText>
          </w:r>
          <w:r>
            <w:rPr>
              <w:bCs/>
              <w:lang w:val="zh-CN"/>
            </w:rPr>
            <w:fldChar w:fldCharType="separate"/>
          </w:r>
          <w:r>
            <w:rPr>
              <w:rFonts w:hint="eastAsia"/>
            </w:rPr>
            <w:t>一、收入支出决算总体情况说明</w:t>
          </w:r>
          <w:r>
            <w:tab/>
          </w:r>
          <w:r>
            <w:fldChar w:fldCharType="begin"/>
          </w:r>
          <w:r>
            <w:instrText xml:space="preserve"> PAGEREF _Toc8909 \h </w:instrText>
          </w:r>
          <w:r>
            <w:fldChar w:fldCharType="separate"/>
          </w:r>
          <w:r>
            <w:t>5</w:t>
          </w:r>
          <w:r>
            <w:fldChar w:fldCharType="end"/>
          </w:r>
          <w:r>
            <w:rPr>
              <w:bCs/>
              <w:lang w:val="zh-CN"/>
            </w:rPr>
            <w:fldChar w:fldCharType="end"/>
          </w:r>
        </w:p>
        <w:p>
          <w:pPr>
            <w:pStyle w:val="11"/>
            <w:tabs>
              <w:tab w:val="right" w:leader="dot" w:pos="8306"/>
              <w:tab w:val="clear" w:pos="8296"/>
            </w:tabs>
          </w:pPr>
          <w:r>
            <w:rPr>
              <w:bCs/>
              <w:lang w:val="zh-CN"/>
            </w:rPr>
            <w:fldChar w:fldCharType="begin"/>
          </w:r>
          <w:r>
            <w:rPr>
              <w:bCs/>
              <w:lang w:val="zh-CN"/>
            </w:rPr>
            <w:instrText xml:space="preserve"> HYPERLINK \l _Toc5414 </w:instrText>
          </w:r>
          <w:r>
            <w:rPr>
              <w:bCs/>
              <w:lang w:val="zh-CN"/>
            </w:rPr>
            <w:fldChar w:fldCharType="separate"/>
          </w:r>
          <w:r>
            <w:rPr>
              <w:rFonts w:hint="eastAsia"/>
            </w:rPr>
            <w:t>二、收入决算情况说明</w:t>
          </w:r>
          <w:r>
            <w:tab/>
          </w:r>
          <w:r>
            <w:fldChar w:fldCharType="begin"/>
          </w:r>
          <w:r>
            <w:instrText xml:space="preserve"> PAGEREF _Toc5414 \h </w:instrText>
          </w:r>
          <w:r>
            <w:fldChar w:fldCharType="separate"/>
          </w:r>
          <w:r>
            <w:t>5</w:t>
          </w:r>
          <w:r>
            <w:fldChar w:fldCharType="end"/>
          </w:r>
          <w:r>
            <w:rPr>
              <w:bCs/>
              <w:lang w:val="zh-CN"/>
            </w:rPr>
            <w:fldChar w:fldCharType="end"/>
          </w:r>
        </w:p>
        <w:p>
          <w:pPr>
            <w:pStyle w:val="11"/>
            <w:tabs>
              <w:tab w:val="right" w:leader="dot" w:pos="8306"/>
              <w:tab w:val="clear" w:pos="8296"/>
            </w:tabs>
          </w:pPr>
          <w:r>
            <w:rPr>
              <w:bCs/>
              <w:lang w:val="zh-CN"/>
            </w:rPr>
            <w:fldChar w:fldCharType="begin"/>
          </w:r>
          <w:r>
            <w:rPr>
              <w:bCs/>
              <w:lang w:val="zh-CN"/>
            </w:rPr>
            <w:instrText xml:space="preserve"> HYPERLINK \l _Toc32516 </w:instrText>
          </w:r>
          <w:r>
            <w:rPr>
              <w:bCs/>
              <w:lang w:val="zh-CN"/>
            </w:rPr>
            <w:fldChar w:fldCharType="separate"/>
          </w:r>
          <w:r>
            <w:rPr>
              <w:rFonts w:hint="eastAsia"/>
            </w:rPr>
            <w:t>三、支出决算情况说明</w:t>
          </w:r>
          <w:r>
            <w:tab/>
          </w:r>
          <w:r>
            <w:fldChar w:fldCharType="begin"/>
          </w:r>
          <w:r>
            <w:instrText xml:space="preserve"> PAGEREF _Toc32516 \h </w:instrText>
          </w:r>
          <w:r>
            <w:fldChar w:fldCharType="separate"/>
          </w:r>
          <w:r>
            <w:t>6</w:t>
          </w:r>
          <w:r>
            <w:fldChar w:fldCharType="end"/>
          </w:r>
          <w:r>
            <w:rPr>
              <w:bCs/>
              <w:lang w:val="zh-CN"/>
            </w:rPr>
            <w:fldChar w:fldCharType="end"/>
          </w:r>
        </w:p>
        <w:p>
          <w:pPr>
            <w:pStyle w:val="11"/>
            <w:tabs>
              <w:tab w:val="right" w:leader="dot" w:pos="8306"/>
              <w:tab w:val="clear" w:pos="8296"/>
            </w:tabs>
          </w:pPr>
          <w:r>
            <w:rPr>
              <w:bCs/>
              <w:lang w:val="zh-CN"/>
            </w:rPr>
            <w:fldChar w:fldCharType="begin"/>
          </w:r>
          <w:r>
            <w:rPr>
              <w:bCs/>
              <w:lang w:val="zh-CN"/>
            </w:rPr>
            <w:instrText xml:space="preserve"> HYPERLINK \l _Toc18589 </w:instrText>
          </w:r>
          <w:r>
            <w:rPr>
              <w:bCs/>
              <w:lang w:val="zh-CN"/>
            </w:rPr>
            <w:fldChar w:fldCharType="separate"/>
          </w:r>
          <w:r>
            <w:rPr>
              <w:rFonts w:hint="eastAsia"/>
            </w:rPr>
            <w:t>四、财政拨款收入支出决算总体情况说明</w:t>
          </w:r>
          <w:r>
            <w:tab/>
          </w:r>
          <w:r>
            <w:fldChar w:fldCharType="begin"/>
          </w:r>
          <w:r>
            <w:instrText xml:space="preserve"> PAGEREF _Toc18589 \h </w:instrText>
          </w:r>
          <w:r>
            <w:fldChar w:fldCharType="separate"/>
          </w:r>
          <w:r>
            <w:t>6</w:t>
          </w:r>
          <w:r>
            <w:fldChar w:fldCharType="end"/>
          </w:r>
          <w:r>
            <w:rPr>
              <w:bCs/>
              <w:lang w:val="zh-CN"/>
            </w:rPr>
            <w:fldChar w:fldCharType="end"/>
          </w:r>
        </w:p>
        <w:p>
          <w:pPr>
            <w:pStyle w:val="11"/>
            <w:tabs>
              <w:tab w:val="right" w:leader="dot" w:pos="8306"/>
              <w:tab w:val="clear" w:pos="8296"/>
            </w:tabs>
          </w:pPr>
          <w:r>
            <w:rPr>
              <w:bCs/>
              <w:lang w:val="zh-CN"/>
            </w:rPr>
            <w:fldChar w:fldCharType="begin"/>
          </w:r>
          <w:r>
            <w:rPr>
              <w:bCs/>
              <w:lang w:val="zh-CN"/>
            </w:rPr>
            <w:instrText xml:space="preserve"> HYPERLINK \l _Toc14440 </w:instrText>
          </w:r>
          <w:r>
            <w:rPr>
              <w:bCs/>
              <w:lang w:val="zh-CN"/>
            </w:rPr>
            <w:fldChar w:fldCharType="separate"/>
          </w:r>
          <w:r>
            <w:rPr>
              <w:rFonts w:hint="eastAsia"/>
            </w:rPr>
            <w:t>五、一般公共预算财政拨款支出决算情况说明</w:t>
          </w:r>
          <w:r>
            <w:tab/>
          </w:r>
          <w:r>
            <w:fldChar w:fldCharType="begin"/>
          </w:r>
          <w:r>
            <w:instrText xml:space="preserve"> PAGEREF _Toc14440 \h </w:instrText>
          </w:r>
          <w:r>
            <w:fldChar w:fldCharType="separate"/>
          </w:r>
          <w:r>
            <w:t>7</w:t>
          </w:r>
          <w:r>
            <w:fldChar w:fldCharType="end"/>
          </w:r>
          <w:r>
            <w:rPr>
              <w:bCs/>
              <w:lang w:val="zh-CN"/>
            </w:rPr>
            <w:fldChar w:fldCharType="end"/>
          </w:r>
        </w:p>
        <w:p>
          <w:pPr>
            <w:pStyle w:val="6"/>
            <w:tabs>
              <w:tab w:val="right" w:leader="dot" w:pos="8306"/>
              <w:tab w:val="clear" w:pos="8296"/>
            </w:tabs>
          </w:pPr>
          <w:r>
            <w:rPr>
              <w:bCs/>
              <w:lang w:val="zh-CN"/>
            </w:rPr>
            <w:fldChar w:fldCharType="begin"/>
          </w:r>
          <w:r>
            <w:rPr>
              <w:bCs/>
              <w:lang w:val="zh-CN"/>
            </w:rPr>
            <w:instrText xml:space="preserve"> HYPERLINK \l _Toc7345 </w:instrText>
          </w:r>
          <w:r>
            <w:rPr>
              <w:bCs/>
              <w:lang w:val="zh-CN"/>
            </w:rPr>
            <w:fldChar w:fldCharType="separate"/>
          </w:r>
          <w:r>
            <w:rPr>
              <w:rFonts w:hint="eastAsia"/>
            </w:rPr>
            <w:t>（一）一般公共预算财政拨款支出决算总体情况</w:t>
          </w:r>
          <w:r>
            <w:tab/>
          </w:r>
          <w:r>
            <w:fldChar w:fldCharType="begin"/>
          </w:r>
          <w:r>
            <w:instrText xml:space="preserve"> PAGEREF _Toc7345 \h </w:instrText>
          </w:r>
          <w:r>
            <w:fldChar w:fldCharType="separate"/>
          </w:r>
          <w:r>
            <w:t>7</w:t>
          </w:r>
          <w:r>
            <w:fldChar w:fldCharType="end"/>
          </w:r>
          <w:r>
            <w:rPr>
              <w:bCs/>
              <w:lang w:val="zh-CN"/>
            </w:rPr>
            <w:fldChar w:fldCharType="end"/>
          </w:r>
        </w:p>
        <w:p>
          <w:pPr>
            <w:pStyle w:val="6"/>
            <w:tabs>
              <w:tab w:val="right" w:leader="dot" w:pos="8306"/>
              <w:tab w:val="clear" w:pos="8296"/>
            </w:tabs>
          </w:pPr>
          <w:r>
            <w:rPr>
              <w:bCs/>
              <w:lang w:val="zh-CN"/>
            </w:rPr>
            <w:fldChar w:fldCharType="begin"/>
          </w:r>
          <w:r>
            <w:rPr>
              <w:bCs/>
              <w:lang w:val="zh-CN"/>
            </w:rPr>
            <w:instrText xml:space="preserve"> HYPERLINK \l _Toc18570 </w:instrText>
          </w:r>
          <w:r>
            <w:rPr>
              <w:bCs/>
              <w:lang w:val="zh-CN"/>
            </w:rPr>
            <w:fldChar w:fldCharType="separate"/>
          </w:r>
          <w:r>
            <w:rPr>
              <w:rFonts w:hint="eastAsia"/>
            </w:rPr>
            <w:t>（二）一般公共预算财政拨款支出决算结构情况</w:t>
          </w:r>
          <w:r>
            <w:tab/>
          </w:r>
          <w:r>
            <w:fldChar w:fldCharType="begin"/>
          </w:r>
          <w:r>
            <w:instrText xml:space="preserve"> PAGEREF _Toc18570 \h </w:instrText>
          </w:r>
          <w:r>
            <w:fldChar w:fldCharType="separate"/>
          </w:r>
          <w:r>
            <w:t>7</w:t>
          </w:r>
          <w:r>
            <w:fldChar w:fldCharType="end"/>
          </w:r>
          <w:r>
            <w:rPr>
              <w:bCs/>
              <w:lang w:val="zh-CN"/>
            </w:rPr>
            <w:fldChar w:fldCharType="end"/>
          </w:r>
        </w:p>
        <w:p>
          <w:pPr>
            <w:pStyle w:val="6"/>
            <w:tabs>
              <w:tab w:val="right" w:leader="dot" w:pos="8306"/>
              <w:tab w:val="clear" w:pos="8296"/>
            </w:tabs>
          </w:pPr>
          <w:r>
            <w:rPr>
              <w:bCs/>
              <w:lang w:val="zh-CN"/>
            </w:rPr>
            <w:fldChar w:fldCharType="begin"/>
          </w:r>
          <w:r>
            <w:rPr>
              <w:bCs/>
              <w:lang w:val="zh-CN"/>
            </w:rPr>
            <w:instrText xml:space="preserve"> HYPERLINK \l _Toc8146 </w:instrText>
          </w:r>
          <w:r>
            <w:rPr>
              <w:bCs/>
              <w:lang w:val="zh-CN"/>
            </w:rPr>
            <w:fldChar w:fldCharType="separate"/>
          </w:r>
          <w:r>
            <w:rPr>
              <w:rFonts w:hint="eastAsia"/>
            </w:rPr>
            <w:t>（三）一般公共预算财政拨款支出决算具体情况</w:t>
          </w:r>
          <w:r>
            <w:tab/>
          </w:r>
          <w:r>
            <w:fldChar w:fldCharType="begin"/>
          </w:r>
          <w:r>
            <w:instrText xml:space="preserve"> PAGEREF _Toc8146 \h </w:instrText>
          </w:r>
          <w:r>
            <w:fldChar w:fldCharType="separate"/>
          </w:r>
          <w:r>
            <w:t>8</w:t>
          </w:r>
          <w:r>
            <w:fldChar w:fldCharType="end"/>
          </w:r>
          <w:r>
            <w:rPr>
              <w:bCs/>
              <w:lang w:val="zh-CN"/>
            </w:rPr>
            <w:fldChar w:fldCharType="end"/>
          </w:r>
        </w:p>
        <w:p>
          <w:pPr>
            <w:pStyle w:val="11"/>
            <w:tabs>
              <w:tab w:val="right" w:leader="dot" w:pos="8306"/>
              <w:tab w:val="clear" w:pos="8296"/>
            </w:tabs>
          </w:pPr>
          <w:r>
            <w:rPr>
              <w:bCs/>
              <w:lang w:val="zh-CN"/>
            </w:rPr>
            <w:fldChar w:fldCharType="begin"/>
          </w:r>
          <w:r>
            <w:rPr>
              <w:bCs/>
              <w:lang w:val="zh-CN"/>
            </w:rPr>
            <w:instrText xml:space="preserve"> HYPERLINK \l _Toc6833 </w:instrText>
          </w:r>
          <w:r>
            <w:rPr>
              <w:bCs/>
              <w:lang w:val="zh-CN"/>
            </w:rPr>
            <w:fldChar w:fldCharType="separate"/>
          </w:r>
          <w:r>
            <w:rPr>
              <w:rFonts w:hint="eastAsia"/>
            </w:rPr>
            <w:t>六、一般公共预算财政拨款基本支出决算情况说明</w:t>
          </w:r>
          <w:r>
            <w:tab/>
          </w:r>
          <w:r>
            <w:fldChar w:fldCharType="begin"/>
          </w:r>
          <w:r>
            <w:instrText xml:space="preserve"> PAGEREF _Toc6833 \h </w:instrText>
          </w:r>
          <w:r>
            <w:fldChar w:fldCharType="separate"/>
          </w:r>
          <w:r>
            <w:t>9</w:t>
          </w:r>
          <w:r>
            <w:fldChar w:fldCharType="end"/>
          </w:r>
          <w:r>
            <w:rPr>
              <w:bCs/>
              <w:lang w:val="zh-CN"/>
            </w:rPr>
            <w:fldChar w:fldCharType="end"/>
          </w:r>
        </w:p>
        <w:p>
          <w:pPr>
            <w:pStyle w:val="11"/>
            <w:tabs>
              <w:tab w:val="right" w:leader="dot" w:pos="8306"/>
              <w:tab w:val="clear" w:pos="8296"/>
            </w:tabs>
          </w:pPr>
          <w:r>
            <w:rPr>
              <w:bCs/>
              <w:lang w:val="zh-CN"/>
            </w:rPr>
            <w:fldChar w:fldCharType="begin"/>
          </w:r>
          <w:r>
            <w:rPr>
              <w:bCs/>
              <w:lang w:val="zh-CN"/>
            </w:rPr>
            <w:instrText xml:space="preserve"> HYPERLINK \l _Toc13405 </w:instrText>
          </w:r>
          <w:r>
            <w:rPr>
              <w:bCs/>
              <w:lang w:val="zh-CN"/>
            </w:rPr>
            <w:fldChar w:fldCharType="separate"/>
          </w:r>
          <w:r>
            <w:rPr>
              <w:rFonts w:hint="eastAsia"/>
            </w:rPr>
            <w:t>七、财政拨款“三公”经费支出决算情况说明</w:t>
          </w:r>
          <w:r>
            <w:tab/>
          </w:r>
          <w:r>
            <w:fldChar w:fldCharType="begin"/>
          </w:r>
          <w:r>
            <w:instrText xml:space="preserve"> PAGEREF _Toc13405 \h </w:instrText>
          </w:r>
          <w:r>
            <w:fldChar w:fldCharType="separate"/>
          </w:r>
          <w:r>
            <w:t>10</w:t>
          </w:r>
          <w:r>
            <w:fldChar w:fldCharType="end"/>
          </w:r>
          <w:r>
            <w:rPr>
              <w:bCs/>
              <w:lang w:val="zh-CN"/>
            </w:rPr>
            <w:fldChar w:fldCharType="end"/>
          </w:r>
        </w:p>
        <w:p>
          <w:pPr>
            <w:pStyle w:val="6"/>
            <w:tabs>
              <w:tab w:val="right" w:leader="dot" w:pos="8306"/>
              <w:tab w:val="clear" w:pos="8296"/>
            </w:tabs>
          </w:pPr>
          <w:r>
            <w:rPr>
              <w:bCs/>
              <w:lang w:val="zh-CN"/>
            </w:rPr>
            <w:fldChar w:fldCharType="begin"/>
          </w:r>
          <w:r>
            <w:rPr>
              <w:bCs/>
              <w:lang w:val="zh-CN"/>
            </w:rPr>
            <w:instrText xml:space="preserve"> HYPERLINK \l _Toc25395 </w:instrText>
          </w:r>
          <w:r>
            <w:rPr>
              <w:bCs/>
              <w:lang w:val="zh-CN"/>
            </w:rPr>
            <w:fldChar w:fldCharType="separate"/>
          </w:r>
          <w:r>
            <w:rPr>
              <w:rFonts w:hint="eastAsia"/>
            </w:rPr>
            <w:t>（一）“三公”经费财政拨款支出决算总体情况说明</w:t>
          </w:r>
          <w:r>
            <w:tab/>
          </w:r>
          <w:r>
            <w:fldChar w:fldCharType="begin"/>
          </w:r>
          <w:r>
            <w:instrText xml:space="preserve"> PAGEREF _Toc25395 \h </w:instrText>
          </w:r>
          <w:r>
            <w:fldChar w:fldCharType="separate"/>
          </w:r>
          <w:r>
            <w:t>10</w:t>
          </w:r>
          <w:r>
            <w:fldChar w:fldCharType="end"/>
          </w:r>
          <w:r>
            <w:rPr>
              <w:bCs/>
              <w:lang w:val="zh-CN"/>
            </w:rPr>
            <w:fldChar w:fldCharType="end"/>
          </w:r>
        </w:p>
        <w:p>
          <w:pPr>
            <w:pStyle w:val="6"/>
            <w:tabs>
              <w:tab w:val="right" w:leader="dot" w:pos="8306"/>
              <w:tab w:val="clear" w:pos="8296"/>
            </w:tabs>
          </w:pPr>
          <w:r>
            <w:rPr>
              <w:bCs/>
              <w:lang w:val="zh-CN"/>
            </w:rPr>
            <w:fldChar w:fldCharType="begin"/>
          </w:r>
          <w:r>
            <w:rPr>
              <w:bCs/>
              <w:lang w:val="zh-CN"/>
            </w:rPr>
            <w:instrText xml:space="preserve"> HYPERLINK \l _Toc21263 </w:instrText>
          </w:r>
          <w:r>
            <w:rPr>
              <w:bCs/>
              <w:lang w:val="zh-CN"/>
            </w:rPr>
            <w:fldChar w:fldCharType="separate"/>
          </w:r>
          <w:r>
            <w:rPr>
              <w:rFonts w:hint="eastAsia"/>
            </w:rPr>
            <w:t>（二）“三公”经费财政拨款支出决算具体情况说明</w:t>
          </w:r>
          <w:r>
            <w:tab/>
          </w:r>
          <w:r>
            <w:fldChar w:fldCharType="begin"/>
          </w:r>
          <w:r>
            <w:instrText xml:space="preserve"> PAGEREF _Toc21263 \h </w:instrText>
          </w:r>
          <w:r>
            <w:fldChar w:fldCharType="separate"/>
          </w:r>
          <w:r>
            <w:t>10</w:t>
          </w:r>
          <w:r>
            <w:fldChar w:fldCharType="end"/>
          </w:r>
          <w:r>
            <w:rPr>
              <w:bCs/>
              <w:lang w:val="zh-CN"/>
            </w:rPr>
            <w:fldChar w:fldCharType="end"/>
          </w:r>
        </w:p>
        <w:p>
          <w:pPr>
            <w:pStyle w:val="11"/>
            <w:tabs>
              <w:tab w:val="right" w:leader="dot" w:pos="8306"/>
              <w:tab w:val="clear" w:pos="8296"/>
            </w:tabs>
          </w:pPr>
          <w:r>
            <w:rPr>
              <w:bCs/>
              <w:lang w:val="zh-CN"/>
            </w:rPr>
            <w:fldChar w:fldCharType="begin"/>
          </w:r>
          <w:r>
            <w:rPr>
              <w:bCs/>
              <w:lang w:val="zh-CN"/>
            </w:rPr>
            <w:instrText xml:space="preserve"> HYPERLINK \l _Toc32400 </w:instrText>
          </w:r>
          <w:r>
            <w:rPr>
              <w:bCs/>
              <w:lang w:val="zh-CN"/>
            </w:rPr>
            <w:fldChar w:fldCharType="separate"/>
          </w:r>
          <w:r>
            <w:rPr>
              <w:rFonts w:hint="eastAsia"/>
            </w:rPr>
            <w:t>八、政府性基金预算支出决算情况说明</w:t>
          </w:r>
          <w:r>
            <w:tab/>
          </w:r>
          <w:r>
            <w:fldChar w:fldCharType="begin"/>
          </w:r>
          <w:r>
            <w:instrText xml:space="preserve"> PAGEREF _Toc32400 \h </w:instrText>
          </w:r>
          <w:r>
            <w:fldChar w:fldCharType="separate"/>
          </w:r>
          <w:r>
            <w:t>10</w:t>
          </w:r>
          <w:r>
            <w:fldChar w:fldCharType="end"/>
          </w:r>
          <w:r>
            <w:rPr>
              <w:bCs/>
              <w:lang w:val="zh-CN"/>
            </w:rPr>
            <w:fldChar w:fldCharType="end"/>
          </w:r>
        </w:p>
        <w:p>
          <w:pPr>
            <w:pStyle w:val="11"/>
            <w:tabs>
              <w:tab w:val="right" w:leader="dot" w:pos="8306"/>
              <w:tab w:val="clear" w:pos="8296"/>
            </w:tabs>
          </w:pPr>
          <w:r>
            <w:rPr>
              <w:bCs/>
              <w:lang w:val="zh-CN"/>
            </w:rPr>
            <w:fldChar w:fldCharType="begin"/>
          </w:r>
          <w:r>
            <w:rPr>
              <w:bCs/>
              <w:lang w:val="zh-CN"/>
            </w:rPr>
            <w:instrText xml:space="preserve"> HYPERLINK \l _Toc31295 </w:instrText>
          </w:r>
          <w:r>
            <w:rPr>
              <w:bCs/>
              <w:lang w:val="zh-CN"/>
            </w:rPr>
            <w:fldChar w:fldCharType="separate"/>
          </w:r>
          <w:r>
            <w:rPr>
              <w:rFonts w:hint="eastAsia"/>
            </w:rPr>
            <w:t>九、国有资本经营预算支出决算情况说明</w:t>
          </w:r>
          <w:r>
            <w:tab/>
          </w:r>
          <w:r>
            <w:fldChar w:fldCharType="begin"/>
          </w:r>
          <w:r>
            <w:instrText xml:space="preserve"> PAGEREF _Toc31295 \h </w:instrText>
          </w:r>
          <w:r>
            <w:fldChar w:fldCharType="separate"/>
          </w:r>
          <w:r>
            <w:t>10</w:t>
          </w:r>
          <w:r>
            <w:fldChar w:fldCharType="end"/>
          </w:r>
          <w:r>
            <w:rPr>
              <w:bCs/>
              <w:lang w:val="zh-CN"/>
            </w:rPr>
            <w:fldChar w:fldCharType="end"/>
          </w:r>
        </w:p>
        <w:p>
          <w:pPr>
            <w:pStyle w:val="11"/>
            <w:tabs>
              <w:tab w:val="right" w:leader="dot" w:pos="8306"/>
              <w:tab w:val="clear" w:pos="8296"/>
            </w:tabs>
          </w:pPr>
          <w:r>
            <w:rPr>
              <w:bCs/>
              <w:lang w:val="zh-CN"/>
            </w:rPr>
            <w:fldChar w:fldCharType="begin"/>
          </w:r>
          <w:r>
            <w:rPr>
              <w:bCs/>
              <w:lang w:val="zh-CN"/>
            </w:rPr>
            <w:instrText xml:space="preserve"> HYPERLINK \l _Toc32336 </w:instrText>
          </w:r>
          <w:r>
            <w:rPr>
              <w:bCs/>
              <w:lang w:val="zh-CN"/>
            </w:rPr>
            <w:fldChar w:fldCharType="separate"/>
          </w:r>
          <w:r>
            <w:rPr>
              <w:rFonts w:hint="eastAsia"/>
              <w:bCs/>
            </w:rPr>
            <w:t>十、</w:t>
          </w:r>
          <w:r>
            <w:rPr>
              <w:rFonts w:hint="eastAsia"/>
            </w:rPr>
            <w:t>其他重要事项的情况说明</w:t>
          </w:r>
          <w:r>
            <w:tab/>
          </w:r>
          <w:r>
            <w:fldChar w:fldCharType="begin"/>
          </w:r>
          <w:r>
            <w:instrText xml:space="preserve"> PAGEREF _Toc32336 \h </w:instrText>
          </w:r>
          <w:r>
            <w:fldChar w:fldCharType="separate"/>
          </w:r>
          <w:r>
            <w:t>11</w:t>
          </w:r>
          <w:r>
            <w:fldChar w:fldCharType="end"/>
          </w:r>
          <w:r>
            <w:rPr>
              <w:bCs/>
              <w:lang w:val="zh-CN"/>
            </w:rPr>
            <w:fldChar w:fldCharType="end"/>
          </w:r>
        </w:p>
        <w:p>
          <w:pPr>
            <w:pStyle w:val="6"/>
            <w:tabs>
              <w:tab w:val="right" w:leader="dot" w:pos="8306"/>
              <w:tab w:val="clear" w:pos="8296"/>
            </w:tabs>
          </w:pPr>
          <w:r>
            <w:rPr>
              <w:bCs/>
              <w:lang w:val="zh-CN"/>
            </w:rPr>
            <w:fldChar w:fldCharType="begin"/>
          </w:r>
          <w:r>
            <w:rPr>
              <w:bCs/>
              <w:lang w:val="zh-CN"/>
            </w:rPr>
            <w:instrText xml:space="preserve"> HYPERLINK \l _Toc30642 </w:instrText>
          </w:r>
          <w:r>
            <w:rPr>
              <w:bCs/>
              <w:lang w:val="zh-CN"/>
            </w:rPr>
            <w:fldChar w:fldCharType="separate"/>
          </w:r>
          <w:r>
            <w:rPr>
              <w:rFonts w:hint="eastAsia"/>
            </w:rPr>
            <w:t>（一）机关运行经费支出情况</w:t>
          </w:r>
          <w:r>
            <w:tab/>
          </w:r>
          <w:r>
            <w:fldChar w:fldCharType="begin"/>
          </w:r>
          <w:r>
            <w:instrText xml:space="preserve"> PAGEREF _Toc30642 \h </w:instrText>
          </w:r>
          <w:r>
            <w:fldChar w:fldCharType="separate"/>
          </w:r>
          <w:r>
            <w:t>11</w:t>
          </w:r>
          <w:r>
            <w:fldChar w:fldCharType="end"/>
          </w:r>
          <w:r>
            <w:rPr>
              <w:bCs/>
              <w:lang w:val="zh-CN"/>
            </w:rPr>
            <w:fldChar w:fldCharType="end"/>
          </w:r>
        </w:p>
        <w:p>
          <w:pPr>
            <w:pStyle w:val="6"/>
            <w:tabs>
              <w:tab w:val="right" w:leader="dot" w:pos="8306"/>
              <w:tab w:val="clear" w:pos="8296"/>
            </w:tabs>
          </w:pPr>
          <w:r>
            <w:rPr>
              <w:bCs/>
              <w:lang w:val="zh-CN"/>
            </w:rPr>
            <w:fldChar w:fldCharType="begin"/>
          </w:r>
          <w:r>
            <w:rPr>
              <w:bCs/>
              <w:lang w:val="zh-CN"/>
            </w:rPr>
            <w:instrText xml:space="preserve"> HYPERLINK \l _Toc31227 </w:instrText>
          </w:r>
          <w:r>
            <w:rPr>
              <w:bCs/>
              <w:lang w:val="zh-CN"/>
            </w:rPr>
            <w:fldChar w:fldCharType="separate"/>
          </w:r>
          <w:r>
            <w:rPr>
              <w:rFonts w:hint="eastAsia"/>
            </w:rPr>
            <w:t>（二）政府采购支出情况</w:t>
          </w:r>
          <w:r>
            <w:tab/>
          </w:r>
          <w:r>
            <w:fldChar w:fldCharType="begin"/>
          </w:r>
          <w:r>
            <w:instrText xml:space="preserve"> PAGEREF _Toc31227 \h </w:instrText>
          </w:r>
          <w:r>
            <w:fldChar w:fldCharType="separate"/>
          </w:r>
          <w:r>
            <w:t>11</w:t>
          </w:r>
          <w:r>
            <w:fldChar w:fldCharType="end"/>
          </w:r>
          <w:r>
            <w:rPr>
              <w:bCs/>
              <w:lang w:val="zh-CN"/>
            </w:rPr>
            <w:fldChar w:fldCharType="end"/>
          </w:r>
        </w:p>
        <w:p>
          <w:pPr>
            <w:pStyle w:val="6"/>
            <w:tabs>
              <w:tab w:val="right" w:leader="dot" w:pos="8306"/>
              <w:tab w:val="clear" w:pos="8296"/>
            </w:tabs>
          </w:pPr>
          <w:r>
            <w:rPr>
              <w:bCs/>
              <w:lang w:val="zh-CN"/>
            </w:rPr>
            <w:fldChar w:fldCharType="begin"/>
          </w:r>
          <w:r>
            <w:rPr>
              <w:bCs/>
              <w:lang w:val="zh-CN"/>
            </w:rPr>
            <w:instrText xml:space="preserve"> HYPERLINK \l _Toc27207 </w:instrText>
          </w:r>
          <w:r>
            <w:rPr>
              <w:bCs/>
              <w:lang w:val="zh-CN"/>
            </w:rPr>
            <w:fldChar w:fldCharType="separate"/>
          </w:r>
          <w:r>
            <w:rPr>
              <w:rFonts w:hint="eastAsia"/>
            </w:rPr>
            <w:t>（三）国有资产占有使用情况</w:t>
          </w:r>
          <w:r>
            <w:tab/>
          </w:r>
          <w:r>
            <w:fldChar w:fldCharType="begin"/>
          </w:r>
          <w:r>
            <w:instrText xml:space="preserve"> PAGEREF _Toc27207 \h </w:instrText>
          </w:r>
          <w:r>
            <w:fldChar w:fldCharType="separate"/>
          </w:r>
          <w:r>
            <w:t>11</w:t>
          </w:r>
          <w:r>
            <w:fldChar w:fldCharType="end"/>
          </w:r>
          <w:r>
            <w:rPr>
              <w:bCs/>
              <w:lang w:val="zh-CN"/>
            </w:rPr>
            <w:fldChar w:fldCharType="end"/>
          </w:r>
        </w:p>
        <w:p>
          <w:pPr>
            <w:pStyle w:val="6"/>
            <w:tabs>
              <w:tab w:val="right" w:leader="dot" w:pos="8306"/>
              <w:tab w:val="clear" w:pos="8296"/>
            </w:tabs>
          </w:pPr>
          <w:r>
            <w:rPr>
              <w:bCs/>
              <w:lang w:val="zh-CN"/>
            </w:rPr>
            <w:fldChar w:fldCharType="begin"/>
          </w:r>
          <w:r>
            <w:rPr>
              <w:bCs/>
              <w:lang w:val="zh-CN"/>
            </w:rPr>
            <w:instrText xml:space="preserve"> HYPERLINK \l _Toc11424 </w:instrText>
          </w:r>
          <w:r>
            <w:rPr>
              <w:bCs/>
              <w:lang w:val="zh-CN"/>
            </w:rPr>
            <w:fldChar w:fldCharType="separate"/>
          </w:r>
          <w:r>
            <w:rPr>
              <w:rFonts w:hint="eastAsia"/>
            </w:rPr>
            <w:t>（四）预算绩效管理情况</w:t>
          </w:r>
          <w:r>
            <w:tab/>
          </w:r>
          <w:r>
            <w:fldChar w:fldCharType="begin"/>
          </w:r>
          <w:r>
            <w:instrText xml:space="preserve"> PAGEREF _Toc11424 \h </w:instrText>
          </w:r>
          <w:r>
            <w:fldChar w:fldCharType="separate"/>
          </w:r>
          <w:r>
            <w:t>11</w:t>
          </w:r>
          <w:r>
            <w:fldChar w:fldCharType="end"/>
          </w:r>
          <w:r>
            <w:rPr>
              <w:bCs/>
              <w:lang w:val="zh-CN"/>
            </w:rPr>
            <w:fldChar w:fldCharType="end"/>
          </w:r>
        </w:p>
        <w:p>
          <w:pPr>
            <w:pStyle w:val="10"/>
            <w:tabs>
              <w:tab w:val="right" w:leader="dot" w:pos="8306"/>
              <w:tab w:val="clear" w:pos="8296"/>
            </w:tabs>
          </w:pPr>
          <w:r>
            <w:rPr>
              <w:bCs/>
              <w:lang w:val="zh-CN"/>
            </w:rPr>
            <w:fldChar w:fldCharType="begin"/>
          </w:r>
          <w:r>
            <w:rPr>
              <w:bCs/>
              <w:lang w:val="zh-CN"/>
            </w:rPr>
            <w:instrText xml:space="preserve"> HYPERLINK \l _Toc462 </w:instrText>
          </w:r>
          <w:r>
            <w:rPr>
              <w:bCs/>
              <w:lang w:val="zh-CN"/>
            </w:rPr>
            <w:fldChar w:fldCharType="separate"/>
          </w:r>
          <w:r>
            <w:rPr>
              <w:rFonts w:hint="eastAsia"/>
            </w:rPr>
            <w:t>第三部分 名</w:t>
          </w:r>
          <w:r>
            <w:rPr>
              <w:rFonts w:hint="eastAsia"/>
              <w:bCs/>
            </w:rPr>
            <w:t>词解释</w:t>
          </w:r>
          <w:r>
            <w:tab/>
          </w:r>
          <w:r>
            <w:fldChar w:fldCharType="begin"/>
          </w:r>
          <w:r>
            <w:instrText xml:space="preserve"> PAGEREF _Toc462 \h </w:instrText>
          </w:r>
          <w:r>
            <w:fldChar w:fldCharType="separate"/>
          </w:r>
          <w:r>
            <w:t>12</w:t>
          </w:r>
          <w:r>
            <w:fldChar w:fldCharType="end"/>
          </w:r>
          <w:r>
            <w:rPr>
              <w:bCs/>
              <w:lang w:val="zh-CN"/>
            </w:rPr>
            <w:fldChar w:fldCharType="end"/>
          </w:r>
        </w:p>
        <w:p>
          <w:pPr>
            <w:pStyle w:val="10"/>
            <w:tabs>
              <w:tab w:val="right" w:leader="dot" w:pos="8306"/>
              <w:tab w:val="clear" w:pos="8296"/>
            </w:tabs>
          </w:pPr>
          <w:r>
            <w:rPr>
              <w:bCs/>
              <w:lang w:val="zh-CN"/>
            </w:rPr>
            <w:fldChar w:fldCharType="begin"/>
          </w:r>
          <w:r>
            <w:rPr>
              <w:bCs/>
              <w:lang w:val="zh-CN"/>
            </w:rPr>
            <w:instrText xml:space="preserve"> HYPERLINK \l _Toc27591 </w:instrText>
          </w:r>
          <w:r>
            <w:rPr>
              <w:bCs/>
              <w:lang w:val="zh-CN"/>
            </w:rPr>
            <w:fldChar w:fldCharType="separate"/>
          </w:r>
          <w:r>
            <w:rPr>
              <w:rFonts w:hint="eastAsia"/>
            </w:rPr>
            <w:t>第四部分 附件</w:t>
          </w:r>
          <w:r>
            <w:tab/>
          </w:r>
          <w:r>
            <w:fldChar w:fldCharType="begin"/>
          </w:r>
          <w:r>
            <w:instrText xml:space="preserve"> PAGEREF _Toc27591 \h </w:instrText>
          </w:r>
          <w:r>
            <w:fldChar w:fldCharType="separate"/>
          </w:r>
          <w:r>
            <w:t>14</w:t>
          </w:r>
          <w:r>
            <w:fldChar w:fldCharType="end"/>
          </w:r>
          <w:r>
            <w:rPr>
              <w:bCs/>
              <w:lang w:val="zh-CN"/>
            </w:rPr>
            <w:fldChar w:fldCharType="end"/>
          </w:r>
        </w:p>
        <w:p>
          <w:pPr>
            <w:pStyle w:val="10"/>
            <w:tabs>
              <w:tab w:val="right" w:leader="dot" w:pos="8306"/>
              <w:tab w:val="clear" w:pos="8296"/>
            </w:tabs>
          </w:pPr>
          <w:r>
            <w:rPr>
              <w:bCs/>
              <w:lang w:val="zh-CN"/>
            </w:rPr>
            <w:fldChar w:fldCharType="begin"/>
          </w:r>
          <w:r>
            <w:rPr>
              <w:bCs/>
              <w:lang w:val="zh-CN"/>
            </w:rPr>
            <w:instrText xml:space="preserve"> HYPERLINK \l _Toc30404 </w:instrText>
          </w:r>
          <w:r>
            <w:rPr>
              <w:bCs/>
              <w:lang w:val="zh-CN"/>
            </w:rPr>
            <w:fldChar w:fldCharType="separate"/>
          </w:r>
          <w:r>
            <w:rPr>
              <w:rFonts w:hint="eastAsia"/>
            </w:rPr>
            <w:t>第五部分 附表</w:t>
          </w:r>
          <w:r>
            <w:tab/>
          </w:r>
          <w:r>
            <w:fldChar w:fldCharType="begin"/>
          </w:r>
          <w:r>
            <w:instrText xml:space="preserve"> PAGEREF _Toc30404 \h </w:instrText>
          </w:r>
          <w:r>
            <w:fldChar w:fldCharType="separate"/>
          </w:r>
          <w:r>
            <w:t>15</w:t>
          </w:r>
          <w:r>
            <w:fldChar w:fldCharType="end"/>
          </w:r>
          <w:r>
            <w:rPr>
              <w:bCs/>
              <w:lang w:val="zh-CN"/>
            </w:rPr>
            <w:fldChar w:fldCharType="end"/>
          </w:r>
        </w:p>
        <w:p>
          <w:pPr>
            <w:pStyle w:val="10"/>
          </w:pPr>
          <w:r>
            <w:rPr>
              <w:b/>
              <w:bCs/>
              <w:lang w:val="zh-CN"/>
            </w:rPr>
            <w:fldChar w:fldCharType="end"/>
          </w:r>
        </w:p>
      </w:sdtContent>
    </w:sdt>
    <w:p>
      <w:bookmarkStart w:id="19" w:name="_Toc15377196"/>
      <w:bookmarkStart w:id="20" w:name="_Toc15396599"/>
      <w:r>
        <w:br w:type="page"/>
      </w:r>
    </w:p>
    <w:p>
      <w:pPr>
        <w:pStyle w:val="3"/>
        <w:jc w:val="center"/>
        <w:rPr>
          <w:rStyle w:val="24"/>
          <w:b/>
          <w:bCs/>
        </w:rPr>
      </w:pPr>
      <w:bookmarkStart w:id="21" w:name="_Toc143015001"/>
      <w:bookmarkStart w:id="22" w:name="_Toc23662"/>
      <w:r>
        <w:rPr>
          <w:rFonts w:hint="eastAsia"/>
        </w:rPr>
        <w:t>第一部分 单位</w:t>
      </w:r>
      <w:r>
        <w:rPr>
          <w:rStyle w:val="24"/>
          <w:rFonts w:hint="eastAsia"/>
          <w:b/>
          <w:bCs/>
        </w:rPr>
        <w:t>概况</w:t>
      </w:r>
      <w:bookmarkEnd w:id="19"/>
      <w:bookmarkEnd w:id="20"/>
      <w:bookmarkEnd w:id="21"/>
      <w:bookmarkEnd w:id="22"/>
    </w:p>
    <w:p>
      <w:pPr>
        <w:widowControl/>
        <w:jc w:val="left"/>
        <w:rPr>
          <w:rFonts w:ascii="黑体" w:eastAsia="黑体"/>
          <w:sz w:val="32"/>
          <w:szCs w:val="32"/>
        </w:rPr>
      </w:pPr>
    </w:p>
    <w:p>
      <w:pPr>
        <w:pStyle w:val="4"/>
      </w:pPr>
      <w:bookmarkStart w:id="23" w:name="_Toc143015002"/>
      <w:bookmarkStart w:id="24" w:name="_Toc2621"/>
      <w:bookmarkStart w:id="25" w:name="_Toc15377197"/>
      <w:bookmarkStart w:id="26" w:name="_Toc15396600"/>
      <w:r>
        <w:rPr>
          <w:rFonts w:hint="eastAsia"/>
        </w:rPr>
        <w:t>一、主要职责</w:t>
      </w:r>
      <w:bookmarkEnd w:id="23"/>
      <w:bookmarkEnd w:id="24"/>
      <w:bookmarkStart w:id="27" w:name="_Toc15378446"/>
      <w:bookmarkStart w:id="28" w:name="_Toc15377199"/>
    </w:p>
    <w:bookmarkEnd w:id="27"/>
    <w:bookmarkEnd w:id="28"/>
    <w:p>
      <w:pPr>
        <w:ind w:firstLine="640" w:firstLineChars="200"/>
        <w:rPr>
          <w:rFonts w:hint="eastAsia" w:ascii="仿宋_GB2312" w:eastAsia="仿宋_GB2312"/>
          <w:bCs/>
          <w:color w:val="000000"/>
          <w:sz w:val="32"/>
          <w:szCs w:val="32"/>
        </w:rPr>
      </w:pPr>
      <w:r>
        <w:rPr>
          <w:rFonts w:hint="eastAsia" w:ascii="仿宋_GB2312" w:eastAsia="仿宋_GB2312"/>
          <w:bCs/>
          <w:color w:val="000000"/>
          <w:sz w:val="32"/>
          <w:szCs w:val="32"/>
        </w:rPr>
        <w:t>资阳市雁江区机保局是我区机关事业单位养老保险经办机构，负责执行国家、省、市有关机关事业单位养老保险法规，配合编制我区机关事业单位养老保险发展规划、计划，参与制定并组织实施机关事业单位养老保险实施办法、经办规程、监督管理制度。负责辖区内机关事业单位养老保险基金的征集、离退休金支付和管理工作；负责编制机关事业单位养老保险基金收支预决算，填报各项财务、统计报表工作；完成区委、区政府、主管局交办的其他工作。</w:t>
      </w:r>
    </w:p>
    <w:p>
      <w:pPr>
        <w:ind w:firstLine="640" w:firstLineChars="200"/>
        <w:rPr>
          <w:rFonts w:hint="eastAsia"/>
        </w:rPr>
      </w:pPr>
      <w:r>
        <w:rPr>
          <w:rFonts w:hint="eastAsia" w:ascii="仿宋_GB2312" w:eastAsia="仿宋_GB2312"/>
          <w:bCs/>
          <w:color w:val="000000"/>
          <w:sz w:val="32"/>
          <w:szCs w:val="32"/>
        </w:rPr>
        <w:t>2022年，在区委、区政府和区人社局的坚强领导下，在区委组织部的关怀下，在全体干部职工的共同努力下，我局以健全和完善机关事业单位养老保险服务体系为主线，以推进机关事业单位养老保险制度改革为重点，勤奋敬业，攻坚克难，使各项工作再上新台阶。加强基金征集，确保待遇按时足额发放，2022年征收职业年金2106.21万元</w:t>
      </w:r>
      <w:r>
        <w:rPr>
          <w:rFonts w:hint="eastAsia" w:ascii="仿宋_GB2312" w:eastAsia="仿宋_GB2312"/>
          <w:bCs/>
          <w:color w:val="000000"/>
          <w:sz w:val="32"/>
          <w:szCs w:val="32"/>
          <w:lang w:eastAsia="zh-CN"/>
        </w:rPr>
        <w:t>，</w:t>
      </w:r>
      <w:r>
        <w:rPr>
          <w:rFonts w:hint="eastAsia" w:ascii="仿宋_GB2312" w:eastAsia="仿宋_GB2312"/>
          <w:bCs/>
          <w:color w:val="000000"/>
          <w:sz w:val="32"/>
          <w:szCs w:val="32"/>
        </w:rPr>
        <w:t>为104659人次发放养老金50968.42万元。</w:t>
      </w:r>
    </w:p>
    <w:p>
      <w:pPr>
        <w:pStyle w:val="4"/>
        <w:rPr>
          <w:rFonts w:hint="eastAsia"/>
        </w:rPr>
      </w:pPr>
      <w:bookmarkStart w:id="29" w:name="_Toc143015003"/>
      <w:bookmarkStart w:id="30" w:name="_Toc9354"/>
      <w:r>
        <w:rPr>
          <w:rFonts w:hint="eastAsia"/>
        </w:rPr>
        <w:t>二、机构设置</w:t>
      </w:r>
      <w:bookmarkEnd w:id="29"/>
      <w:bookmarkEnd w:id="30"/>
    </w:p>
    <w:p>
      <w:pPr>
        <w:ind w:firstLine="800" w:firstLineChars="250"/>
        <w:rPr>
          <w:rFonts w:hint="eastAsia" w:ascii="仿宋_GB2312" w:eastAsia="仿宋_GB2312"/>
          <w:bCs/>
          <w:color w:val="000000"/>
          <w:sz w:val="32"/>
          <w:szCs w:val="32"/>
          <w:lang w:eastAsia="zh-CN"/>
        </w:rPr>
      </w:pPr>
      <w:r>
        <w:rPr>
          <w:rFonts w:hint="eastAsia" w:ascii="仿宋_GB2312" w:eastAsia="仿宋_GB2312"/>
          <w:bCs/>
          <w:color w:val="000000"/>
          <w:sz w:val="32"/>
          <w:szCs w:val="32"/>
        </w:rPr>
        <w:t>资阳市雁江区机关事业单位属资阳市雁江区人力资源和社会保障局二级单位，一级预算单位，下设办公室，财务股，稽核股，退管股，业务股，统筹股6个股室，编制人数6人。实有人数9人（其中临聘人员3人）</w:t>
      </w:r>
      <w:r>
        <w:rPr>
          <w:rFonts w:hint="eastAsia" w:ascii="仿宋_GB2312" w:eastAsia="仿宋_GB2312"/>
          <w:bCs/>
          <w:color w:val="000000"/>
          <w:sz w:val="32"/>
          <w:szCs w:val="32"/>
          <w:lang w:eastAsia="zh-CN"/>
        </w:rPr>
        <w:t>。</w:t>
      </w:r>
    </w:p>
    <w:p/>
    <w:bookmarkEnd w:id="25"/>
    <w:bookmarkEnd w:id="26"/>
    <w:p>
      <w:pPr>
        <w:widowControl/>
        <w:jc w:val="left"/>
        <w:rPr>
          <w:rFonts w:ascii="仿宋" w:hAnsi="仿宋" w:eastAsia="仿宋"/>
          <w:kern w:val="0"/>
          <w:sz w:val="32"/>
          <w:szCs w:val="32"/>
        </w:rPr>
      </w:pPr>
      <w:r>
        <w:rPr>
          <w:rFonts w:ascii="仿宋" w:hAnsi="仿宋" w:eastAsia="仿宋"/>
          <w:sz w:val="32"/>
          <w:szCs w:val="32"/>
        </w:rPr>
        <w:br w:type="page"/>
      </w:r>
      <w:bookmarkStart w:id="116" w:name="_GoBack"/>
      <w:bookmarkEnd w:id="116"/>
    </w:p>
    <w:p>
      <w:pPr>
        <w:pStyle w:val="3"/>
        <w:jc w:val="center"/>
        <w:rPr>
          <w:rStyle w:val="24"/>
          <w:b/>
          <w:bCs/>
        </w:rPr>
      </w:pPr>
      <w:bookmarkStart w:id="31" w:name="_Toc143015004"/>
      <w:bookmarkStart w:id="32" w:name="_Toc15377204"/>
      <w:bookmarkStart w:id="33" w:name="_Toc15396602"/>
      <w:bookmarkStart w:id="34" w:name="_Toc2402"/>
      <w:r>
        <w:rPr>
          <w:rFonts w:hint="eastAsia"/>
        </w:rPr>
        <w:t>第二部分 2022年度</w:t>
      </w:r>
      <w:r>
        <w:rPr>
          <w:rStyle w:val="24"/>
          <w:rFonts w:hint="eastAsia"/>
          <w:b/>
          <w:bCs/>
        </w:rPr>
        <w:t>单位决算情况说明</w:t>
      </w:r>
      <w:bookmarkEnd w:id="31"/>
      <w:bookmarkEnd w:id="32"/>
      <w:bookmarkEnd w:id="33"/>
      <w:bookmarkEnd w:id="34"/>
    </w:p>
    <w:p>
      <w:pPr>
        <w:pStyle w:val="4"/>
      </w:pPr>
      <w:bookmarkStart w:id="35" w:name="_Toc15377205"/>
      <w:bookmarkStart w:id="36" w:name="_Toc143015005"/>
      <w:bookmarkStart w:id="37" w:name="_Toc15396603"/>
      <w:bookmarkStart w:id="38" w:name="_Toc8909"/>
      <w:r>
        <w:rPr>
          <w:rFonts w:hint="eastAsia"/>
        </w:rPr>
        <w:t>一、收入支出决算总体情况说明</w:t>
      </w:r>
      <w:bookmarkEnd w:id="35"/>
      <w:bookmarkEnd w:id="36"/>
      <w:bookmarkEnd w:id="37"/>
      <w:bookmarkEnd w:id="38"/>
    </w:p>
    <w:p>
      <w:pPr>
        <w:ind w:firstLine="800" w:firstLineChars="250"/>
        <w:rPr>
          <w:rFonts w:hint="eastAsia" w:ascii="仿宋" w:hAnsi="仿宋" w:eastAsia="仿宋"/>
          <w:sz w:val="32"/>
          <w:szCs w:val="32"/>
        </w:rPr>
      </w:pPr>
      <w:r>
        <w:rPr>
          <w:rFonts w:hint="eastAsia" w:ascii="仿宋_GB2312" w:eastAsia="仿宋_GB2312"/>
          <w:bCs/>
          <w:color w:val="000000"/>
          <w:sz w:val="32"/>
          <w:szCs w:val="32"/>
        </w:rPr>
        <w:t>2022年度收、支总计149.28万元。与2021年相比，收、支总计各增加7.54万元，增加5.32</w:t>
      </w:r>
      <w:r>
        <w:rPr>
          <w:rFonts w:ascii="仿宋_GB2312" w:eastAsia="仿宋_GB2312"/>
          <w:bCs/>
          <w:color w:val="000000"/>
          <w:sz w:val="32"/>
          <w:szCs w:val="32"/>
        </w:rPr>
        <w:t>%</w:t>
      </w:r>
      <w:r>
        <w:rPr>
          <w:rFonts w:hint="eastAsia" w:ascii="仿宋_GB2312" w:eastAsia="仿宋_GB2312"/>
          <w:bCs/>
          <w:color w:val="000000"/>
          <w:sz w:val="32"/>
          <w:szCs w:val="32"/>
        </w:rPr>
        <w:t>。主要变动原因是正常晋级晋档人员经费增加。</w:t>
      </w:r>
    </w:p>
    <w:p>
      <w:pPr>
        <w:rPr>
          <w:rFonts w:ascii="仿宋" w:hAnsi="仿宋" w:eastAsia="仿宋"/>
          <w:sz w:val="32"/>
          <w:szCs w:val="32"/>
        </w:rPr>
      </w:pPr>
      <w:r>
        <w:rPr>
          <w:rFonts w:ascii="仿宋" w:hAnsi="仿宋" w:eastAsia="仿宋"/>
          <w:sz w:val="32"/>
          <w:szCs w:val="32"/>
        </w:rPr>
        <w:drawing>
          <wp:inline distT="0" distB="0" distL="0" distR="0">
            <wp:extent cx="5276850" cy="1752600"/>
            <wp:effectExtent l="0" t="0" r="19050" b="1905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p>
    <w:p>
      <w:pPr>
        <w:pStyle w:val="4"/>
        <w:rPr>
          <w:bCs w:val="0"/>
        </w:rPr>
      </w:pPr>
      <w:bookmarkStart w:id="39" w:name="_Toc15396604"/>
      <w:bookmarkStart w:id="40" w:name="_Toc143015006"/>
      <w:bookmarkStart w:id="41" w:name="_Toc15377206"/>
      <w:bookmarkStart w:id="42" w:name="_Toc5414"/>
      <w:r>
        <w:rPr>
          <w:rFonts w:hint="eastAsia"/>
        </w:rPr>
        <w:t>二、收入决算情况说明</w:t>
      </w:r>
      <w:bookmarkEnd w:id="39"/>
      <w:bookmarkEnd w:id="40"/>
      <w:bookmarkEnd w:id="41"/>
      <w:bookmarkEnd w:id="42"/>
    </w:p>
    <w:p>
      <w:pPr>
        <w:ind w:firstLine="800" w:firstLineChars="250"/>
        <w:rPr>
          <w:rFonts w:hint="eastAsia" w:ascii="仿宋_GB2312" w:eastAsia="仿宋_GB2312"/>
          <w:bCs/>
          <w:color w:val="000000"/>
          <w:sz w:val="32"/>
          <w:szCs w:val="32"/>
        </w:rPr>
      </w:pPr>
      <w:r>
        <w:rPr>
          <w:rFonts w:ascii="仿宋_GB2312" w:eastAsia="仿宋_GB2312"/>
          <w:bCs/>
          <w:color w:val="000000"/>
          <w:sz w:val="32"/>
          <w:szCs w:val="32"/>
        </w:rPr>
        <w:t>20</w:t>
      </w:r>
      <w:r>
        <w:rPr>
          <w:rFonts w:hint="eastAsia" w:ascii="仿宋_GB2312" w:eastAsia="仿宋_GB2312"/>
          <w:bCs/>
          <w:color w:val="000000"/>
          <w:sz w:val="32"/>
          <w:szCs w:val="32"/>
        </w:rPr>
        <w:t>22年本年收入合计149.28万元，其中：一般公共预算财政拨款收入149.28万元，占100</w:t>
      </w:r>
      <w:r>
        <w:rPr>
          <w:rFonts w:ascii="仿宋_GB2312" w:eastAsia="仿宋_GB2312"/>
          <w:bCs/>
          <w:color w:val="000000"/>
          <w:sz w:val="32"/>
          <w:szCs w:val="32"/>
        </w:rPr>
        <w:t>%</w:t>
      </w:r>
      <w:r>
        <w:rPr>
          <w:rFonts w:hint="eastAsia" w:ascii="仿宋_GB2312" w:eastAsia="仿宋_GB2312"/>
          <w:bCs/>
          <w:color w:val="000000"/>
          <w:sz w:val="32"/>
          <w:szCs w:val="32"/>
        </w:rPr>
        <w:t>。</w:t>
      </w:r>
    </w:p>
    <w:p>
      <w:pPr>
        <w:rPr>
          <w:rFonts w:ascii="仿宋" w:hAnsi="仿宋" w:eastAsia="仿宋"/>
          <w:sz w:val="32"/>
          <w:szCs w:val="32"/>
        </w:rPr>
      </w:pPr>
      <w:r>
        <w:rPr>
          <w:rFonts w:ascii="仿宋" w:hAnsi="仿宋" w:eastAsia="仿宋"/>
          <w:sz w:val="32"/>
          <w:szCs w:val="32"/>
        </w:rPr>
        <w:drawing>
          <wp:inline distT="0" distB="0" distL="0" distR="0">
            <wp:extent cx="5276850" cy="1714500"/>
            <wp:effectExtent l="0" t="0" r="19050" b="19050"/>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rPr>
          <w:rFonts w:ascii="仿宋" w:hAnsi="仿宋" w:eastAsia="仿宋"/>
          <w:sz w:val="32"/>
          <w:szCs w:val="32"/>
        </w:rPr>
      </w:pPr>
      <w:r>
        <w:rPr>
          <w:rFonts w:hint="eastAsia" w:ascii="仿宋" w:hAnsi="仿宋" w:eastAsia="仿宋"/>
          <w:sz w:val="32"/>
          <w:szCs w:val="32"/>
        </w:rPr>
        <w:t>（图2：收入决算结构图）（饼状图）</w:t>
      </w:r>
    </w:p>
    <w:p>
      <w:pPr>
        <w:pStyle w:val="4"/>
        <w:rPr>
          <w:bCs w:val="0"/>
        </w:rPr>
      </w:pPr>
      <w:bookmarkStart w:id="43" w:name="_Toc15377207"/>
      <w:bookmarkStart w:id="44" w:name="_Toc15396605"/>
      <w:bookmarkStart w:id="45" w:name="_Toc143015007"/>
      <w:bookmarkStart w:id="46" w:name="_Toc32516"/>
      <w:r>
        <w:rPr>
          <w:rFonts w:hint="eastAsia"/>
        </w:rPr>
        <w:t>三、支出决算情况说明</w:t>
      </w:r>
      <w:bookmarkEnd w:id="43"/>
      <w:bookmarkEnd w:id="44"/>
      <w:bookmarkEnd w:id="45"/>
      <w:bookmarkEnd w:id="46"/>
    </w:p>
    <w:p>
      <w:pPr>
        <w:ind w:firstLine="800" w:firstLineChars="250"/>
        <w:rPr>
          <w:rFonts w:ascii="仿宋_GB2312" w:eastAsia="仿宋_GB2312"/>
          <w:bCs/>
          <w:color w:val="000000"/>
          <w:sz w:val="32"/>
          <w:szCs w:val="32"/>
        </w:rPr>
      </w:pPr>
      <w:r>
        <w:rPr>
          <w:rFonts w:ascii="仿宋_GB2312" w:eastAsia="仿宋_GB2312"/>
          <w:bCs/>
          <w:color w:val="000000"/>
          <w:sz w:val="32"/>
          <w:szCs w:val="32"/>
        </w:rPr>
        <w:t>20</w:t>
      </w:r>
      <w:r>
        <w:rPr>
          <w:rFonts w:hint="eastAsia" w:ascii="仿宋_GB2312" w:eastAsia="仿宋_GB2312"/>
          <w:bCs/>
          <w:color w:val="000000"/>
          <w:sz w:val="32"/>
          <w:szCs w:val="32"/>
        </w:rPr>
        <w:t>22年本年支出合计149.28万元，其中：基本支出115.33万元，占77.26</w:t>
      </w:r>
      <w:r>
        <w:rPr>
          <w:rFonts w:ascii="仿宋_GB2312" w:eastAsia="仿宋_GB2312"/>
          <w:bCs/>
          <w:color w:val="000000"/>
          <w:sz w:val="32"/>
          <w:szCs w:val="32"/>
        </w:rPr>
        <w:t>%</w:t>
      </w:r>
      <w:r>
        <w:rPr>
          <w:rFonts w:hint="eastAsia" w:ascii="仿宋_GB2312" w:eastAsia="仿宋_GB2312"/>
          <w:bCs/>
          <w:color w:val="000000"/>
          <w:sz w:val="32"/>
          <w:szCs w:val="32"/>
        </w:rPr>
        <w:t>；项目支出33.95万元，占22.74</w:t>
      </w:r>
      <w:r>
        <w:rPr>
          <w:rFonts w:ascii="仿宋_GB2312" w:eastAsia="仿宋_GB2312"/>
          <w:bCs/>
          <w:color w:val="000000"/>
          <w:sz w:val="32"/>
          <w:szCs w:val="32"/>
        </w:rPr>
        <w:t>%</w:t>
      </w:r>
      <w:r>
        <w:rPr>
          <w:rFonts w:hint="eastAsia" w:ascii="仿宋_GB2312" w:eastAsia="仿宋_GB2312"/>
          <w:bCs/>
          <w:color w:val="000000"/>
          <w:sz w:val="32"/>
          <w:szCs w:val="32"/>
        </w:rPr>
        <w:t>。</w:t>
      </w:r>
    </w:p>
    <w:p>
      <w:pPr>
        <w:rPr>
          <w:rFonts w:ascii="仿宋" w:hAnsi="仿宋" w:eastAsia="仿宋"/>
          <w:sz w:val="32"/>
          <w:szCs w:val="32"/>
          <w:shd w:val="pct10" w:color="auto" w:fill="FFFFFF"/>
        </w:rPr>
      </w:pPr>
      <w:r>
        <w:rPr>
          <w:rFonts w:ascii="仿宋" w:hAnsi="仿宋" w:eastAsia="仿宋"/>
          <w:sz w:val="32"/>
          <w:szCs w:val="32"/>
          <w:shd w:val="pct10" w:color="auto" w:fill="FFFFFF"/>
        </w:rPr>
        <w:drawing>
          <wp:inline distT="0" distB="0" distL="0" distR="0">
            <wp:extent cx="5276850" cy="1847850"/>
            <wp:effectExtent l="0" t="0" r="19050" b="1905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ind w:firstLine="640" w:firstLineChars="200"/>
        <w:rPr>
          <w:rFonts w:ascii="仿宋" w:hAnsi="仿宋" w:eastAsia="仿宋"/>
          <w:sz w:val="32"/>
          <w:szCs w:val="32"/>
        </w:rPr>
      </w:pPr>
      <w:r>
        <w:rPr>
          <w:rFonts w:hint="eastAsia" w:ascii="仿宋" w:hAnsi="仿宋" w:eastAsia="仿宋"/>
          <w:sz w:val="32"/>
          <w:szCs w:val="32"/>
        </w:rPr>
        <w:t>（图3：支出决算结构图）（饼状图）</w:t>
      </w:r>
    </w:p>
    <w:p>
      <w:pPr>
        <w:pStyle w:val="4"/>
        <w:rPr>
          <w:b w:val="0"/>
          <w:bCs w:val="0"/>
        </w:rPr>
      </w:pPr>
      <w:bookmarkStart w:id="47" w:name="_Toc15377208"/>
      <w:bookmarkStart w:id="48" w:name="_Toc143015008"/>
      <w:bookmarkStart w:id="49" w:name="_Toc15396606"/>
      <w:bookmarkStart w:id="50" w:name="_Toc18589"/>
      <w:r>
        <w:rPr>
          <w:rFonts w:hint="eastAsia"/>
        </w:rPr>
        <w:t>四、财政拨款收入支出决算总体情况说明</w:t>
      </w:r>
      <w:bookmarkEnd w:id="47"/>
      <w:bookmarkEnd w:id="48"/>
      <w:bookmarkEnd w:id="49"/>
      <w:bookmarkEnd w:id="50"/>
    </w:p>
    <w:p>
      <w:pPr>
        <w:ind w:firstLine="800" w:firstLineChars="250"/>
        <w:rPr>
          <w:rFonts w:ascii="仿宋_GB2312" w:eastAsia="仿宋_GB2312"/>
          <w:bCs/>
          <w:color w:val="000000"/>
          <w:sz w:val="32"/>
          <w:szCs w:val="32"/>
        </w:rPr>
      </w:pPr>
      <w:r>
        <w:rPr>
          <w:rFonts w:ascii="仿宋_GB2312" w:eastAsia="仿宋_GB2312"/>
          <w:bCs/>
          <w:color w:val="000000"/>
          <w:sz w:val="32"/>
          <w:szCs w:val="32"/>
        </w:rPr>
        <w:t>20</w:t>
      </w:r>
      <w:r>
        <w:rPr>
          <w:rFonts w:hint="eastAsia" w:ascii="仿宋_GB2312" w:eastAsia="仿宋_GB2312"/>
          <w:bCs/>
          <w:color w:val="000000"/>
          <w:sz w:val="32"/>
          <w:szCs w:val="32"/>
        </w:rPr>
        <w:t>22年财政拨款收、支总计149.28万元。与</w:t>
      </w:r>
      <w:r>
        <w:rPr>
          <w:rFonts w:ascii="仿宋_GB2312" w:eastAsia="仿宋_GB2312"/>
          <w:bCs/>
          <w:color w:val="000000"/>
          <w:sz w:val="32"/>
          <w:szCs w:val="32"/>
        </w:rPr>
        <w:t>20</w:t>
      </w:r>
      <w:r>
        <w:rPr>
          <w:rFonts w:hint="eastAsia" w:ascii="仿宋_GB2312" w:eastAsia="仿宋_GB2312"/>
          <w:bCs/>
          <w:color w:val="000000"/>
          <w:sz w:val="32"/>
          <w:szCs w:val="32"/>
        </w:rPr>
        <w:t>21年相比，财政拨款收、支总计各增加7.54万元，增长5.32</w:t>
      </w:r>
      <w:r>
        <w:rPr>
          <w:rFonts w:ascii="仿宋_GB2312" w:eastAsia="仿宋_GB2312"/>
          <w:bCs/>
          <w:color w:val="000000"/>
          <w:sz w:val="32"/>
          <w:szCs w:val="32"/>
        </w:rPr>
        <w:t>%</w:t>
      </w:r>
      <w:r>
        <w:rPr>
          <w:rFonts w:hint="eastAsia" w:ascii="仿宋_GB2312" w:eastAsia="仿宋_GB2312"/>
          <w:bCs/>
          <w:color w:val="000000"/>
          <w:sz w:val="32"/>
          <w:szCs w:val="32"/>
        </w:rPr>
        <w:t>。主要变动原因是正常晋级晋档人员经费增加。</w:t>
      </w:r>
    </w:p>
    <w:p>
      <w:pPr>
        <w:rPr>
          <w:rFonts w:ascii="仿宋" w:hAnsi="仿宋" w:eastAsia="仿宋"/>
          <w:sz w:val="32"/>
          <w:szCs w:val="32"/>
        </w:rPr>
      </w:pPr>
      <w:r>
        <w:rPr>
          <w:rFonts w:ascii="仿宋" w:hAnsi="仿宋" w:eastAsia="仿宋"/>
          <w:sz w:val="32"/>
          <w:szCs w:val="32"/>
        </w:rPr>
        <w:drawing>
          <wp:inline distT="0" distB="0" distL="0" distR="0">
            <wp:extent cx="5276850" cy="2095500"/>
            <wp:effectExtent l="0" t="0" r="19050" b="1905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ind w:firstLine="640" w:firstLineChars="200"/>
        <w:rPr>
          <w:rFonts w:ascii="仿宋" w:hAnsi="仿宋" w:eastAsia="仿宋"/>
          <w:sz w:val="32"/>
          <w:szCs w:val="32"/>
        </w:rPr>
      </w:pPr>
      <w:r>
        <w:rPr>
          <w:rFonts w:hint="eastAsia" w:ascii="仿宋" w:hAnsi="仿宋" w:eastAsia="仿宋"/>
          <w:sz w:val="32"/>
          <w:szCs w:val="32"/>
        </w:rPr>
        <w:t>（图4：财政拨款收、支决算总计变动情况）（柱状图）</w:t>
      </w:r>
    </w:p>
    <w:p>
      <w:pPr>
        <w:pStyle w:val="4"/>
        <w:rPr>
          <w:rStyle w:val="25"/>
          <w:rFonts w:ascii="黑体" w:hAnsi="黑体" w:eastAsia="黑体"/>
          <w:b/>
          <w:bCs w:val="0"/>
        </w:rPr>
      </w:pPr>
      <w:bookmarkStart w:id="51" w:name="_Toc15396607"/>
      <w:bookmarkStart w:id="52" w:name="_Toc15377209"/>
      <w:bookmarkStart w:id="53" w:name="_Toc143015009"/>
      <w:bookmarkStart w:id="54" w:name="_Toc14440"/>
      <w:r>
        <w:rPr>
          <w:rFonts w:hint="eastAsia"/>
        </w:rPr>
        <w:t>五、一般公共预算财政拨款支出决算情况说明</w:t>
      </w:r>
      <w:bookmarkEnd w:id="51"/>
      <w:bookmarkEnd w:id="52"/>
      <w:bookmarkEnd w:id="53"/>
      <w:bookmarkEnd w:id="54"/>
    </w:p>
    <w:p>
      <w:pPr>
        <w:pStyle w:val="5"/>
      </w:pPr>
      <w:bookmarkStart w:id="55" w:name="_Toc15377210"/>
      <w:bookmarkStart w:id="56" w:name="_Toc143015010"/>
      <w:bookmarkStart w:id="57" w:name="_Toc7345"/>
      <w:r>
        <w:rPr>
          <w:rFonts w:hint="eastAsia"/>
        </w:rPr>
        <w:t>（一）一般公共预算财政拨款支出决算总体情况</w:t>
      </w:r>
      <w:bookmarkEnd w:id="55"/>
      <w:bookmarkEnd w:id="56"/>
      <w:bookmarkEnd w:id="57"/>
    </w:p>
    <w:p>
      <w:pPr>
        <w:ind w:firstLine="800" w:firstLineChars="250"/>
        <w:rPr>
          <w:rFonts w:ascii="仿宋" w:hAnsi="仿宋" w:eastAsia="仿宋"/>
          <w:sz w:val="32"/>
          <w:szCs w:val="32"/>
        </w:rPr>
      </w:pPr>
      <w:r>
        <w:rPr>
          <w:rFonts w:ascii="仿宋_GB2312" w:eastAsia="仿宋_GB2312"/>
          <w:bCs/>
          <w:color w:val="000000"/>
          <w:sz w:val="32"/>
          <w:szCs w:val="32"/>
        </w:rPr>
        <w:t>20</w:t>
      </w:r>
      <w:r>
        <w:rPr>
          <w:rFonts w:hint="eastAsia" w:ascii="仿宋_GB2312" w:eastAsia="仿宋_GB2312"/>
          <w:bCs/>
          <w:color w:val="000000"/>
          <w:sz w:val="32"/>
          <w:szCs w:val="32"/>
        </w:rPr>
        <w:t>22年一般公共预算财政拨款支出149.28万元，占本年支出合计的100</w:t>
      </w:r>
      <w:r>
        <w:rPr>
          <w:rFonts w:ascii="仿宋_GB2312" w:eastAsia="仿宋_GB2312"/>
          <w:bCs/>
          <w:color w:val="000000"/>
          <w:sz w:val="32"/>
          <w:szCs w:val="32"/>
        </w:rPr>
        <w:t>%</w:t>
      </w:r>
      <w:r>
        <w:rPr>
          <w:rFonts w:hint="eastAsia" w:ascii="仿宋_GB2312" w:eastAsia="仿宋_GB2312"/>
          <w:bCs/>
          <w:color w:val="000000"/>
          <w:sz w:val="32"/>
          <w:szCs w:val="32"/>
        </w:rPr>
        <w:t>。与</w:t>
      </w:r>
      <w:r>
        <w:rPr>
          <w:rFonts w:ascii="仿宋_GB2312" w:eastAsia="仿宋_GB2312"/>
          <w:bCs/>
          <w:color w:val="000000"/>
          <w:sz w:val="32"/>
          <w:szCs w:val="32"/>
        </w:rPr>
        <w:t>20</w:t>
      </w:r>
      <w:r>
        <w:rPr>
          <w:rFonts w:hint="eastAsia" w:ascii="仿宋_GB2312" w:eastAsia="仿宋_GB2312"/>
          <w:bCs/>
          <w:color w:val="000000"/>
          <w:sz w:val="32"/>
          <w:szCs w:val="32"/>
        </w:rPr>
        <w:t>21年相比，一般公共预算财政拨款支出增加7.54万元，增长5.32</w:t>
      </w:r>
      <w:r>
        <w:rPr>
          <w:rFonts w:ascii="仿宋_GB2312" w:eastAsia="仿宋_GB2312"/>
          <w:bCs/>
          <w:color w:val="000000"/>
          <w:sz w:val="32"/>
          <w:szCs w:val="32"/>
        </w:rPr>
        <w:t>%</w:t>
      </w:r>
      <w:r>
        <w:rPr>
          <w:rFonts w:hint="eastAsia" w:ascii="仿宋_GB2312" w:eastAsia="仿宋_GB2312"/>
          <w:bCs/>
          <w:color w:val="000000"/>
          <w:sz w:val="32"/>
          <w:szCs w:val="32"/>
        </w:rPr>
        <w:t>。主要变动原因是正常晋级晋档人员经费增加。</w:t>
      </w:r>
    </w:p>
    <w:p>
      <w:pPr>
        <w:rPr>
          <w:rFonts w:ascii="仿宋" w:hAnsi="仿宋" w:eastAsia="仿宋"/>
          <w:sz w:val="32"/>
          <w:szCs w:val="32"/>
        </w:rPr>
      </w:pPr>
      <w:r>
        <w:rPr>
          <w:rFonts w:ascii="仿宋" w:hAnsi="仿宋" w:eastAsia="仿宋"/>
          <w:sz w:val="32"/>
          <w:szCs w:val="32"/>
        </w:rPr>
        <w:drawing>
          <wp:inline distT="0" distB="0" distL="0" distR="0">
            <wp:extent cx="5274310" cy="2094230"/>
            <wp:effectExtent l="0" t="0" r="21590" b="2032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ind w:firstLine="640" w:firstLineChars="200"/>
        <w:rPr>
          <w:rFonts w:ascii="仿宋" w:hAnsi="仿宋" w:eastAsia="仿宋"/>
          <w:sz w:val="32"/>
          <w:szCs w:val="32"/>
        </w:rPr>
      </w:pPr>
      <w:r>
        <w:rPr>
          <w:rFonts w:hint="eastAsia" w:ascii="仿宋" w:hAnsi="仿宋" w:eastAsia="仿宋"/>
          <w:sz w:val="32"/>
          <w:szCs w:val="32"/>
        </w:rPr>
        <w:t>（图5：一般公共预算财政拨款支出决算变动情况）（柱状图）</w:t>
      </w:r>
    </w:p>
    <w:p>
      <w:pPr>
        <w:pStyle w:val="5"/>
      </w:pPr>
      <w:bookmarkStart w:id="58" w:name="_Toc15377211"/>
      <w:bookmarkStart w:id="59" w:name="_Toc143015011"/>
      <w:bookmarkStart w:id="60" w:name="_Toc18570"/>
      <w:r>
        <w:rPr>
          <w:rFonts w:hint="eastAsia"/>
        </w:rPr>
        <w:t>（二）一般公共预算财政拨款支出决算结构情况</w:t>
      </w:r>
      <w:bookmarkEnd w:id="58"/>
      <w:bookmarkEnd w:id="59"/>
      <w:bookmarkEnd w:id="60"/>
    </w:p>
    <w:p>
      <w:pPr>
        <w:ind w:firstLine="800" w:firstLineChars="250"/>
        <w:rPr>
          <w:rFonts w:ascii="仿宋_GB2312" w:eastAsia="仿宋_GB2312"/>
          <w:bCs/>
          <w:color w:val="000000"/>
          <w:sz w:val="32"/>
          <w:szCs w:val="32"/>
        </w:rPr>
      </w:pPr>
      <w:r>
        <w:rPr>
          <w:rFonts w:ascii="仿宋_GB2312" w:eastAsia="仿宋_GB2312"/>
          <w:bCs/>
          <w:color w:val="000000"/>
          <w:sz w:val="32"/>
          <w:szCs w:val="32"/>
        </w:rPr>
        <w:t>20</w:t>
      </w:r>
      <w:r>
        <w:rPr>
          <w:rFonts w:hint="eastAsia" w:ascii="仿宋_GB2312" w:eastAsia="仿宋_GB2312"/>
          <w:bCs/>
          <w:color w:val="000000"/>
          <w:sz w:val="32"/>
          <w:szCs w:val="32"/>
        </w:rPr>
        <w:t>22年一般公共预算财政拨款支出149.28万元，主要用于以下方面</w:t>
      </w:r>
      <w:r>
        <w:rPr>
          <w:rFonts w:ascii="仿宋_GB2312" w:eastAsia="仿宋_GB2312"/>
          <w:bCs/>
          <w:color w:val="000000"/>
          <w:sz w:val="32"/>
          <w:szCs w:val="32"/>
        </w:rPr>
        <w:t>:</w:t>
      </w:r>
      <w:r>
        <w:rPr>
          <w:rFonts w:hint="eastAsia" w:ascii="仿宋_GB2312" w:eastAsia="仿宋_GB2312"/>
          <w:bCs/>
          <w:color w:val="000000"/>
          <w:sz w:val="32"/>
          <w:szCs w:val="32"/>
        </w:rPr>
        <w:t>社会保障和就业支出139.58万元，占93.50</w:t>
      </w:r>
      <w:r>
        <w:rPr>
          <w:rFonts w:ascii="仿宋_GB2312" w:eastAsia="仿宋_GB2312"/>
          <w:bCs/>
          <w:color w:val="000000"/>
          <w:sz w:val="32"/>
          <w:szCs w:val="32"/>
        </w:rPr>
        <w:t>%</w:t>
      </w:r>
      <w:r>
        <w:rPr>
          <w:rFonts w:hint="eastAsia" w:ascii="仿宋_GB2312" w:eastAsia="仿宋_GB2312"/>
          <w:bCs/>
          <w:color w:val="000000"/>
          <w:sz w:val="32"/>
          <w:szCs w:val="32"/>
        </w:rPr>
        <w:t>；卫生健康支出3.93万元，占2.62</w:t>
      </w:r>
      <w:r>
        <w:rPr>
          <w:rFonts w:ascii="仿宋_GB2312" w:eastAsia="仿宋_GB2312"/>
          <w:bCs/>
          <w:color w:val="000000"/>
          <w:sz w:val="32"/>
          <w:szCs w:val="32"/>
        </w:rPr>
        <w:t>%</w:t>
      </w:r>
      <w:r>
        <w:rPr>
          <w:rFonts w:hint="eastAsia" w:ascii="仿宋_GB2312" w:eastAsia="仿宋_GB2312"/>
          <w:bCs/>
          <w:color w:val="000000"/>
          <w:sz w:val="32"/>
          <w:szCs w:val="32"/>
        </w:rPr>
        <w:t>；住房保障支出5.77万元，占3.88</w:t>
      </w:r>
      <w:r>
        <w:rPr>
          <w:rFonts w:ascii="仿宋_GB2312" w:eastAsia="仿宋_GB2312"/>
          <w:bCs/>
          <w:color w:val="000000"/>
          <w:sz w:val="32"/>
          <w:szCs w:val="32"/>
        </w:rPr>
        <w:t>%</w:t>
      </w:r>
      <w:r>
        <w:rPr>
          <w:rFonts w:hint="eastAsia" w:ascii="仿宋_GB2312" w:eastAsia="仿宋_GB2312"/>
          <w:bCs/>
          <w:color w:val="000000"/>
          <w:sz w:val="32"/>
          <w:szCs w:val="32"/>
        </w:rPr>
        <w:t>。</w:t>
      </w:r>
    </w:p>
    <w:p>
      <w:pPr>
        <w:rPr>
          <w:rFonts w:ascii="仿宋" w:hAnsi="仿宋" w:eastAsia="仿宋"/>
          <w:sz w:val="32"/>
          <w:szCs w:val="32"/>
        </w:rPr>
      </w:pPr>
      <w:r>
        <w:rPr>
          <w:rFonts w:ascii="仿宋" w:hAnsi="仿宋" w:eastAsia="仿宋"/>
          <w:sz w:val="32"/>
          <w:szCs w:val="32"/>
        </w:rPr>
        <w:drawing>
          <wp:inline distT="0" distB="0" distL="0" distR="0">
            <wp:extent cx="5229225" cy="2200275"/>
            <wp:effectExtent l="0" t="0" r="9525" b="952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ind w:firstLine="640" w:firstLineChars="200"/>
        <w:rPr>
          <w:rFonts w:ascii="仿宋" w:hAnsi="仿宋" w:eastAsia="仿宋"/>
          <w:sz w:val="32"/>
          <w:szCs w:val="32"/>
        </w:rPr>
      </w:pPr>
      <w:r>
        <w:rPr>
          <w:rFonts w:hint="eastAsia" w:ascii="仿宋" w:hAnsi="仿宋" w:eastAsia="仿宋"/>
          <w:sz w:val="32"/>
          <w:szCs w:val="32"/>
        </w:rPr>
        <w:t>（图6：一般公共预算财政拨款支出决算结构）（饼状图）</w:t>
      </w:r>
    </w:p>
    <w:p>
      <w:pPr>
        <w:pStyle w:val="5"/>
      </w:pPr>
      <w:bookmarkStart w:id="61" w:name="_Toc15377212"/>
      <w:bookmarkStart w:id="62" w:name="_Toc143015012"/>
      <w:bookmarkStart w:id="63" w:name="_Toc8146"/>
      <w:r>
        <w:rPr>
          <w:rFonts w:hint="eastAsia"/>
        </w:rPr>
        <w:t>（三）一般公共预算财政拨款支出决算具体情况</w:t>
      </w:r>
      <w:bookmarkEnd w:id="61"/>
      <w:bookmarkEnd w:id="62"/>
      <w:bookmarkEnd w:id="63"/>
    </w:p>
    <w:p>
      <w:pPr>
        <w:ind w:firstLine="800" w:firstLineChars="250"/>
        <w:rPr>
          <w:rFonts w:ascii="仿宋_GB2312" w:eastAsia="仿宋_GB2312"/>
          <w:color w:val="000000"/>
          <w:sz w:val="32"/>
          <w:szCs w:val="32"/>
        </w:rPr>
      </w:pPr>
      <w:bookmarkStart w:id="64" w:name="_Toc15377444"/>
      <w:bookmarkStart w:id="65" w:name="_Toc15377213"/>
      <w:bookmarkStart w:id="66" w:name="_Toc15378460"/>
      <w:r>
        <w:rPr>
          <w:rFonts w:hint="eastAsia" w:ascii="仿宋_GB2312" w:eastAsia="仿宋_GB2312"/>
          <w:color w:val="000000"/>
          <w:sz w:val="32"/>
          <w:szCs w:val="32"/>
        </w:rPr>
        <w:t>2022年一般公共预算支出决算数为149.28，完成预算100</w:t>
      </w:r>
      <w:r>
        <w:rPr>
          <w:rFonts w:ascii="仿宋_GB2312" w:eastAsia="仿宋_GB2312"/>
          <w:color w:val="000000"/>
          <w:sz w:val="32"/>
          <w:szCs w:val="32"/>
        </w:rPr>
        <w:t>%</w:t>
      </w:r>
      <w:r>
        <w:rPr>
          <w:rFonts w:hint="eastAsia" w:ascii="仿宋_GB2312" w:eastAsia="仿宋_GB2312"/>
          <w:color w:val="000000"/>
          <w:sz w:val="32"/>
          <w:szCs w:val="32"/>
        </w:rPr>
        <w:t>。其中：</w:t>
      </w:r>
      <w:bookmarkEnd w:id="64"/>
      <w:bookmarkEnd w:id="65"/>
      <w:bookmarkEnd w:id="66"/>
    </w:p>
    <w:p>
      <w:pPr>
        <w:ind w:firstLine="803" w:firstLineChars="250"/>
        <w:rPr>
          <w:rFonts w:ascii="仿宋_GB2312" w:eastAsia="仿宋_GB2312"/>
          <w:bCs/>
          <w:color w:val="000000"/>
          <w:sz w:val="32"/>
          <w:szCs w:val="32"/>
        </w:rPr>
      </w:pPr>
      <w:r>
        <w:rPr>
          <w:rFonts w:ascii="仿宋_GB2312" w:eastAsia="仿宋_GB2312"/>
          <w:b/>
          <w:color w:val="000000"/>
          <w:sz w:val="32"/>
          <w:szCs w:val="32"/>
        </w:rPr>
        <w:t>1.</w:t>
      </w:r>
      <w:r>
        <w:rPr>
          <w:rFonts w:hint="eastAsia" w:ascii="仿宋_GB2312" w:eastAsia="仿宋_GB2312"/>
          <w:color w:val="000000"/>
          <w:sz w:val="32"/>
          <w:szCs w:val="32"/>
        </w:rPr>
        <w:t xml:space="preserve"> </w:t>
      </w:r>
      <w:r>
        <w:rPr>
          <w:rFonts w:hint="eastAsia" w:ascii="仿宋_GB2312" w:eastAsia="仿宋_GB2312"/>
          <w:b/>
          <w:color w:val="000000"/>
          <w:sz w:val="32"/>
          <w:szCs w:val="32"/>
        </w:rPr>
        <w:t>社会保障和就业（类）人力资源和社会保障管理事务（款）行政运行（项）</w:t>
      </w:r>
      <w:r>
        <w:rPr>
          <w:rFonts w:ascii="仿宋_GB2312" w:eastAsia="仿宋_GB2312"/>
          <w:b/>
          <w:color w:val="000000"/>
          <w:sz w:val="32"/>
          <w:szCs w:val="32"/>
        </w:rPr>
        <w:t>:</w:t>
      </w:r>
      <w:r>
        <w:rPr>
          <w:rFonts w:ascii="仿宋_GB2312" w:eastAsia="仿宋_GB2312"/>
          <w:color w:val="000000"/>
          <w:sz w:val="32"/>
          <w:szCs w:val="32"/>
        </w:rPr>
        <w:t xml:space="preserve"> </w:t>
      </w:r>
      <w:r>
        <w:rPr>
          <w:rFonts w:hint="eastAsia" w:ascii="仿宋_GB2312" w:eastAsia="仿宋_GB2312"/>
          <w:color w:val="000000"/>
          <w:sz w:val="32"/>
          <w:szCs w:val="32"/>
        </w:rPr>
        <w:t>支出决算为72.54万元，完成预算100</w:t>
      </w:r>
      <w:r>
        <w:rPr>
          <w:rFonts w:ascii="仿宋_GB2312" w:eastAsia="仿宋_GB2312"/>
          <w:color w:val="000000"/>
          <w:sz w:val="32"/>
          <w:szCs w:val="32"/>
        </w:rPr>
        <w:t>%</w:t>
      </w:r>
      <w:r>
        <w:rPr>
          <w:rFonts w:hint="eastAsia" w:ascii="仿宋_GB2312" w:eastAsia="仿宋_GB2312"/>
          <w:color w:val="000000"/>
          <w:sz w:val="32"/>
          <w:szCs w:val="32"/>
        </w:rPr>
        <w:t>。</w:t>
      </w:r>
    </w:p>
    <w:p>
      <w:pPr>
        <w:ind w:firstLine="803" w:firstLineChars="250"/>
        <w:rPr>
          <w:rFonts w:ascii="仿宋_GB2312" w:eastAsia="仿宋_GB2312"/>
          <w:bCs/>
          <w:color w:val="000000"/>
          <w:sz w:val="32"/>
          <w:szCs w:val="32"/>
        </w:rPr>
      </w:pPr>
      <w:r>
        <w:rPr>
          <w:rFonts w:ascii="仿宋_GB2312" w:eastAsia="仿宋_GB2312"/>
          <w:b/>
          <w:color w:val="000000"/>
          <w:sz w:val="32"/>
          <w:szCs w:val="32"/>
        </w:rPr>
        <w:t>2.</w:t>
      </w:r>
      <w:r>
        <w:rPr>
          <w:rFonts w:hint="eastAsia" w:ascii="仿宋_GB2312" w:eastAsia="仿宋_GB2312"/>
          <w:color w:val="000000"/>
          <w:sz w:val="32"/>
          <w:szCs w:val="32"/>
        </w:rPr>
        <w:t xml:space="preserve"> </w:t>
      </w:r>
      <w:r>
        <w:rPr>
          <w:rFonts w:hint="eastAsia" w:ascii="仿宋_GB2312" w:eastAsia="仿宋_GB2312"/>
          <w:b/>
          <w:color w:val="000000"/>
          <w:sz w:val="32"/>
          <w:szCs w:val="32"/>
        </w:rPr>
        <w:t>社会保障和就业（类）人力资源和社会保障管理事务（款） 一般行政管理事务（项）</w:t>
      </w:r>
      <w:r>
        <w:rPr>
          <w:rFonts w:ascii="仿宋_GB2312" w:eastAsia="仿宋_GB2312"/>
          <w:b/>
          <w:color w:val="000000"/>
          <w:sz w:val="32"/>
          <w:szCs w:val="32"/>
        </w:rPr>
        <w:t>:</w:t>
      </w:r>
      <w:r>
        <w:rPr>
          <w:rFonts w:ascii="仿宋_GB2312" w:eastAsia="仿宋_GB2312"/>
          <w:color w:val="000000"/>
          <w:sz w:val="32"/>
          <w:szCs w:val="32"/>
        </w:rPr>
        <w:t xml:space="preserve"> </w:t>
      </w:r>
      <w:r>
        <w:rPr>
          <w:rFonts w:hint="eastAsia" w:ascii="仿宋_GB2312" w:eastAsia="仿宋_GB2312"/>
          <w:color w:val="000000"/>
          <w:sz w:val="32"/>
          <w:szCs w:val="32"/>
        </w:rPr>
        <w:t>支出决算为33.95万元，完成预算100</w:t>
      </w:r>
      <w:r>
        <w:rPr>
          <w:rFonts w:ascii="仿宋_GB2312" w:eastAsia="仿宋_GB2312"/>
          <w:color w:val="000000"/>
          <w:sz w:val="32"/>
          <w:szCs w:val="32"/>
        </w:rPr>
        <w:t>%</w:t>
      </w:r>
      <w:r>
        <w:rPr>
          <w:rFonts w:hint="eastAsia" w:ascii="仿宋_GB2312" w:eastAsia="仿宋_GB2312"/>
          <w:color w:val="000000"/>
          <w:sz w:val="32"/>
          <w:szCs w:val="32"/>
        </w:rPr>
        <w:t>。</w:t>
      </w:r>
    </w:p>
    <w:p>
      <w:pPr>
        <w:ind w:firstLine="803" w:firstLineChars="250"/>
        <w:rPr>
          <w:rFonts w:ascii="仿宋_GB2312" w:eastAsia="仿宋_GB2312"/>
          <w:bCs/>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 xml:space="preserve"> 社会保障和就业（类）行政事业单位养老支出（款）行政单位离退休（项）</w:t>
      </w:r>
      <w:r>
        <w:rPr>
          <w:rFonts w:ascii="仿宋_GB2312" w:eastAsia="仿宋_GB2312"/>
          <w:b/>
          <w:color w:val="000000"/>
          <w:sz w:val="32"/>
          <w:szCs w:val="32"/>
        </w:rPr>
        <w:t>:</w:t>
      </w:r>
      <w:r>
        <w:rPr>
          <w:rFonts w:ascii="仿宋_GB2312" w:eastAsia="仿宋_GB2312"/>
          <w:color w:val="000000"/>
          <w:sz w:val="32"/>
          <w:szCs w:val="32"/>
        </w:rPr>
        <w:t xml:space="preserve"> </w:t>
      </w:r>
      <w:r>
        <w:rPr>
          <w:rFonts w:hint="eastAsia" w:ascii="仿宋_GB2312" w:eastAsia="仿宋_GB2312"/>
          <w:color w:val="000000"/>
          <w:sz w:val="32"/>
          <w:szCs w:val="32"/>
        </w:rPr>
        <w:t>支出决算为6.43万元，完成预算100</w:t>
      </w:r>
      <w:r>
        <w:rPr>
          <w:rFonts w:ascii="仿宋_GB2312" w:eastAsia="仿宋_GB2312"/>
          <w:color w:val="000000"/>
          <w:sz w:val="32"/>
          <w:szCs w:val="32"/>
        </w:rPr>
        <w:t>%</w:t>
      </w:r>
      <w:r>
        <w:rPr>
          <w:rFonts w:hint="eastAsia" w:ascii="仿宋_GB2312" w:eastAsia="仿宋_GB2312"/>
          <w:color w:val="000000"/>
          <w:sz w:val="32"/>
          <w:szCs w:val="32"/>
        </w:rPr>
        <w:t>。</w:t>
      </w:r>
    </w:p>
    <w:p>
      <w:pPr>
        <w:ind w:firstLine="803" w:firstLineChars="250"/>
        <w:rPr>
          <w:rFonts w:ascii="仿宋_GB2312" w:eastAsia="仿宋_GB2312"/>
          <w:bCs/>
          <w:color w:val="000000"/>
          <w:sz w:val="32"/>
          <w:szCs w:val="32"/>
        </w:rPr>
      </w:pPr>
      <w:r>
        <w:rPr>
          <w:rFonts w:ascii="仿宋_GB2312" w:eastAsia="仿宋_GB2312"/>
          <w:b/>
          <w:color w:val="000000"/>
          <w:sz w:val="32"/>
          <w:szCs w:val="32"/>
        </w:rPr>
        <w:t>4.</w:t>
      </w:r>
      <w:r>
        <w:rPr>
          <w:rFonts w:hint="eastAsia" w:ascii="仿宋_GB2312" w:eastAsia="仿宋_GB2312"/>
          <w:color w:val="000000"/>
          <w:sz w:val="32"/>
          <w:szCs w:val="32"/>
        </w:rPr>
        <w:t xml:space="preserve"> </w:t>
      </w:r>
      <w:r>
        <w:rPr>
          <w:rFonts w:hint="eastAsia" w:ascii="仿宋_GB2312" w:eastAsia="仿宋_GB2312"/>
          <w:b/>
          <w:color w:val="000000"/>
          <w:sz w:val="32"/>
          <w:szCs w:val="32"/>
        </w:rPr>
        <w:t>社会保障和就业（类）行政事业单位养老支出（款）机关事业单位基本养老保险缴费支出（项）</w:t>
      </w:r>
      <w:r>
        <w:rPr>
          <w:rFonts w:ascii="仿宋_GB2312" w:eastAsia="仿宋_GB2312"/>
          <w:b/>
          <w:color w:val="000000"/>
          <w:sz w:val="32"/>
          <w:szCs w:val="32"/>
        </w:rPr>
        <w:t>:</w:t>
      </w:r>
      <w:r>
        <w:rPr>
          <w:rFonts w:ascii="仿宋_GB2312" w:eastAsia="仿宋_GB2312"/>
          <w:color w:val="000000"/>
          <w:sz w:val="32"/>
          <w:szCs w:val="32"/>
        </w:rPr>
        <w:t xml:space="preserve"> </w:t>
      </w:r>
      <w:r>
        <w:rPr>
          <w:rFonts w:hint="eastAsia" w:ascii="仿宋_GB2312" w:eastAsia="仿宋_GB2312"/>
          <w:color w:val="000000"/>
          <w:sz w:val="32"/>
          <w:szCs w:val="32"/>
        </w:rPr>
        <w:t>支出决算为7.4</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万元，完成预算100</w:t>
      </w:r>
      <w:r>
        <w:rPr>
          <w:rFonts w:ascii="仿宋_GB2312" w:eastAsia="仿宋_GB2312"/>
          <w:color w:val="000000"/>
          <w:sz w:val="32"/>
          <w:szCs w:val="32"/>
        </w:rPr>
        <w:t>%</w:t>
      </w:r>
      <w:r>
        <w:rPr>
          <w:rFonts w:hint="eastAsia" w:ascii="仿宋_GB2312" w:eastAsia="仿宋_GB2312"/>
          <w:color w:val="000000"/>
          <w:sz w:val="32"/>
          <w:szCs w:val="32"/>
        </w:rPr>
        <w:t>。</w:t>
      </w:r>
    </w:p>
    <w:p>
      <w:pPr>
        <w:ind w:firstLine="803" w:firstLineChars="250"/>
        <w:rPr>
          <w:rFonts w:hint="eastAsia" w:ascii="仿宋_GB2312" w:eastAsia="仿宋_GB2312"/>
          <w:color w:val="000000"/>
          <w:sz w:val="32"/>
          <w:szCs w:val="32"/>
        </w:rPr>
      </w:pPr>
      <w:r>
        <w:rPr>
          <w:rFonts w:ascii="仿宋_GB2312" w:eastAsia="仿宋_GB2312"/>
          <w:b/>
          <w:color w:val="000000"/>
          <w:sz w:val="32"/>
          <w:szCs w:val="32"/>
        </w:rPr>
        <w:t>5.</w:t>
      </w:r>
      <w:r>
        <w:rPr>
          <w:rFonts w:hint="eastAsia" w:ascii="仿宋_GB2312" w:eastAsia="仿宋_GB2312"/>
          <w:b/>
          <w:color w:val="000000"/>
          <w:sz w:val="32"/>
          <w:szCs w:val="32"/>
        </w:rPr>
        <w:t>社会保障和就业（类）抚恤（款）死亡抚恤（项）</w:t>
      </w:r>
      <w:r>
        <w:rPr>
          <w:rFonts w:ascii="仿宋_GB2312" w:eastAsia="仿宋_GB2312"/>
          <w:b/>
          <w:color w:val="000000"/>
          <w:sz w:val="32"/>
          <w:szCs w:val="32"/>
        </w:rPr>
        <w:t>:</w:t>
      </w:r>
      <w:r>
        <w:rPr>
          <w:rFonts w:ascii="仿宋_GB2312" w:eastAsia="仿宋_GB2312"/>
          <w:color w:val="000000"/>
          <w:sz w:val="32"/>
          <w:szCs w:val="32"/>
        </w:rPr>
        <w:t xml:space="preserve"> </w:t>
      </w:r>
      <w:r>
        <w:rPr>
          <w:rFonts w:hint="eastAsia" w:ascii="仿宋_GB2312" w:eastAsia="仿宋_GB2312"/>
          <w:color w:val="000000"/>
          <w:sz w:val="32"/>
          <w:szCs w:val="32"/>
        </w:rPr>
        <w:t>支出决算为19.08万元，完成预算100</w:t>
      </w:r>
      <w:r>
        <w:rPr>
          <w:rFonts w:ascii="仿宋_GB2312" w:eastAsia="仿宋_GB2312"/>
          <w:color w:val="000000"/>
          <w:sz w:val="32"/>
          <w:szCs w:val="32"/>
        </w:rPr>
        <w:t>%</w:t>
      </w:r>
      <w:r>
        <w:rPr>
          <w:rFonts w:hint="eastAsia" w:ascii="仿宋_GB2312" w:eastAsia="仿宋_GB2312"/>
          <w:color w:val="000000"/>
          <w:sz w:val="32"/>
          <w:szCs w:val="32"/>
        </w:rPr>
        <w:t>。</w:t>
      </w:r>
    </w:p>
    <w:p>
      <w:pPr>
        <w:ind w:firstLine="803" w:firstLineChars="250"/>
        <w:rPr>
          <w:rFonts w:hint="eastAsia" w:ascii="仿宋_GB2312" w:eastAsia="仿宋_GB2312"/>
          <w:color w:val="000000"/>
          <w:sz w:val="32"/>
          <w:szCs w:val="32"/>
        </w:rPr>
      </w:pPr>
      <w:r>
        <w:rPr>
          <w:rFonts w:hint="eastAsia" w:ascii="仿宋_GB2312" w:eastAsia="仿宋_GB2312"/>
          <w:b/>
          <w:color w:val="000000"/>
          <w:sz w:val="32"/>
          <w:szCs w:val="32"/>
        </w:rPr>
        <w:t>6</w:t>
      </w:r>
      <w:r>
        <w:rPr>
          <w:rFonts w:ascii="仿宋_GB2312" w:eastAsia="仿宋_GB2312"/>
          <w:b/>
          <w:color w:val="000000"/>
          <w:sz w:val="32"/>
          <w:szCs w:val="32"/>
        </w:rPr>
        <w:t>.</w:t>
      </w:r>
      <w:r>
        <w:rPr>
          <w:rFonts w:hint="eastAsia" w:ascii="仿宋_GB2312" w:eastAsia="仿宋_GB2312"/>
          <w:b/>
          <w:color w:val="000000"/>
          <w:sz w:val="32"/>
          <w:szCs w:val="32"/>
        </w:rPr>
        <w:t>社会保障和就业（类）其他社会保障和就业支出（款）其他社会保障和就业支出（项）</w:t>
      </w:r>
      <w:r>
        <w:rPr>
          <w:rFonts w:ascii="仿宋_GB2312" w:eastAsia="仿宋_GB2312"/>
          <w:b/>
          <w:color w:val="000000"/>
          <w:sz w:val="32"/>
          <w:szCs w:val="32"/>
        </w:rPr>
        <w:t>:</w:t>
      </w:r>
      <w:r>
        <w:rPr>
          <w:rFonts w:ascii="仿宋_GB2312" w:eastAsia="仿宋_GB2312"/>
          <w:color w:val="000000"/>
          <w:sz w:val="32"/>
          <w:szCs w:val="32"/>
        </w:rPr>
        <w:t xml:space="preserve"> </w:t>
      </w:r>
      <w:r>
        <w:rPr>
          <w:rFonts w:hint="eastAsia" w:ascii="仿宋_GB2312" w:eastAsia="仿宋_GB2312"/>
          <w:color w:val="000000"/>
          <w:sz w:val="32"/>
          <w:szCs w:val="32"/>
        </w:rPr>
        <w:t>支出决算为0.11万元，完成预算100</w:t>
      </w:r>
      <w:r>
        <w:rPr>
          <w:rFonts w:ascii="仿宋_GB2312" w:eastAsia="仿宋_GB2312"/>
          <w:color w:val="000000"/>
          <w:sz w:val="32"/>
          <w:szCs w:val="32"/>
        </w:rPr>
        <w:t>%</w:t>
      </w:r>
      <w:r>
        <w:rPr>
          <w:rFonts w:hint="eastAsia" w:ascii="仿宋_GB2312" w:eastAsia="仿宋_GB2312"/>
          <w:color w:val="000000"/>
          <w:sz w:val="32"/>
          <w:szCs w:val="32"/>
        </w:rPr>
        <w:t>。</w:t>
      </w:r>
    </w:p>
    <w:p>
      <w:pPr>
        <w:ind w:firstLine="803" w:firstLineChars="250"/>
        <w:rPr>
          <w:rFonts w:ascii="仿宋_GB2312" w:eastAsia="仿宋_GB2312"/>
          <w:bCs/>
          <w:color w:val="000000"/>
          <w:sz w:val="32"/>
          <w:szCs w:val="32"/>
        </w:rPr>
      </w:pPr>
      <w:r>
        <w:rPr>
          <w:rFonts w:hint="eastAsia" w:ascii="仿宋_GB2312" w:eastAsia="仿宋_GB2312"/>
          <w:b/>
          <w:color w:val="000000"/>
          <w:sz w:val="32"/>
          <w:szCs w:val="32"/>
        </w:rPr>
        <w:t>7</w:t>
      </w:r>
      <w:r>
        <w:rPr>
          <w:rFonts w:ascii="仿宋_GB2312" w:eastAsia="仿宋_GB2312"/>
          <w:b/>
          <w:color w:val="000000"/>
          <w:sz w:val="32"/>
          <w:szCs w:val="32"/>
        </w:rPr>
        <w:t>.</w:t>
      </w:r>
      <w:r>
        <w:rPr>
          <w:rFonts w:hint="eastAsia" w:ascii="仿宋_GB2312" w:eastAsia="仿宋_GB2312"/>
          <w:bCs/>
          <w:color w:val="000000"/>
          <w:sz w:val="32"/>
          <w:szCs w:val="32"/>
        </w:rPr>
        <w:t>卫生健康</w:t>
      </w:r>
      <w:r>
        <w:rPr>
          <w:rFonts w:hint="eastAsia" w:ascii="仿宋_GB2312" w:eastAsia="仿宋_GB2312"/>
          <w:b/>
          <w:color w:val="000000"/>
          <w:sz w:val="32"/>
          <w:szCs w:val="32"/>
        </w:rPr>
        <w:t>（类）行政事业单位医疗（款） 行政单位医疗（项）</w:t>
      </w:r>
      <w:r>
        <w:rPr>
          <w:rFonts w:ascii="仿宋_GB2312" w:eastAsia="仿宋_GB2312"/>
          <w:b/>
          <w:color w:val="000000"/>
          <w:sz w:val="32"/>
          <w:szCs w:val="32"/>
        </w:rPr>
        <w:t>:</w:t>
      </w:r>
      <w:r>
        <w:rPr>
          <w:rFonts w:hint="eastAsia" w:ascii="仿宋_GB2312" w:eastAsia="仿宋_GB2312"/>
          <w:color w:val="000000"/>
          <w:sz w:val="32"/>
          <w:szCs w:val="32"/>
        </w:rPr>
        <w:t>支出决算为3.21万元，完成预算100</w:t>
      </w:r>
      <w:r>
        <w:rPr>
          <w:rFonts w:ascii="仿宋_GB2312" w:eastAsia="仿宋_GB2312"/>
          <w:color w:val="000000"/>
          <w:sz w:val="32"/>
          <w:szCs w:val="32"/>
        </w:rPr>
        <w:t>%</w:t>
      </w:r>
      <w:r>
        <w:rPr>
          <w:rFonts w:hint="eastAsia" w:ascii="仿宋_GB2312" w:eastAsia="仿宋_GB2312"/>
          <w:color w:val="000000"/>
          <w:sz w:val="32"/>
          <w:szCs w:val="32"/>
        </w:rPr>
        <w:t>。</w:t>
      </w:r>
    </w:p>
    <w:p>
      <w:pPr>
        <w:ind w:firstLine="803" w:firstLineChars="250"/>
        <w:rPr>
          <w:rFonts w:hint="eastAsia" w:ascii="仿宋_GB2312" w:eastAsia="仿宋_GB2312"/>
          <w:color w:val="000000"/>
          <w:sz w:val="32"/>
          <w:szCs w:val="32"/>
        </w:rPr>
      </w:pPr>
      <w:r>
        <w:rPr>
          <w:rFonts w:hint="eastAsia" w:ascii="仿宋_GB2312" w:eastAsia="仿宋_GB2312"/>
          <w:b/>
          <w:color w:val="000000"/>
          <w:sz w:val="32"/>
          <w:szCs w:val="32"/>
        </w:rPr>
        <w:t>8</w:t>
      </w:r>
      <w:r>
        <w:rPr>
          <w:rFonts w:ascii="仿宋_GB2312" w:eastAsia="仿宋_GB2312"/>
          <w:b/>
          <w:color w:val="000000"/>
          <w:sz w:val="32"/>
          <w:szCs w:val="32"/>
        </w:rPr>
        <w:t>.</w:t>
      </w:r>
      <w:r>
        <w:rPr>
          <w:rFonts w:hint="eastAsia" w:ascii="仿宋_GB2312" w:eastAsia="仿宋_GB2312"/>
          <w:bCs/>
          <w:color w:val="000000"/>
          <w:sz w:val="32"/>
          <w:szCs w:val="32"/>
        </w:rPr>
        <w:t>卫生健康</w:t>
      </w:r>
      <w:r>
        <w:rPr>
          <w:rFonts w:hint="eastAsia" w:ascii="仿宋_GB2312" w:eastAsia="仿宋_GB2312"/>
          <w:b/>
          <w:color w:val="000000"/>
          <w:sz w:val="32"/>
          <w:szCs w:val="32"/>
        </w:rPr>
        <w:t>（类）行政事业单位医疗（款） 公务员医疗补助（项）</w:t>
      </w:r>
      <w:r>
        <w:rPr>
          <w:rFonts w:ascii="仿宋_GB2312" w:eastAsia="仿宋_GB2312"/>
          <w:b/>
          <w:color w:val="000000"/>
          <w:sz w:val="32"/>
          <w:szCs w:val="32"/>
        </w:rPr>
        <w:t>:</w:t>
      </w:r>
      <w:r>
        <w:rPr>
          <w:rFonts w:hint="eastAsia" w:ascii="仿宋_GB2312" w:eastAsia="仿宋_GB2312"/>
          <w:color w:val="000000"/>
          <w:sz w:val="32"/>
          <w:szCs w:val="32"/>
        </w:rPr>
        <w:t>支出决算为0.72万元，完成预算100</w:t>
      </w:r>
      <w:r>
        <w:rPr>
          <w:rFonts w:ascii="仿宋_GB2312" w:eastAsia="仿宋_GB2312"/>
          <w:color w:val="000000"/>
          <w:sz w:val="32"/>
          <w:szCs w:val="32"/>
        </w:rPr>
        <w:t>%</w:t>
      </w:r>
      <w:r>
        <w:rPr>
          <w:rFonts w:hint="eastAsia" w:ascii="仿宋_GB2312" w:eastAsia="仿宋_GB2312"/>
          <w:color w:val="000000"/>
          <w:sz w:val="32"/>
          <w:szCs w:val="32"/>
        </w:rPr>
        <w:t>。</w:t>
      </w:r>
    </w:p>
    <w:p>
      <w:pPr>
        <w:ind w:firstLine="803" w:firstLineChars="250"/>
        <w:rPr>
          <w:rStyle w:val="14"/>
          <w:rFonts w:hint="eastAsia" w:ascii="仿宋" w:hAnsi="仿宋" w:eastAsia="仿宋"/>
          <w:b w:val="0"/>
          <w:bCs/>
          <w:sz w:val="32"/>
          <w:szCs w:val="32"/>
        </w:rPr>
      </w:pPr>
      <w:r>
        <w:rPr>
          <w:rFonts w:hint="eastAsia" w:ascii="仿宋_GB2312" w:eastAsia="仿宋_GB2312"/>
          <w:b/>
          <w:color w:val="000000"/>
          <w:sz w:val="32"/>
          <w:szCs w:val="32"/>
        </w:rPr>
        <w:t>9</w:t>
      </w:r>
      <w:r>
        <w:rPr>
          <w:rFonts w:ascii="仿宋_GB2312" w:eastAsia="仿宋_GB2312"/>
          <w:b/>
          <w:color w:val="000000"/>
          <w:sz w:val="32"/>
          <w:szCs w:val="32"/>
        </w:rPr>
        <w:t>.</w:t>
      </w:r>
      <w:r>
        <w:rPr>
          <w:rFonts w:hint="eastAsia" w:ascii="仿宋_GB2312" w:eastAsia="仿宋_GB2312"/>
          <w:bCs/>
          <w:color w:val="000000"/>
          <w:sz w:val="32"/>
          <w:szCs w:val="32"/>
        </w:rPr>
        <w:t xml:space="preserve"> 住房保障支出</w:t>
      </w:r>
      <w:r>
        <w:rPr>
          <w:rFonts w:hint="eastAsia" w:ascii="仿宋_GB2312" w:eastAsia="仿宋_GB2312"/>
          <w:b/>
          <w:color w:val="000000"/>
          <w:sz w:val="32"/>
          <w:szCs w:val="32"/>
        </w:rPr>
        <w:t>（类）住房改革支出（款） 住房公积金（项）</w:t>
      </w:r>
      <w:r>
        <w:rPr>
          <w:rFonts w:ascii="仿宋_GB2312" w:eastAsia="仿宋_GB2312"/>
          <w:b/>
          <w:color w:val="000000"/>
          <w:sz w:val="32"/>
          <w:szCs w:val="32"/>
        </w:rPr>
        <w:t>:</w:t>
      </w:r>
      <w:r>
        <w:rPr>
          <w:rFonts w:hint="eastAsia" w:ascii="仿宋_GB2312" w:eastAsia="仿宋_GB2312"/>
          <w:color w:val="000000"/>
          <w:sz w:val="32"/>
          <w:szCs w:val="32"/>
        </w:rPr>
        <w:t>支出决算为5.77万元，完成预算100</w:t>
      </w:r>
      <w:r>
        <w:rPr>
          <w:rFonts w:ascii="仿宋_GB2312" w:eastAsia="仿宋_GB2312"/>
          <w:color w:val="000000"/>
          <w:sz w:val="32"/>
          <w:szCs w:val="32"/>
        </w:rPr>
        <w:t>%</w:t>
      </w:r>
      <w:r>
        <w:rPr>
          <w:rFonts w:hint="eastAsia" w:ascii="仿宋_GB2312" w:eastAsia="仿宋_GB2312"/>
          <w:color w:val="000000"/>
          <w:sz w:val="32"/>
          <w:szCs w:val="32"/>
        </w:rPr>
        <w:t>。</w:t>
      </w:r>
    </w:p>
    <w:p>
      <w:pPr>
        <w:pStyle w:val="4"/>
        <w:rPr>
          <w:rStyle w:val="25"/>
          <w:b w:val="0"/>
          <w:bCs w:val="0"/>
        </w:rPr>
      </w:pPr>
      <w:bookmarkStart w:id="67" w:name="_Toc143015013"/>
      <w:bookmarkStart w:id="68" w:name="_Toc15396608"/>
      <w:bookmarkStart w:id="69" w:name="_Toc15377214"/>
      <w:bookmarkStart w:id="70" w:name="_Toc6833"/>
      <w:r>
        <w:rPr>
          <w:rFonts w:hint="eastAsia"/>
        </w:rPr>
        <w:t>六、一般公共预算财政拨款基本支出决算情况说明</w:t>
      </w:r>
      <w:bookmarkEnd w:id="67"/>
      <w:bookmarkEnd w:id="68"/>
      <w:bookmarkEnd w:id="69"/>
      <w:bookmarkEnd w:id="70"/>
      <w:r>
        <w:rPr>
          <w:rStyle w:val="25"/>
          <w:rFonts w:ascii="黑体" w:hAnsi="黑体" w:eastAsia="黑体"/>
          <w:b w:val="0"/>
          <w:bCs w:val="0"/>
        </w:rPr>
        <w:tab/>
      </w:r>
    </w:p>
    <w:p>
      <w:pPr>
        <w:ind w:firstLine="645"/>
        <w:rPr>
          <w:rFonts w:hint="eastAsia" w:ascii="仿宋_GB2312" w:hAnsi="仿宋" w:eastAsia="仿宋_GB2312"/>
          <w:sz w:val="32"/>
          <w:szCs w:val="32"/>
        </w:rPr>
      </w:pPr>
      <w:r>
        <w:rPr>
          <w:rFonts w:hint="eastAsia" w:ascii="仿宋_GB2312" w:hAnsi="仿宋" w:eastAsia="仿宋_GB2312"/>
          <w:sz w:val="32"/>
          <w:szCs w:val="32"/>
        </w:rPr>
        <w:t>2022年一般公共预算财政拨款基本支出115.33万元，其中：</w:t>
      </w:r>
    </w:p>
    <w:p>
      <w:pPr>
        <w:ind w:firstLine="645"/>
        <w:rPr>
          <w:rFonts w:hint="eastAsia" w:ascii="仿宋_GB2312" w:hAnsi="仿宋" w:eastAsia="仿宋_GB2312"/>
          <w:sz w:val="32"/>
          <w:szCs w:val="32"/>
        </w:rPr>
      </w:pPr>
      <w:r>
        <w:rPr>
          <w:rFonts w:hint="eastAsia" w:ascii="仿宋_GB2312" w:hAnsi="仿宋" w:eastAsia="仿宋_GB2312"/>
          <w:sz w:val="32"/>
          <w:szCs w:val="32"/>
        </w:rPr>
        <w:t>人员经费80.91万元，主要包括：基本工资23.54万元、津贴补贴15.42万元、奖金24.66万元、机关事业单位基本养老保险缴费7.48万元、医疗保险缴费3.21万元、公务员医疗补助0.72万元，其他社会保障缴费0.11万元、退休费1.86万元、抚恤金19.08万元、生活补助、奖励金0.01万元、住房公积金5.77万元、其他对个人和家庭的补助支出4.56万元。</w:t>
      </w:r>
      <w:r>
        <w:rPr>
          <w:rFonts w:hint="eastAsia" w:ascii="仿宋_GB2312" w:hAnsi="仿宋" w:eastAsia="仿宋_GB2312"/>
          <w:sz w:val="32"/>
          <w:szCs w:val="32"/>
        </w:rPr>
        <w:br w:type="textWrapping"/>
      </w:r>
      <w:r>
        <w:rPr>
          <w:rFonts w:hint="eastAsia" w:ascii="仿宋_GB2312" w:hAnsi="仿宋" w:eastAsia="仿宋_GB2312"/>
          <w:sz w:val="32"/>
          <w:szCs w:val="32"/>
        </w:rPr>
        <w:t>　　公用经费8.91万元，主要包括：办公费1万元、电费0.43万元、培训费0.36万元、工会经费2.63万元、其他交通费4.14万元。</w:t>
      </w:r>
    </w:p>
    <w:p>
      <w:pPr>
        <w:pStyle w:val="4"/>
        <w:rPr>
          <w:rStyle w:val="25"/>
          <w:rFonts w:ascii="黑体" w:hAnsi="黑体" w:eastAsia="黑体"/>
          <w:b/>
          <w:bCs w:val="0"/>
        </w:rPr>
      </w:pPr>
      <w:bookmarkStart w:id="71" w:name="_Toc143015014"/>
      <w:bookmarkStart w:id="72" w:name="_Toc15377215"/>
      <w:bookmarkStart w:id="73" w:name="_Toc15396609"/>
      <w:bookmarkStart w:id="74" w:name="_Toc13405"/>
      <w:r>
        <w:rPr>
          <w:rFonts w:hint="eastAsia"/>
        </w:rPr>
        <w:t>七、财政拨款“三公”经费支出决算情况说明</w:t>
      </w:r>
      <w:bookmarkEnd w:id="71"/>
      <w:bookmarkEnd w:id="72"/>
      <w:bookmarkEnd w:id="73"/>
      <w:bookmarkEnd w:id="74"/>
    </w:p>
    <w:p>
      <w:pPr>
        <w:pStyle w:val="5"/>
      </w:pPr>
      <w:bookmarkStart w:id="75" w:name="_Toc143015015"/>
      <w:bookmarkStart w:id="76" w:name="_Toc15377216"/>
      <w:bookmarkStart w:id="77" w:name="_Toc25395"/>
      <w:r>
        <w:rPr>
          <w:rFonts w:hint="eastAsia"/>
        </w:rPr>
        <w:t>（一）“三公”经费财政拨款支出决算总体情况说明</w:t>
      </w:r>
      <w:bookmarkEnd w:id="75"/>
      <w:bookmarkEnd w:id="76"/>
      <w:bookmarkEnd w:id="77"/>
    </w:p>
    <w:p>
      <w:pPr>
        <w:ind w:firstLine="645"/>
        <w:rPr>
          <w:rFonts w:ascii="仿宋_GB2312" w:hAnsi="仿宋" w:eastAsia="仿宋_GB2312"/>
          <w:sz w:val="32"/>
          <w:szCs w:val="32"/>
        </w:rPr>
      </w:pPr>
      <w:r>
        <w:rPr>
          <w:rFonts w:ascii="仿宋_GB2312" w:hAnsi="仿宋" w:eastAsia="仿宋_GB2312"/>
          <w:sz w:val="32"/>
          <w:szCs w:val="32"/>
        </w:rPr>
        <w:t>20</w:t>
      </w:r>
      <w:r>
        <w:rPr>
          <w:rFonts w:hint="eastAsia" w:ascii="仿宋_GB2312" w:hAnsi="仿宋" w:eastAsia="仿宋_GB2312"/>
          <w:sz w:val="32"/>
          <w:szCs w:val="32"/>
        </w:rPr>
        <w:t>22年“三公”经费财政拨款支出决算为0万元，完成预算0</w:t>
      </w:r>
      <w:r>
        <w:rPr>
          <w:rFonts w:ascii="仿宋_GB2312" w:hAnsi="仿宋" w:eastAsia="仿宋_GB2312"/>
          <w:sz w:val="32"/>
          <w:szCs w:val="32"/>
        </w:rPr>
        <w:t>%</w:t>
      </w:r>
      <w:r>
        <w:rPr>
          <w:rFonts w:hint="eastAsia" w:ascii="仿宋_GB2312" w:hAnsi="仿宋" w:eastAsia="仿宋_GB2312"/>
          <w:sz w:val="32"/>
          <w:szCs w:val="32"/>
        </w:rPr>
        <w:t>，较上年减少0.11万元，增长/下降100%。决算数与预算数持平。</w:t>
      </w:r>
    </w:p>
    <w:p>
      <w:pPr>
        <w:pStyle w:val="5"/>
      </w:pPr>
      <w:bookmarkStart w:id="78" w:name="_Toc143015016"/>
      <w:bookmarkStart w:id="79" w:name="_Toc15377217"/>
      <w:bookmarkStart w:id="80" w:name="_Toc21263"/>
      <w:r>
        <w:rPr>
          <w:rFonts w:hint="eastAsia"/>
        </w:rPr>
        <w:t>（二）“三公”经费财政拨款支出决算具体情况说明</w:t>
      </w:r>
      <w:bookmarkEnd w:id="78"/>
      <w:bookmarkEnd w:id="79"/>
      <w:bookmarkEnd w:id="80"/>
    </w:p>
    <w:p>
      <w:pPr>
        <w:ind w:firstLine="645"/>
        <w:rPr>
          <w:rFonts w:ascii="仿宋_GB2312" w:hAnsi="仿宋" w:eastAsia="仿宋_GB2312"/>
          <w:sz w:val="32"/>
          <w:szCs w:val="32"/>
        </w:rPr>
      </w:pPr>
      <w:r>
        <w:rPr>
          <w:rFonts w:ascii="仿宋_GB2312" w:hAnsi="仿宋" w:eastAsia="仿宋_GB2312"/>
          <w:sz w:val="32"/>
          <w:szCs w:val="32"/>
        </w:rPr>
        <w:t>20</w:t>
      </w:r>
      <w:r>
        <w:rPr>
          <w:rFonts w:hint="eastAsia" w:ascii="仿宋_GB2312" w:hAnsi="仿宋" w:eastAsia="仿宋_GB2312"/>
          <w:sz w:val="32"/>
          <w:szCs w:val="32"/>
        </w:rPr>
        <w:t>22年“三公”经费财政拨款支出决算中，因公出国（境）费支出决算0万元，占0</w:t>
      </w:r>
      <w:r>
        <w:rPr>
          <w:rFonts w:ascii="仿宋_GB2312" w:hAnsi="仿宋" w:eastAsia="仿宋_GB2312"/>
          <w:sz w:val="32"/>
          <w:szCs w:val="32"/>
        </w:rPr>
        <w:t>%</w:t>
      </w:r>
      <w:r>
        <w:rPr>
          <w:rFonts w:hint="eastAsia" w:ascii="仿宋_GB2312" w:hAnsi="仿宋" w:eastAsia="仿宋_GB2312"/>
          <w:sz w:val="32"/>
          <w:szCs w:val="32"/>
        </w:rPr>
        <w:t>；公务用车购置及运行维护费支出决算0万元，占0</w:t>
      </w:r>
      <w:r>
        <w:rPr>
          <w:rFonts w:ascii="仿宋_GB2312" w:hAnsi="仿宋" w:eastAsia="仿宋_GB2312"/>
          <w:sz w:val="32"/>
          <w:szCs w:val="32"/>
        </w:rPr>
        <w:t>%</w:t>
      </w:r>
      <w:r>
        <w:rPr>
          <w:rFonts w:hint="eastAsia" w:ascii="仿宋_GB2312" w:hAnsi="仿宋" w:eastAsia="仿宋_GB2312"/>
          <w:sz w:val="32"/>
          <w:szCs w:val="32"/>
        </w:rPr>
        <w:t>；公务接待费支出决算0万元，占0</w:t>
      </w:r>
      <w:r>
        <w:rPr>
          <w:rFonts w:ascii="仿宋_GB2312" w:hAnsi="仿宋" w:eastAsia="仿宋_GB2312"/>
          <w:sz w:val="32"/>
          <w:szCs w:val="32"/>
        </w:rPr>
        <w:t>%</w:t>
      </w:r>
      <w:r>
        <w:rPr>
          <w:rFonts w:hint="eastAsia" w:ascii="仿宋_GB2312" w:hAnsi="仿宋" w:eastAsia="仿宋_GB2312"/>
          <w:sz w:val="32"/>
          <w:szCs w:val="32"/>
        </w:rPr>
        <w:t>。</w:t>
      </w:r>
    </w:p>
    <w:p>
      <w:pPr>
        <w:pStyle w:val="4"/>
        <w:rPr>
          <w:rStyle w:val="25"/>
          <w:rFonts w:ascii="黑体" w:hAnsi="黑体" w:eastAsia="黑体"/>
          <w:b w:val="0"/>
          <w:bCs w:val="0"/>
        </w:rPr>
      </w:pPr>
      <w:bookmarkStart w:id="81" w:name="_Toc15377218"/>
      <w:bookmarkStart w:id="82" w:name="_Toc15396610"/>
      <w:bookmarkStart w:id="83" w:name="_Toc143015017"/>
      <w:bookmarkStart w:id="84" w:name="_Toc32400"/>
      <w:r>
        <w:rPr>
          <w:rFonts w:hint="eastAsia"/>
        </w:rPr>
        <w:t>八、政府性基金预算支出决算情况说明</w:t>
      </w:r>
      <w:bookmarkEnd w:id="81"/>
      <w:bookmarkEnd w:id="82"/>
      <w:bookmarkEnd w:id="83"/>
      <w:bookmarkEnd w:id="84"/>
    </w:p>
    <w:p>
      <w:pPr>
        <w:ind w:firstLine="645"/>
        <w:rPr>
          <w:rFonts w:ascii="仿宋_GB2312" w:hAnsi="仿宋" w:eastAsia="仿宋_GB2312"/>
          <w:sz w:val="32"/>
          <w:szCs w:val="32"/>
        </w:rPr>
      </w:pPr>
      <w:r>
        <w:rPr>
          <w:rFonts w:ascii="仿宋_GB2312" w:hAnsi="仿宋" w:eastAsia="仿宋_GB2312"/>
          <w:sz w:val="32"/>
          <w:szCs w:val="32"/>
        </w:rPr>
        <w:t>20</w:t>
      </w:r>
      <w:r>
        <w:rPr>
          <w:rFonts w:hint="eastAsia" w:ascii="仿宋_GB2312" w:hAnsi="仿宋" w:eastAsia="仿宋_GB2312"/>
          <w:sz w:val="32"/>
          <w:szCs w:val="32"/>
        </w:rPr>
        <w:t>22年政府性基金预算财政拨款支出0万元。</w:t>
      </w:r>
    </w:p>
    <w:p>
      <w:pPr>
        <w:pStyle w:val="4"/>
        <w:rPr>
          <w:rStyle w:val="25"/>
          <w:rFonts w:hint="eastAsia" w:ascii="黑体" w:hAnsi="黑体" w:eastAsia="黑体"/>
          <w:b w:val="0"/>
          <w:bCs w:val="0"/>
        </w:rPr>
      </w:pPr>
      <w:bookmarkStart w:id="85" w:name="_Toc15396611"/>
      <w:bookmarkStart w:id="86" w:name="_Toc15377219"/>
      <w:bookmarkStart w:id="87" w:name="_Toc143015018"/>
      <w:bookmarkStart w:id="88" w:name="_Toc31295"/>
      <w:r>
        <w:rPr>
          <w:rFonts w:hint="eastAsia"/>
        </w:rPr>
        <w:t>九、国有资本经营预算支出决算情况说明</w:t>
      </w:r>
      <w:bookmarkEnd w:id="85"/>
      <w:bookmarkEnd w:id="86"/>
      <w:bookmarkEnd w:id="87"/>
      <w:bookmarkEnd w:id="88"/>
    </w:p>
    <w:p>
      <w:pPr>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22年国有资本经营预算财政拨款支出0万元。</w:t>
      </w:r>
    </w:p>
    <w:p>
      <w:pPr>
        <w:pStyle w:val="4"/>
        <w:rPr>
          <w:rStyle w:val="25"/>
          <w:rFonts w:hint="eastAsia" w:ascii="黑体" w:hAnsi="黑体" w:eastAsia="黑体"/>
          <w:b w:val="0"/>
          <w:bCs w:val="0"/>
        </w:rPr>
      </w:pPr>
      <w:bookmarkStart w:id="89" w:name="_Toc15377221"/>
      <w:bookmarkStart w:id="90" w:name="_Toc143015019"/>
      <w:bookmarkStart w:id="91" w:name="_Toc15396612"/>
      <w:bookmarkStart w:id="92" w:name="_Toc32336"/>
      <w:r>
        <w:rPr>
          <w:rStyle w:val="25"/>
          <w:rFonts w:hint="eastAsia"/>
          <w:b/>
          <w:bCs/>
        </w:rPr>
        <w:t>十、</w:t>
      </w:r>
      <w:r>
        <w:rPr>
          <w:rFonts w:hint="eastAsia"/>
        </w:rPr>
        <w:t>其他重要事项的情况说明</w:t>
      </w:r>
      <w:bookmarkEnd w:id="89"/>
      <w:bookmarkEnd w:id="90"/>
      <w:bookmarkEnd w:id="91"/>
      <w:bookmarkEnd w:id="92"/>
    </w:p>
    <w:p>
      <w:pPr>
        <w:pStyle w:val="5"/>
      </w:pPr>
      <w:bookmarkStart w:id="93" w:name="_Toc15377222"/>
      <w:bookmarkStart w:id="94" w:name="_Toc143015020"/>
      <w:bookmarkStart w:id="95" w:name="_Toc30642"/>
      <w:r>
        <w:rPr>
          <w:rFonts w:hint="eastAsia"/>
        </w:rPr>
        <w:t>（一）机关运行经费支出情况</w:t>
      </w:r>
      <w:bookmarkEnd w:id="93"/>
      <w:bookmarkEnd w:id="94"/>
      <w:bookmarkEnd w:id="95"/>
    </w:p>
    <w:p>
      <w:pPr>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22年，资阳市雁江区机关事业单位社会保险局机关运行经费支出8.91万元，比</w:t>
      </w:r>
      <w:r>
        <w:rPr>
          <w:rFonts w:ascii="仿宋_GB2312" w:eastAsia="仿宋_GB2312"/>
          <w:sz w:val="32"/>
          <w:szCs w:val="32"/>
        </w:rPr>
        <w:t>20</w:t>
      </w:r>
      <w:r>
        <w:rPr>
          <w:rFonts w:hint="eastAsia" w:ascii="仿宋_GB2312" w:eastAsia="仿宋_GB2312"/>
          <w:sz w:val="32"/>
          <w:szCs w:val="32"/>
        </w:rPr>
        <w:t>21年减少5.66万元，下降38.85</w:t>
      </w:r>
      <w:r>
        <w:rPr>
          <w:rFonts w:ascii="仿宋_GB2312" w:eastAsia="仿宋_GB2312"/>
          <w:sz w:val="32"/>
          <w:szCs w:val="32"/>
        </w:rPr>
        <w:t>%</w:t>
      </w:r>
      <w:r>
        <w:rPr>
          <w:rFonts w:hint="eastAsia" w:ascii="仿宋_GB2312" w:eastAsia="仿宋_GB2312"/>
          <w:sz w:val="32"/>
          <w:szCs w:val="32"/>
        </w:rPr>
        <w:t>。主要原因是</w:t>
      </w:r>
      <w:r>
        <w:rPr>
          <w:rFonts w:hint="eastAsia" w:eastAsia="仿宋_GB2312"/>
          <w:color w:val="000000"/>
          <w:sz w:val="32"/>
          <w:szCs w:val="32"/>
        </w:rPr>
        <w:t>2021年财政拨付项目经费减少，公用经费里支出增加。</w:t>
      </w:r>
    </w:p>
    <w:p>
      <w:pPr>
        <w:pStyle w:val="5"/>
      </w:pPr>
      <w:bookmarkStart w:id="96" w:name="_Toc15377223"/>
      <w:bookmarkStart w:id="97" w:name="_Toc143015021"/>
      <w:bookmarkStart w:id="98" w:name="_Toc31227"/>
      <w:r>
        <w:rPr>
          <w:rFonts w:hint="eastAsia"/>
        </w:rPr>
        <w:t>（二）政府采购支出情况</w:t>
      </w:r>
      <w:bookmarkEnd w:id="96"/>
      <w:bookmarkEnd w:id="97"/>
      <w:bookmarkEnd w:id="98"/>
    </w:p>
    <w:p>
      <w:pPr>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22年，政府采购支出总额0万元。</w:t>
      </w:r>
    </w:p>
    <w:p>
      <w:pPr>
        <w:pStyle w:val="5"/>
      </w:pPr>
      <w:bookmarkStart w:id="99" w:name="_Toc143015022"/>
      <w:bookmarkStart w:id="100" w:name="_Toc15377224"/>
      <w:bookmarkStart w:id="101" w:name="_Toc27207"/>
      <w:r>
        <w:rPr>
          <w:rFonts w:hint="eastAsia"/>
        </w:rPr>
        <w:t>（三）国有资产占有使用情况</w:t>
      </w:r>
      <w:bookmarkEnd w:id="99"/>
      <w:bookmarkEnd w:id="100"/>
      <w:bookmarkEnd w:id="101"/>
    </w:p>
    <w:p>
      <w:pPr>
        <w:autoSpaceDE w:val="0"/>
        <w:autoSpaceDN w:val="0"/>
        <w:adjustRightInd w:val="0"/>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日，资阳市雁江区机关事业单位社会保险局共有车辆0辆。单价</w:t>
      </w:r>
      <w:r>
        <w:rPr>
          <w:rFonts w:ascii="仿宋_GB2312" w:eastAsia="仿宋_GB2312"/>
          <w:sz w:val="32"/>
          <w:szCs w:val="32"/>
        </w:rPr>
        <w:t>100</w:t>
      </w:r>
      <w:r>
        <w:rPr>
          <w:rFonts w:hint="eastAsia" w:ascii="仿宋_GB2312" w:eastAsia="仿宋_GB2312"/>
          <w:sz w:val="32"/>
          <w:szCs w:val="32"/>
        </w:rPr>
        <w:t>万元以上专用设备0台（套）。</w:t>
      </w:r>
    </w:p>
    <w:p>
      <w:pPr>
        <w:pStyle w:val="5"/>
      </w:pPr>
      <w:bookmarkStart w:id="102" w:name="_Toc143015023"/>
      <w:bookmarkStart w:id="103" w:name="_Toc11424"/>
      <w:r>
        <w:rPr>
          <w:rFonts w:hint="eastAsia"/>
        </w:rPr>
        <w:t>（四）预算绩效管理情况</w:t>
      </w:r>
      <w:bookmarkEnd w:id="102"/>
      <w:bookmarkEnd w:id="103"/>
    </w:p>
    <w:p>
      <w:pPr>
        <w:autoSpaceDE w:val="0"/>
        <w:autoSpaceDN w:val="0"/>
        <w:adjustRightInd w:val="0"/>
        <w:ind w:firstLine="640" w:firstLineChars="200"/>
        <w:jc w:val="left"/>
        <w:rPr>
          <w:rFonts w:ascii="仿宋_GB2312" w:eastAsia="仿宋_GB2312"/>
          <w:sz w:val="32"/>
          <w:szCs w:val="32"/>
        </w:rPr>
      </w:pPr>
      <w:r>
        <w:rPr>
          <w:rFonts w:hint="eastAsia" w:ascii="仿宋_GB2312" w:eastAsia="仿宋_GB2312"/>
          <w:sz w:val="32"/>
          <w:szCs w:val="32"/>
        </w:rPr>
        <w:t>根据预算绩效管理要求，本单位在2022年度预算编制阶段，组织对专项工作经费、临聘人员工资、网络运行维护费等3个项目开展了预算事前绩效评估，对3个项目编制了绩效目标，预算执行过程中，选取3个项目开展绩效监控，组织对3个项目开展绩效自评，绩效自评表详见第四部分附件。</w:t>
      </w:r>
    </w:p>
    <w:p>
      <w:pPr>
        <w:widowControl/>
        <w:jc w:val="left"/>
        <w:rPr>
          <w:rFonts w:ascii="仿宋_GB2312" w:eastAsia="仿宋_GB2312"/>
          <w:b/>
          <w:sz w:val="32"/>
          <w:szCs w:val="32"/>
        </w:rPr>
      </w:pPr>
      <w:r>
        <w:rPr>
          <w:rFonts w:ascii="仿宋_GB2312" w:eastAsia="仿宋_GB2312"/>
          <w:b/>
          <w:sz w:val="32"/>
          <w:szCs w:val="32"/>
        </w:rPr>
        <w:br w:type="page"/>
      </w:r>
    </w:p>
    <w:p>
      <w:pPr>
        <w:pStyle w:val="3"/>
        <w:jc w:val="center"/>
        <w:rPr>
          <w:rStyle w:val="24"/>
          <w:b/>
          <w:bCs/>
        </w:rPr>
      </w:pPr>
      <w:bookmarkStart w:id="104" w:name="_Toc15396613"/>
      <w:bookmarkStart w:id="105" w:name="_Toc15377225"/>
      <w:bookmarkStart w:id="106" w:name="_Toc143015024"/>
      <w:bookmarkStart w:id="107" w:name="_Toc462"/>
      <w:r>
        <w:rPr>
          <w:rFonts w:hint="eastAsia"/>
        </w:rPr>
        <w:t>第三部分 名</w:t>
      </w:r>
      <w:r>
        <w:rPr>
          <w:rStyle w:val="24"/>
          <w:rFonts w:hint="eastAsia"/>
          <w:b/>
          <w:bCs/>
        </w:rPr>
        <w:t>词解释</w:t>
      </w:r>
      <w:bookmarkEnd w:id="104"/>
      <w:bookmarkEnd w:id="105"/>
      <w:bookmarkEnd w:id="106"/>
      <w:bookmarkEnd w:id="107"/>
    </w:p>
    <w:p>
      <w:pPr>
        <w:jc w:val="left"/>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jc w:val="left"/>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jc w:val="left"/>
        <w:rPr>
          <w:rFonts w:hint="eastAsia"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jc w:val="left"/>
        <w:rPr>
          <w:rFonts w:hint="eastAsia"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p>
    <w:p>
      <w:pPr>
        <w:jc w:val="left"/>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使用非财政拨款结余：指事业单位使用以前年度积累的非财政拨款结余弥补当年收支差额的金额。</w:t>
      </w:r>
    </w:p>
    <w:p>
      <w:pPr>
        <w:jc w:val="left"/>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p>
    <w:p>
      <w:pPr>
        <w:jc w:val="left"/>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结余分配：指事业单位按照会计制度规定缴纳的所得税、提取的专用结余以及转入非财政拨款结余的金额等。</w:t>
      </w:r>
    </w:p>
    <w:p>
      <w:pPr>
        <w:jc w:val="left"/>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jc w:val="left"/>
        <w:rPr>
          <w:rFonts w:ascii="仿宋_GB2312" w:eastAsia="仿宋_GB2312"/>
          <w:sz w:val="32"/>
          <w:szCs w:val="32"/>
        </w:rPr>
      </w:pPr>
      <w:r>
        <w:rPr>
          <w:rFonts w:hint="eastAsia" w:ascii="仿宋_GB2312" w:eastAsia="仿宋_GB2312"/>
          <w:sz w:val="32"/>
          <w:szCs w:val="32"/>
        </w:rPr>
        <w:t>9</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jc w:val="left"/>
        <w:rPr>
          <w:rFonts w:ascii="仿宋_GB2312" w:eastAsia="仿宋_GB2312"/>
          <w:sz w:val="32"/>
          <w:szCs w:val="32"/>
        </w:rPr>
      </w:pPr>
      <w:r>
        <w:rPr>
          <w:rFonts w:hint="eastAsia" w:ascii="仿宋_GB2312" w:eastAsia="仿宋_GB2312"/>
          <w:sz w:val="32"/>
          <w:szCs w:val="32"/>
        </w:rPr>
        <w:t>10</w:t>
      </w:r>
      <w:r>
        <w:rPr>
          <w:rFonts w:ascii="仿宋_GB2312" w:eastAsia="仿宋_GB2312"/>
          <w:sz w:val="32"/>
          <w:szCs w:val="32"/>
        </w:rPr>
        <w:t>.</w:t>
      </w:r>
      <w:r>
        <w:rPr>
          <w:rFonts w:hint="eastAsia" w:ascii="仿宋_GB2312" w:eastAsia="仿宋_GB2312"/>
          <w:sz w:val="32"/>
          <w:szCs w:val="32"/>
        </w:rPr>
        <w:t>项目支出：指在基本支出之外为完成特定行政任务和事业发展目标所发生的支出。</w:t>
      </w:r>
    </w:p>
    <w:p>
      <w:pPr>
        <w:jc w:val="left"/>
        <w:rPr>
          <w:rFonts w:ascii="仿宋_GB2312" w:eastAsia="仿宋_GB2312"/>
          <w:sz w:val="32"/>
          <w:szCs w:val="32"/>
        </w:rPr>
      </w:pPr>
      <w:r>
        <w:rPr>
          <w:rFonts w:hint="eastAsia" w:ascii="仿宋_GB2312" w:eastAsia="仿宋_GB2312"/>
          <w:sz w:val="32"/>
          <w:szCs w:val="32"/>
        </w:rPr>
        <w:t>11</w:t>
      </w:r>
      <w:r>
        <w:rPr>
          <w:rFonts w:ascii="仿宋_GB2312" w:eastAsia="仿宋_GB2312"/>
          <w:sz w:val="32"/>
          <w:szCs w:val="32"/>
        </w:rPr>
        <w:t>.</w:t>
      </w:r>
      <w:r>
        <w:rPr>
          <w:rFonts w:hint="eastAsia" w:ascii="仿宋_GB2312" w:eastAsia="仿宋_GB2312"/>
          <w:sz w:val="32"/>
          <w:szCs w:val="32"/>
        </w:rPr>
        <w:t>经营支出：指事业单位在专业业务活动及其辅助活动之外开展非独立核算经营活动发生的支出。</w:t>
      </w:r>
    </w:p>
    <w:p>
      <w:pPr>
        <w:jc w:val="left"/>
        <w:rPr>
          <w:rFonts w:ascii="仿宋_GB2312" w:eastAsia="仿宋_GB2312"/>
          <w:sz w:val="32"/>
          <w:szCs w:val="32"/>
        </w:rPr>
      </w:pPr>
      <w:r>
        <w:rPr>
          <w:rFonts w:hint="eastAsia" w:ascii="仿宋_GB2312" w:eastAsia="仿宋_GB2312"/>
          <w:sz w:val="32"/>
          <w:szCs w:val="32"/>
        </w:rPr>
        <w:t>12</w:t>
      </w:r>
      <w:r>
        <w:rPr>
          <w:rFonts w:ascii="仿宋_GB2312" w:eastAsia="仿宋_GB2312"/>
          <w:sz w:val="32"/>
          <w:szCs w:val="32"/>
        </w:rPr>
        <w:t>.</w:t>
      </w:r>
      <w:r>
        <w:rPr>
          <w:rFonts w:hint="eastAsia" w:ascii="仿宋_GB2312" w:eastAsia="仿宋_GB2312"/>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jc w:val="left"/>
        <w:rPr>
          <w:rFonts w:ascii="仿宋_GB2312" w:eastAsia="仿宋_GB2312"/>
          <w:sz w:val="32"/>
          <w:szCs w:val="32"/>
        </w:rPr>
      </w:pPr>
      <w:r>
        <w:rPr>
          <w:rFonts w:hint="eastAsia" w:ascii="仿宋_GB2312" w:eastAsia="仿宋_GB2312"/>
          <w:sz w:val="32"/>
          <w:szCs w:val="32"/>
        </w:rPr>
        <w:t>13</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rFonts w:ascii="仿宋_GB2312" w:eastAsia="仿宋_GB2312"/>
          <w:sz w:val="32"/>
          <w:szCs w:val="32"/>
        </w:rPr>
        <w:br w:type="textWrapping"/>
      </w:r>
    </w:p>
    <w:p>
      <w:pPr>
        <w:rPr>
          <w:rFonts w:hAnsi="Calibri" w:cs="仿宋"/>
        </w:rPr>
      </w:pPr>
      <w:r>
        <w:br w:type="page"/>
      </w:r>
    </w:p>
    <w:p>
      <w:pPr>
        <w:pStyle w:val="3"/>
        <w:jc w:val="center"/>
      </w:pPr>
      <w:bookmarkStart w:id="108" w:name="_Toc15396614"/>
      <w:bookmarkStart w:id="109" w:name="_Toc143015025"/>
      <w:bookmarkStart w:id="110" w:name="_Toc27591"/>
      <w:bookmarkStart w:id="111" w:name="_Toc15377226"/>
      <w:r>
        <w:rPr>
          <w:rFonts w:hint="eastAsia"/>
        </w:rPr>
        <w:t>第四部分 附件</w:t>
      </w:r>
      <w:bookmarkEnd w:id="108"/>
      <w:bookmarkEnd w:id="109"/>
      <w:bookmarkEnd w:id="110"/>
    </w:p>
    <w:p>
      <w:pPr>
        <w:jc w:val="left"/>
        <w:outlineLvl w:val="0"/>
        <w:rPr>
          <w:rFonts w:ascii="仿宋_GB2312" w:eastAsia="仿宋_GB2312"/>
          <w:sz w:val="32"/>
          <w:szCs w:val="32"/>
        </w:rPr>
      </w:pPr>
    </w:p>
    <w:p>
      <w:pPr>
        <w:rPr>
          <w:rFonts w:ascii="仿宋_GB2312" w:eastAsia="仿宋_GB2312"/>
          <w:sz w:val="32"/>
          <w:szCs w:val="32"/>
        </w:rPr>
      </w:pPr>
      <w:bookmarkStart w:id="112" w:name="_Toc15396618"/>
      <w:r>
        <w:rPr>
          <w:rFonts w:hint="eastAsia" w:ascii="仿宋_GB2312" w:eastAsia="仿宋_GB2312"/>
          <w:sz w:val="32"/>
          <w:szCs w:val="32"/>
        </w:rPr>
        <w:t>部门预算项目支出绩效自评表（2022年度）</w:t>
      </w: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（备注：按照绩效自评工作安排，各单位可在预算管理一体化系统—综合报表查询—预算绩效报表模块中下载本单位“部门预算项目支出绩效自评表（2022年度）”，该表格应作为附件予以公开。）</w:t>
      </w:r>
    </w:p>
    <w:p>
      <w:pPr>
        <w:rPr>
          <w:rFonts w:ascii="仿宋_GB2312" w:eastAsia="仿宋_GB2312"/>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3"/>
        <w:jc w:val="center"/>
        <w:rPr>
          <w:rFonts w:hint="eastAsia"/>
        </w:rPr>
      </w:pPr>
      <w:bookmarkStart w:id="113" w:name="_Toc143015026"/>
      <w:bookmarkStart w:id="114" w:name="_Toc30404"/>
      <w:r>
        <w:rPr>
          <w:rFonts w:hint="eastAsia"/>
        </w:rPr>
        <w:t>第五部分 附表</w:t>
      </w:r>
      <w:bookmarkEnd w:id="111"/>
      <w:bookmarkEnd w:id="112"/>
      <w:bookmarkEnd w:id="113"/>
      <w:bookmarkEnd w:id="114"/>
      <w:bookmarkStart w:id="115" w:name="_Toc15396619"/>
    </w:p>
    <w:p>
      <w:pPr>
        <w:rPr>
          <w:rFonts w:hint="eastAsia" w:ascii="仿宋_GB2312" w:eastAsia="仿宋_GB2312"/>
          <w:sz w:val="32"/>
          <w:szCs w:val="32"/>
        </w:rPr>
      </w:pPr>
      <w:r>
        <w:rPr>
          <w:rFonts w:hint="eastAsia" w:ascii="仿宋_GB2312" w:eastAsia="仿宋_GB2312"/>
          <w:sz w:val="32"/>
          <w:szCs w:val="32"/>
        </w:rPr>
        <w:t>一、收入支出决算总表</w:t>
      </w:r>
    </w:p>
    <w:p>
      <w:pPr>
        <w:rPr>
          <w:rFonts w:hint="eastAsia" w:ascii="仿宋_GB2312" w:eastAsia="仿宋_GB2312"/>
          <w:sz w:val="32"/>
          <w:szCs w:val="32"/>
        </w:rPr>
      </w:pPr>
      <w:r>
        <w:rPr>
          <w:rFonts w:hint="eastAsia" w:ascii="仿宋_GB2312" w:eastAsia="仿宋_GB2312"/>
          <w:sz w:val="32"/>
          <w:szCs w:val="32"/>
        </w:rPr>
        <w:t>二、收入决算表</w:t>
      </w:r>
    </w:p>
    <w:p>
      <w:pPr>
        <w:rPr>
          <w:rFonts w:hint="eastAsia" w:ascii="仿宋_GB2312" w:eastAsia="仿宋_GB2312"/>
          <w:sz w:val="32"/>
          <w:szCs w:val="32"/>
        </w:rPr>
      </w:pPr>
      <w:r>
        <w:rPr>
          <w:rFonts w:hint="eastAsia" w:ascii="仿宋_GB2312" w:eastAsia="仿宋_GB2312"/>
          <w:sz w:val="32"/>
          <w:szCs w:val="32"/>
        </w:rPr>
        <w:t>三、支出决算表</w:t>
      </w:r>
    </w:p>
    <w:p>
      <w:pPr>
        <w:rPr>
          <w:rFonts w:hint="eastAsia" w:ascii="仿宋_GB2312" w:eastAsia="仿宋_GB2312"/>
          <w:sz w:val="32"/>
          <w:szCs w:val="32"/>
        </w:rPr>
      </w:pPr>
      <w:r>
        <w:rPr>
          <w:rFonts w:hint="eastAsia" w:ascii="仿宋_GB2312" w:eastAsia="仿宋_GB2312"/>
          <w:sz w:val="32"/>
          <w:szCs w:val="32"/>
        </w:rPr>
        <w:t>四、财政拨款收入支出决算总表</w:t>
      </w:r>
    </w:p>
    <w:p>
      <w:pPr>
        <w:rPr>
          <w:rFonts w:hint="eastAsia" w:ascii="仿宋_GB2312" w:eastAsia="仿宋_GB2312"/>
          <w:sz w:val="32"/>
          <w:szCs w:val="32"/>
        </w:rPr>
      </w:pPr>
      <w:r>
        <w:rPr>
          <w:rFonts w:hint="eastAsia" w:ascii="仿宋_GB2312" w:eastAsia="仿宋_GB2312"/>
          <w:sz w:val="32"/>
          <w:szCs w:val="32"/>
        </w:rPr>
        <w:t>五、财政拨款支出决算明细表</w:t>
      </w:r>
    </w:p>
    <w:p>
      <w:pPr>
        <w:rPr>
          <w:rFonts w:hint="eastAsia" w:ascii="仿宋_GB2312" w:eastAsia="仿宋_GB2312"/>
          <w:sz w:val="32"/>
          <w:szCs w:val="32"/>
        </w:rPr>
      </w:pPr>
      <w:r>
        <w:rPr>
          <w:rFonts w:hint="eastAsia" w:ascii="仿宋_GB2312" w:eastAsia="仿宋_GB2312"/>
          <w:sz w:val="32"/>
          <w:szCs w:val="32"/>
        </w:rPr>
        <w:t>六、一般公共预算财政拨款支出决算表</w:t>
      </w:r>
    </w:p>
    <w:p>
      <w:pPr>
        <w:rPr>
          <w:rFonts w:hint="eastAsia" w:ascii="仿宋_GB2312" w:eastAsia="仿宋_GB2312"/>
          <w:sz w:val="32"/>
          <w:szCs w:val="32"/>
        </w:rPr>
      </w:pPr>
      <w:r>
        <w:rPr>
          <w:rFonts w:hint="eastAsia" w:ascii="仿宋_GB2312" w:eastAsia="仿宋_GB2312"/>
          <w:sz w:val="32"/>
          <w:szCs w:val="32"/>
        </w:rPr>
        <w:t>七、一般公共预算财政拨款支出决算明细表</w:t>
      </w:r>
    </w:p>
    <w:p>
      <w:pPr>
        <w:rPr>
          <w:rFonts w:hint="eastAsia" w:ascii="仿宋_GB2312" w:eastAsia="仿宋_GB2312"/>
          <w:sz w:val="32"/>
          <w:szCs w:val="32"/>
        </w:rPr>
      </w:pPr>
      <w:r>
        <w:rPr>
          <w:rFonts w:hint="eastAsia" w:ascii="仿宋_GB2312" w:eastAsia="仿宋_GB2312"/>
          <w:sz w:val="32"/>
          <w:szCs w:val="32"/>
        </w:rPr>
        <w:t>八、一般公共预算财政拨款基本支出决算表</w:t>
      </w:r>
    </w:p>
    <w:p>
      <w:pPr>
        <w:rPr>
          <w:rFonts w:hint="eastAsia" w:ascii="仿宋_GB2312" w:eastAsia="仿宋_GB2312"/>
          <w:sz w:val="32"/>
          <w:szCs w:val="32"/>
        </w:rPr>
      </w:pPr>
      <w:r>
        <w:rPr>
          <w:rFonts w:hint="eastAsia" w:ascii="仿宋_GB2312" w:eastAsia="仿宋_GB2312"/>
          <w:sz w:val="32"/>
          <w:szCs w:val="32"/>
        </w:rPr>
        <w:t>九、一般公共预算财政拨款项目支出决算表</w:t>
      </w:r>
    </w:p>
    <w:p>
      <w:pPr>
        <w:rPr>
          <w:rFonts w:hint="eastAsia" w:ascii="仿宋_GB2312" w:eastAsia="仿宋_GB2312"/>
          <w:sz w:val="32"/>
          <w:szCs w:val="32"/>
        </w:rPr>
      </w:pPr>
      <w:r>
        <w:rPr>
          <w:rFonts w:hint="eastAsia" w:ascii="仿宋_GB2312" w:eastAsia="仿宋_GB2312"/>
          <w:sz w:val="32"/>
          <w:szCs w:val="32"/>
        </w:rPr>
        <w:t>十、政府性基金预算财政拨款收入支出决算表</w:t>
      </w:r>
    </w:p>
    <w:p>
      <w:pPr>
        <w:rPr>
          <w:rFonts w:hint="eastAsia" w:ascii="仿宋_GB2312" w:eastAsia="仿宋_GB2312"/>
          <w:sz w:val="32"/>
          <w:szCs w:val="32"/>
        </w:rPr>
      </w:pPr>
      <w:r>
        <w:rPr>
          <w:rFonts w:hint="eastAsia" w:ascii="仿宋_GB2312" w:eastAsia="仿宋_GB2312"/>
          <w:sz w:val="32"/>
          <w:szCs w:val="32"/>
        </w:rPr>
        <w:t>十一、国有资本经营预算财政拨款收入支出决算表</w:t>
      </w:r>
    </w:p>
    <w:p>
      <w:pPr>
        <w:rPr>
          <w:rFonts w:hint="eastAsia" w:ascii="仿宋_GB2312" w:eastAsia="仿宋_GB2312"/>
          <w:sz w:val="32"/>
          <w:szCs w:val="32"/>
        </w:rPr>
      </w:pPr>
      <w:r>
        <w:rPr>
          <w:rFonts w:hint="eastAsia" w:ascii="仿宋_GB2312" w:eastAsia="仿宋_GB2312"/>
          <w:sz w:val="32"/>
          <w:szCs w:val="32"/>
        </w:rPr>
        <w:t>十二、国有资本经营预算财政拨款支出决算表</w:t>
      </w:r>
    </w:p>
    <w:p>
      <w:pPr>
        <w:rPr>
          <w:rFonts w:hint="eastAsia" w:ascii="仿宋_GB2312" w:eastAsia="仿宋_GB2312"/>
          <w:sz w:val="32"/>
          <w:szCs w:val="32"/>
        </w:rPr>
      </w:pPr>
      <w:r>
        <w:rPr>
          <w:rFonts w:hint="eastAsia" w:ascii="仿宋_GB2312" w:eastAsia="仿宋_GB2312"/>
          <w:sz w:val="32"/>
          <w:szCs w:val="32"/>
        </w:rPr>
        <w:t>十三、财政拨款“三公”经费支出决算表</w:t>
      </w:r>
      <w:bookmarkEnd w:id="115"/>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4</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yYzJlMThlMWVmYTE4M2Y3ZThiZDI4ZGI2MGIxNzAifQ=="/>
  </w:docVars>
  <w:rsids>
    <w:rsidRoot w:val="00F1361C"/>
    <w:rsid w:val="000222C6"/>
    <w:rsid w:val="0002549F"/>
    <w:rsid w:val="000468DB"/>
    <w:rsid w:val="0006487A"/>
    <w:rsid w:val="00065F8F"/>
    <w:rsid w:val="00070A43"/>
    <w:rsid w:val="000768F2"/>
    <w:rsid w:val="0009184B"/>
    <w:rsid w:val="00094236"/>
    <w:rsid w:val="0009593C"/>
    <w:rsid w:val="00097322"/>
    <w:rsid w:val="000A516F"/>
    <w:rsid w:val="000A6A92"/>
    <w:rsid w:val="000B047F"/>
    <w:rsid w:val="000B5923"/>
    <w:rsid w:val="000B5A48"/>
    <w:rsid w:val="000B6FF3"/>
    <w:rsid w:val="000C3467"/>
    <w:rsid w:val="000C3CA6"/>
    <w:rsid w:val="000D1267"/>
    <w:rsid w:val="000D1D50"/>
    <w:rsid w:val="000D5782"/>
    <w:rsid w:val="000E6613"/>
    <w:rsid w:val="000E7119"/>
    <w:rsid w:val="00114E9B"/>
    <w:rsid w:val="001279E2"/>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31C"/>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5DD3"/>
    <w:rsid w:val="002D6D05"/>
    <w:rsid w:val="002F1818"/>
    <w:rsid w:val="002F567B"/>
    <w:rsid w:val="003216A9"/>
    <w:rsid w:val="00335A74"/>
    <w:rsid w:val="0036561B"/>
    <w:rsid w:val="0037013F"/>
    <w:rsid w:val="00373266"/>
    <w:rsid w:val="00380C92"/>
    <w:rsid w:val="00386256"/>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44BBC"/>
    <w:rsid w:val="00555E96"/>
    <w:rsid w:val="005664BB"/>
    <w:rsid w:val="00566FFA"/>
    <w:rsid w:val="0057481D"/>
    <w:rsid w:val="00582BAC"/>
    <w:rsid w:val="0058486E"/>
    <w:rsid w:val="00585B33"/>
    <w:rsid w:val="0059014D"/>
    <w:rsid w:val="005B5C64"/>
    <w:rsid w:val="005C5337"/>
    <w:rsid w:val="005C6BD0"/>
    <w:rsid w:val="005D1C8B"/>
    <w:rsid w:val="005D468D"/>
    <w:rsid w:val="005D5CED"/>
    <w:rsid w:val="005F1A4C"/>
    <w:rsid w:val="006031CF"/>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75475"/>
    <w:rsid w:val="00681A31"/>
    <w:rsid w:val="00683E73"/>
    <w:rsid w:val="006A3141"/>
    <w:rsid w:val="006A5E34"/>
    <w:rsid w:val="006B2422"/>
    <w:rsid w:val="006B2B9A"/>
    <w:rsid w:val="006C1937"/>
    <w:rsid w:val="006F020C"/>
    <w:rsid w:val="007127B7"/>
    <w:rsid w:val="0071798E"/>
    <w:rsid w:val="007416B6"/>
    <w:rsid w:val="00741BB9"/>
    <w:rsid w:val="00746F48"/>
    <w:rsid w:val="0075404D"/>
    <w:rsid w:val="0076182A"/>
    <w:rsid w:val="00767B7E"/>
    <w:rsid w:val="007770C3"/>
    <w:rsid w:val="00784D24"/>
    <w:rsid w:val="00785FBA"/>
    <w:rsid w:val="00786E4A"/>
    <w:rsid w:val="007875EB"/>
    <w:rsid w:val="0079426B"/>
    <w:rsid w:val="007C63DE"/>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9758E"/>
    <w:rsid w:val="009B2C43"/>
    <w:rsid w:val="009B3750"/>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35EE4"/>
    <w:rsid w:val="00A40A00"/>
    <w:rsid w:val="00A4142F"/>
    <w:rsid w:val="00A422EB"/>
    <w:rsid w:val="00A45BB7"/>
    <w:rsid w:val="00A56DF2"/>
    <w:rsid w:val="00A56E6E"/>
    <w:rsid w:val="00A63842"/>
    <w:rsid w:val="00A67AB5"/>
    <w:rsid w:val="00A71B75"/>
    <w:rsid w:val="00A733B2"/>
    <w:rsid w:val="00A741C2"/>
    <w:rsid w:val="00A91760"/>
    <w:rsid w:val="00A93B00"/>
    <w:rsid w:val="00A93C21"/>
    <w:rsid w:val="00AB64C9"/>
    <w:rsid w:val="00AC3C6A"/>
    <w:rsid w:val="00AD5620"/>
    <w:rsid w:val="00AD656B"/>
    <w:rsid w:val="00AD7C1B"/>
    <w:rsid w:val="00AE16BA"/>
    <w:rsid w:val="00AE1EBE"/>
    <w:rsid w:val="00B03C9D"/>
    <w:rsid w:val="00B048F6"/>
    <w:rsid w:val="00B060AE"/>
    <w:rsid w:val="00B10517"/>
    <w:rsid w:val="00B14E76"/>
    <w:rsid w:val="00B161B8"/>
    <w:rsid w:val="00B2048C"/>
    <w:rsid w:val="00B310B9"/>
    <w:rsid w:val="00B35F3F"/>
    <w:rsid w:val="00B36CBB"/>
    <w:rsid w:val="00B425E0"/>
    <w:rsid w:val="00B440AA"/>
    <w:rsid w:val="00B44B70"/>
    <w:rsid w:val="00B53C56"/>
    <w:rsid w:val="00B57DAF"/>
    <w:rsid w:val="00B61213"/>
    <w:rsid w:val="00B77EA6"/>
    <w:rsid w:val="00B81598"/>
    <w:rsid w:val="00B841F1"/>
    <w:rsid w:val="00B944D6"/>
    <w:rsid w:val="00BB4DF0"/>
    <w:rsid w:val="00BC289F"/>
    <w:rsid w:val="00BC2D50"/>
    <w:rsid w:val="00BC5361"/>
    <w:rsid w:val="00BC5460"/>
    <w:rsid w:val="00BC6B50"/>
    <w:rsid w:val="00BD0E25"/>
    <w:rsid w:val="00BF5BD6"/>
    <w:rsid w:val="00C03E31"/>
    <w:rsid w:val="00C14A1D"/>
    <w:rsid w:val="00C33E72"/>
    <w:rsid w:val="00C354B2"/>
    <w:rsid w:val="00C35554"/>
    <w:rsid w:val="00C42709"/>
    <w:rsid w:val="00C52110"/>
    <w:rsid w:val="00C533CC"/>
    <w:rsid w:val="00C5751C"/>
    <w:rsid w:val="00C61BFC"/>
    <w:rsid w:val="00C62B85"/>
    <w:rsid w:val="00C65438"/>
    <w:rsid w:val="00C87FD8"/>
    <w:rsid w:val="00C91381"/>
    <w:rsid w:val="00C91CBB"/>
    <w:rsid w:val="00CB4E70"/>
    <w:rsid w:val="00CC09B6"/>
    <w:rsid w:val="00CC666F"/>
    <w:rsid w:val="00CD1E3F"/>
    <w:rsid w:val="00CE415B"/>
    <w:rsid w:val="00CE44F6"/>
    <w:rsid w:val="00CE49DA"/>
    <w:rsid w:val="00CE7B61"/>
    <w:rsid w:val="00D00095"/>
    <w:rsid w:val="00D114F0"/>
    <w:rsid w:val="00D20620"/>
    <w:rsid w:val="00D254F7"/>
    <w:rsid w:val="00D26091"/>
    <w:rsid w:val="00D26288"/>
    <w:rsid w:val="00D2685C"/>
    <w:rsid w:val="00D34E7C"/>
    <w:rsid w:val="00D35489"/>
    <w:rsid w:val="00D36AFE"/>
    <w:rsid w:val="00D44073"/>
    <w:rsid w:val="00D51276"/>
    <w:rsid w:val="00D7035F"/>
    <w:rsid w:val="00DA634F"/>
    <w:rsid w:val="00DA65AC"/>
    <w:rsid w:val="00DB1913"/>
    <w:rsid w:val="00DB2617"/>
    <w:rsid w:val="00DC410D"/>
    <w:rsid w:val="00DC5A81"/>
    <w:rsid w:val="00DC68CA"/>
    <w:rsid w:val="00DC7CBA"/>
    <w:rsid w:val="00DD73B7"/>
    <w:rsid w:val="00DF28BC"/>
    <w:rsid w:val="00DF34B9"/>
    <w:rsid w:val="00E01053"/>
    <w:rsid w:val="00E07ACF"/>
    <w:rsid w:val="00E331A1"/>
    <w:rsid w:val="00E33202"/>
    <w:rsid w:val="00E336A9"/>
    <w:rsid w:val="00E37100"/>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E7C02"/>
    <w:rsid w:val="00EF258A"/>
    <w:rsid w:val="00EF4C34"/>
    <w:rsid w:val="00EF77C6"/>
    <w:rsid w:val="00F05438"/>
    <w:rsid w:val="00F06244"/>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D7F29"/>
    <w:rsid w:val="00FF1E02"/>
    <w:rsid w:val="00FF30B4"/>
    <w:rsid w:val="053A62B5"/>
    <w:rsid w:val="0915778B"/>
    <w:rsid w:val="0A2032A3"/>
    <w:rsid w:val="0B8A37D8"/>
    <w:rsid w:val="0F3B5253"/>
    <w:rsid w:val="10C055FF"/>
    <w:rsid w:val="118107EC"/>
    <w:rsid w:val="11BE0E57"/>
    <w:rsid w:val="11DD6519"/>
    <w:rsid w:val="15D95D40"/>
    <w:rsid w:val="16BB723D"/>
    <w:rsid w:val="18015F3F"/>
    <w:rsid w:val="1BE8440E"/>
    <w:rsid w:val="1D155CEE"/>
    <w:rsid w:val="20F57F95"/>
    <w:rsid w:val="240371BF"/>
    <w:rsid w:val="25711CC6"/>
    <w:rsid w:val="25C741E6"/>
    <w:rsid w:val="26A7453C"/>
    <w:rsid w:val="27842671"/>
    <w:rsid w:val="29FD04D3"/>
    <w:rsid w:val="2ABE7A3E"/>
    <w:rsid w:val="2CA234A8"/>
    <w:rsid w:val="2EFA178C"/>
    <w:rsid w:val="30B46D73"/>
    <w:rsid w:val="319F7F4E"/>
    <w:rsid w:val="345E5CC0"/>
    <w:rsid w:val="35377E17"/>
    <w:rsid w:val="383D272C"/>
    <w:rsid w:val="39AE70AB"/>
    <w:rsid w:val="3A736017"/>
    <w:rsid w:val="3C0C0783"/>
    <w:rsid w:val="3F9F3A96"/>
    <w:rsid w:val="48BF60AB"/>
    <w:rsid w:val="493C27E9"/>
    <w:rsid w:val="496F39ED"/>
    <w:rsid w:val="49FF41D3"/>
    <w:rsid w:val="4BE068DB"/>
    <w:rsid w:val="4BF6002B"/>
    <w:rsid w:val="4ECE2238"/>
    <w:rsid w:val="51DB4B86"/>
    <w:rsid w:val="52F22FC1"/>
    <w:rsid w:val="55333C3E"/>
    <w:rsid w:val="64CA39A1"/>
    <w:rsid w:val="65DB7B05"/>
    <w:rsid w:val="69630ADE"/>
    <w:rsid w:val="6C4A05C8"/>
    <w:rsid w:val="6D3B1A89"/>
    <w:rsid w:val="71BF4EC2"/>
    <w:rsid w:val="72734D90"/>
    <w:rsid w:val="7412278C"/>
    <w:rsid w:val="79E7B28D"/>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3"/>
    <w:qFormat/>
    <w:uiPriority w:val="9"/>
    <w:rPr>
      <w:rFonts w:ascii="Times New Roman" w:hAnsi="Times New Roman"/>
      <w:b/>
      <w:bCs/>
      <w:kern w:val="44"/>
      <w:sz w:val="44"/>
      <w:szCs w:val="44"/>
    </w:rPr>
  </w:style>
  <w:style w:type="character" w:customStyle="1" w:styleId="25">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5"/>
    <w:qFormat/>
    <w:uiPriority w:val="9"/>
    <w:rPr>
      <w:rFonts w:ascii="Times New Roman" w:hAnsi="Times New Roman"/>
      <w:b/>
      <w:bCs/>
      <w:kern w:val="2"/>
      <w:sz w:val="32"/>
      <w:szCs w:val="32"/>
    </w:rPr>
  </w:style>
  <w:style w:type="paragraph" w:customStyle="1" w:styleId="29">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0">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745747936742564"/>
          <c:y val="0.105763676092213"/>
          <c:w val="0.794824753404019"/>
          <c:h val="0.757312749699391"/>
        </c:manualLayout>
      </c:layout>
      <c:barChart>
        <c:barDir val="col"/>
        <c:grouping val="clustered"/>
        <c:varyColors val="0"/>
        <c:ser>
          <c:idx val="0"/>
          <c:order val="0"/>
          <c:tx>
            <c:strRef>
              <c:f>Sheet1!$B$1</c:f>
              <c:strCache>
                <c:ptCount val="1"/>
                <c:pt idx="0">
                  <c:v>2021</c:v>
                </c:pt>
              </c:strCache>
            </c:strRef>
          </c:tx>
          <c:invertIfNegative val="0"/>
          <c:dLbls>
            <c:delete val="1"/>
          </c:dLbls>
          <c:cat>
            <c:strRef>
              <c:f>Sheet1!$A$2</c:f>
              <c:strCache>
                <c:ptCount val="1"/>
                <c:pt idx="0">
                  <c:v>收入支出决算</c:v>
                </c:pt>
              </c:strCache>
            </c:strRef>
          </c:cat>
          <c:val>
            <c:numRef>
              <c:f>Sheet1!$B$2</c:f>
              <c:numCache>
                <c:formatCode>General</c:formatCode>
                <c:ptCount val="1"/>
                <c:pt idx="0">
                  <c:v>141.74</c:v>
                </c:pt>
              </c:numCache>
            </c:numRef>
          </c:val>
        </c:ser>
        <c:ser>
          <c:idx val="1"/>
          <c:order val="1"/>
          <c:tx>
            <c:strRef>
              <c:f>Sheet1!$C$1</c:f>
              <c:strCache>
                <c:ptCount val="1"/>
                <c:pt idx="0">
                  <c:v>2022</c:v>
                </c:pt>
              </c:strCache>
            </c:strRef>
          </c:tx>
          <c:invertIfNegative val="0"/>
          <c:dLbls>
            <c:delete val="1"/>
          </c:dLbls>
          <c:cat>
            <c:strRef>
              <c:f>Sheet1!$A$2</c:f>
              <c:strCache>
                <c:ptCount val="1"/>
                <c:pt idx="0">
                  <c:v>收入支出决算</c:v>
                </c:pt>
              </c:strCache>
            </c:strRef>
          </c:cat>
          <c:val>
            <c:numRef>
              <c:f>Sheet1!$C$2</c:f>
              <c:numCache>
                <c:formatCode>General</c:formatCode>
                <c:ptCount val="1"/>
                <c:pt idx="0">
                  <c:v>134.46</c:v>
                </c:pt>
              </c:numCache>
            </c:numRef>
          </c:val>
        </c:ser>
        <c:dLbls>
          <c:showLegendKey val="0"/>
          <c:showVal val="0"/>
          <c:showCatName val="0"/>
          <c:showSerName val="0"/>
          <c:showPercent val="0"/>
          <c:showBubbleSize val="0"/>
        </c:dLbls>
        <c:gapWidth val="150"/>
        <c:axId val="20331904"/>
        <c:axId val="20333696"/>
      </c:barChart>
      <c:catAx>
        <c:axId val="20331904"/>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0333696"/>
        <c:crosses val="autoZero"/>
        <c:auto val="1"/>
        <c:lblAlgn val="ctr"/>
        <c:lblOffset val="100"/>
        <c:noMultiLvlLbl val="0"/>
      </c:catAx>
      <c:valAx>
        <c:axId val="20333696"/>
        <c:scaling>
          <c:orientation val="minMax"/>
          <c:min val="0"/>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0331904"/>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收入决算</c:v>
                </c:pt>
              </c:strCache>
            </c:strRef>
          </c:tx>
          <c:explosion val="0"/>
          <c:dPt>
            <c:idx val="0"/>
            <c:bubble3D val="0"/>
          </c:dPt>
          <c:dLbls>
            <c:delete val="1"/>
          </c:dLbls>
          <c:cat>
            <c:strRef>
              <c:f>Sheet1!$A$2</c:f>
              <c:strCache>
                <c:ptCount val="1"/>
                <c:pt idx="0">
                  <c:v>一般公共预算</c:v>
                </c:pt>
              </c:strCache>
            </c:strRef>
          </c:cat>
          <c:val>
            <c:numRef>
              <c:f>Sheet1!$B$2</c:f>
              <c:numCache>
                <c:formatCode>General</c:formatCode>
                <c:ptCount val="1"/>
                <c:pt idx="0">
                  <c:v>8.2</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支出决算</c:v>
                </c:pt>
              </c:strCache>
            </c:strRef>
          </c:tx>
          <c:explosion val="0"/>
          <c:dPt>
            <c:idx val="0"/>
            <c:bubble3D val="0"/>
          </c:dPt>
          <c:dPt>
            <c:idx val="1"/>
            <c:bubble3D val="0"/>
          </c:dPt>
          <c:dLbls>
            <c:delete val="1"/>
          </c:dLbls>
          <c:cat>
            <c:strRef>
              <c:f>Sheet1!$A$2:$A$3</c:f>
              <c:strCache>
                <c:ptCount val="2"/>
                <c:pt idx="0">
                  <c:v>基本支出</c:v>
                </c:pt>
                <c:pt idx="1">
                  <c:v>项目支出</c:v>
                </c:pt>
              </c:strCache>
            </c:strRef>
          </c:cat>
          <c:val>
            <c:numRef>
              <c:f>Sheet1!$B$2:$B$3</c:f>
              <c:numCache>
                <c:formatCode>General</c:formatCode>
                <c:ptCount val="2"/>
                <c:pt idx="0">
                  <c:v>77.26</c:v>
                </c:pt>
                <c:pt idx="1">
                  <c:v>33.95</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2021</c:v>
                </c:pt>
              </c:strCache>
            </c:strRef>
          </c:tx>
          <c:invertIfNegative val="0"/>
          <c:dLbls>
            <c:delete val="1"/>
          </c:dLbls>
          <c:cat>
            <c:strRef>
              <c:f>Sheet1!$A$2</c:f>
              <c:strCache>
                <c:ptCount val="1"/>
                <c:pt idx="0">
                  <c:v>财政拨款收、支决算</c:v>
                </c:pt>
              </c:strCache>
            </c:strRef>
          </c:cat>
          <c:val>
            <c:numRef>
              <c:f>Sheet1!$B$2</c:f>
              <c:numCache>
                <c:formatCode>General</c:formatCode>
                <c:ptCount val="1"/>
                <c:pt idx="0">
                  <c:v>141.72</c:v>
                </c:pt>
              </c:numCache>
            </c:numRef>
          </c:val>
        </c:ser>
        <c:ser>
          <c:idx val="1"/>
          <c:order val="1"/>
          <c:tx>
            <c:strRef>
              <c:f>Sheet1!$C$1</c:f>
              <c:strCache>
                <c:ptCount val="1"/>
                <c:pt idx="0">
                  <c:v>2022</c:v>
                </c:pt>
              </c:strCache>
            </c:strRef>
          </c:tx>
          <c:invertIfNegative val="0"/>
          <c:dLbls>
            <c:delete val="1"/>
          </c:dLbls>
          <c:cat>
            <c:strRef>
              <c:f>Sheet1!$A$2</c:f>
              <c:strCache>
                <c:ptCount val="1"/>
                <c:pt idx="0">
                  <c:v>财政拨款收、支决算</c:v>
                </c:pt>
              </c:strCache>
            </c:strRef>
          </c:cat>
          <c:val>
            <c:numRef>
              <c:f>Sheet1!$C$2</c:f>
              <c:numCache>
                <c:formatCode>General</c:formatCode>
                <c:ptCount val="1"/>
                <c:pt idx="0">
                  <c:v>149.28</c:v>
                </c:pt>
              </c:numCache>
            </c:numRef>
          </c:val>
        </c:ser>
        <c:dLbls>
          <c:showLegendKey val="0"/>
          <c:showVal val="0"/>
          <c:showCatName val="0"/>
          <c:showSerName val="0"/>
          <c:showPercent val="0"/>
          <c:showBubbleSize val="0"/>
        </c:dLbls>
        <c:gapWidth val="150"/>
        <c:axId val="420231040"/>
        <c:axId val="420640256"/>
      </c:barChart>
      <c:catAx>
        <c:axId val="420231040"/>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20640256"/>
        <c:crosses val="autoZero"/>
        <c:auto val="1"/>
        <c:lblAlgn val="ctr"/>
        <c:lblOffset val="100"/>
        <c:noMultiLvlLbl val="0"/>
      </c:catAx>
      <c:valAx>
        <c:axId val="42064025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20231040"/>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2021</c:v>
                </c:pt>
              </c:strCache>
            </c:strRef>
          </c:tx>
          <c:invertIfNegative val="0"/>
          <c:dLbls>
            <c:delete val="1"/>
          </c:dLbls>
          <c:cat>
            <c:strRef>
              <c:f>Sheet1!$A$2</c:f>
              <c:strCache>
                <c:ptCount val="1"/>
                <c:pt idx="0">
                  <c:v>一般公共预算财政拨款支出</c:v>
                </c:pt>
              </c:strCache>
            </c:strRef>
          </c:cat>
          <c:val>
            <c:numRef>
              <c:f>Sheet1!$B$2</c:f>
              <c:numCache>
                <c:formatCode>General</c:formatCode>
                <c:ptCount val="1"/>
                <c:pt idx="0">
                  <c:v>141.72</c:v>
                </c:pt>
              </c:numCache>
            </c:numRef>
          </c:val>
        </c:ser>
        <c:ser>
          <c:idx val="1"/>
          <c:order val="1"/>
          <c:tx>
            <c:strRef>
              <c:f>Sheet1!$C$1</c:f>
              <c:strCache>
                <c:ptCount val="1"/>
                <c:pt idx="0">
                  <c:v>2022</c:v>
                </c:pt>
              </c:strCache>
            </c:strRef>
          </c:tx>
          <c:invertIfNegative val="0"/>
          <c:dLbls>
            <c:delete val="1"/>
          </c:dLbls>
          <c:cat>
            <c:strRef>
              <c:f>Sheet1!$A$2</c:f>
              <c:strCache>
                <c:ptCount val="1"/>
                <c:pt idx="0">
                  <c:v>一般公共预算财政拨款支出</c:v>
                </c:pt>
              </c:strCache>
            </c:strRef>
          </c:cat>
          <c:val>
            <c:numRef>
              <c:f>Sheet1!$C$2</c:f>
              <c:numCache>
                <c:formatCode>General</c:formatCode>
                <c:ptCount val="1"/>
                <c:pt idx="0">
                  <c:v>149.28</c:v>
                </c:pt>
              </c:numCache>
            </c:numRef>
          </c:val>
        </c:ser>
        <c:dLbls>
          <c:showLegendKey val="0"/>
          <c:showVal val="0"/>
          <c:showCatName val="0"/>
          <c:showSerName val="0"/>
          <c:showPercent val="0"/>
          <c:showBubbleSize val="0"/>
        </c:dLbls>
        <c:gapWidth val="150"/>
        <c:axId val="434863488"/>
        <c:axId val="432256128"/>
      </c:barChart>
      <c:catAx>
        <c:axId val="434863488"/>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32256128"/>
        <c:crosses val="autoZero"/>
        <c:auto val="1"/>
        <c:lblAlgn val="ctr"/>
        <c:lblOffset val="100"/>
        <c:noMultiLvlLbl val="0"/>
      </c:catAx>
      <c:valAx>
        <c:axId val="432256128"/>
        <c:scaling>
          <c:orientation val="minMax"/>
          <c:min val="0"/>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34863488"/>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一般公共预算财政拨款</c:v>
                </c:pt>
              </c:strCache>
            </c:strRef>
          </c:tx>
          <c:explosion val="0"/>
          <c:dPt>
            <c:idx val="0"/>
            <c:bubble3D val="0"/>
          </c:dPt>
          <c:dPt>
            <c:idx val="1"/>
            <c:bubble3D val="0"/>
          </c:dPt>
          <c:dPt>
            <c:idx val="2"/>
            <c:bubble3D val="0"/>
          </c:dPt>
          <c:dLbls>
            <c:delete val="1"/>
          </c:dLbls>
          <c:cat>
            <c:strRef>
              <c:f>Sheet1!$A$2:$A$4</c:f>
              <c:strCache>
                <c:ptCount val="3"/>
                <c:pt idx="0">
                  <c:v>社会保障和就业支出</c:v>
                </c:pt>
                <c:pt idx="1">
                  <c:v>卫生健康支出</c:v>
                </c:pt>
                <c:pt idx="2">
                  <c:v>住房保障支出</c:v>
                </c:pt>
              </c:strCache>
            </c:strRef>
          </c:cat>
          <c:val>
            <c:numRef>
              <c:f>Sheet1!$B$2:$B$4</c:f>
              <c:numCache>
                <c:formatCode>General</c:formatCode>
                <c:ptCount val="3"/>
                <c:pt idx="0">
                  <c:v>139.58</c:v>
                </c:pt>
                <c:pt idx="1">
                  <c:v>3.93</c:v>
                </c:pt>
                <c:pt idx="2">
                  <c:v>5.77</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4428B-CD78-4E36-B386-DA53B534AFBC}">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15</Pages>
  <Words>3970</Words>
  <Characters>4377</Characters>
  <Lines>20</Lines>
  <Paragraphs>12</Paragraphs>
  <TotalTime>23</TotalTime>
  <ScaleCrop>false</ScaleCrop>
  <LinksUpToDate>false</LinksUpToDate>
  <CharactersWithSpaces>5219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区机保赵品思</cp:lastModifiedBy>
  <cp:lastPrinted>2023-07-31T02:35:00Z</cp:lastPrinted>
  <dcterms:modified xsi:type="dcterms:W3CDTF">2023-08-16T01:53:31Z</dcterms:modified>
  <dc:title>四川省***</dc:title>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A10ADD9329F34137B1FC3E5E8278AE38</vt:lpwstr>
  </property>
</Properties>
</file>