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54"/>
          <w:szCs w:val="72"/>
        </w:rPr>
      </w:pPr>
      <w:bookmarkStart w:id="1" w:name="_Toc22684"/>
      <w:bookmarkStart w:id="2" w:name="_Toc113351108"/>
      <w:bookmarkStart w:id="3" w:name="_Toc4204"/>
      <w:bookmarkStart w:id="4" w:name="_Toc113351492"/>
      <w:bookmarkStart w:id="5" w:name="_Toc113351074"/>
      <w:bookmarkStart w:id="6" w:name="_Toc15377194"/>
      <w:bookmarkStart w:id="7" w:name="_Toc17103547"/>
      <w:bookmarkStart w:id="8" w:name="_Toc15396598"/>
      <w:bookmarkStart w:id="9" w:name="_Toc15396476"/>
      <w:bookmarkStart w:id="10" w:name="_Toc15377426"/>
      <w:bookmarkStart w:id="11" w:name="_Toc113285280"/>
      <w:bookmarkStart w:id="12" w:name="_Toc15378442"/>
      <w:bookmarkStart w:id="13" w:name="_Toc113285386"/>
      <w:bookmarkStart w:id="14" w:name="_Toc113285249"/>
      <w:r>
        <w:rPr>
          <w:rFonts w:hint="eastAsia" w:ascii="方正小标宋简体" w:hAnsi="宋体" w:eastAsia="方正小标宋简体"/>
          <w:color w:val="000000"/>
          <w:sz w:val="54"/>
          <w:szCs w:val="72"/>
        </w:rPr>
        <w:t>202</w:t>
      </w:r>
      <w:r>
        <w:rPr>
          <w:rFonts w:hint="eastAsia" w:ascii="方正小标宋简体" w:hAnsi="宋体" w:eastAsia="方正小标宋简体"/>
          <w:color w:val="000000"/>
          <w:sz w:val="54"/>
          <w:szCs w:val="72"/>
          <w:lang w:val="en-US" w:eastAsia="zh-CN"/>
        </w:rPr>
        <w:t>2</w:t>
      </w:r>
      <w:r>
        <w:rPr>
          <w:rFonts w:hint="eastAsia" w:ascii="方正小标宋简体" w:hAnsi="宋体" w:eastAsia="方正小标宋简体"/>
          <w:color w:val="000000"/>
          <w:sz w:val="54"/>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4"/>
          <w:szCs w:val="72"/>
        </w:rPr>
      </w:pPr>
      <w:bookmarkStart w:id="15" w:name="_Toc113351493"/>
      <w:bookmarkStart w:id="16" w:name="_Toc113351109"/>
      <w:bookmarkStart w:id="17" w:name="_Toc8511"/>
      <w:bookmarkStart w:id="18" w:name="_Toc7607"/>
      <w:bookmarkStart w:id="19" w:name="_Toc113351075"/>
      <w:r>
        <w:rPr>
          <w:rFonts w:hint="eastAsia" w:ascii="方正小标宋简体" w:hAnsi="宋体" w:eastAsia="方正小标宋简体"/>
          <w:color w:val="000000"/>
          <w:sz w:val="54"/>
          <w:szCs w:val="72"/>
        </w:rPr>
        <w:t>四川省</w:t>
      </w:r>
      <w:bookmarkEnd w:id="0"/>
      <w:bookmarkStart w:id="20" w:name="_Toc15306268"/>
      <w:r>
        <w:rPr>
          <w:rFonts w:hint="eastAsia" w:ascii="方正小标宋简体" w:hAnsi="宋体" w:eastAsia="方正小标宋简体"/>
          <w:color w:val="000000"/>
          <w:sz w:val="54"/>
          <w:szCs w:val="72"/>
        </w:rPr>
        <w:t>资阳市雁江区</w:t>
      </w:r>
      <w:r>
        <w:rPr>
          <w:rFonts w:hint="eastAsia" w:ascii="方正小标宋简体" w:hAnsi="宋体" w:eastAsia="方正小标宋简体"/>
          <w:color w:val="000000"/>
          <w:sz w:val="54"/>
          <w:szCs w:val="72"/>
          <w:lang w:eastAsia="zh-CN"/>
        </w:rPr>
        <w:t>红十字</w:t>
      </w:r>
      <w:r>
        <w:rPr>
          <w:rFonts w:hint="eastAsia" w:ascii="方正小标宋简体" w:hAnsi="宋体" w:eastAsia="方正小标宋简体"/>
          <w:color w:val="000000"/>
          <w:sz w:val="54"/>
          <w:szCs w:val="72"/>
        </w:rPr>
        <w:t>会</w:t>
      </w:r>
      <w:bookmarkEnd w:id="15"/>
      <w:bookmarkEnd w:id="16"/>
      <w:bookmarkEnd w:id="17"/>
      <w:bookmarkEnd w:id="18"/>
      <w:bookmarkEnd w:id="19"/>
    </w:p>
    <w:p>
      <w:pPr>
        <w:adjustRightInd w:val="0"/>
        <w:snapToGrid w:val="0"/>
        <w:spacing w:line="360" w:lineRule="auto"/>
        <w:jc w:val="center"/>
        <w:outlineLvl w:val="0"/>
        <w:rPr>
          <w:rFonts w:ascii="方正小标宋简体" w:hAnsi="宋体" w:eastAsia="方正小标宋简体"/>
          <w:color w:val="000000"/>
          <w:sz w:val="54"/>
          <w:szCs w:val="72"/>
        </w:rPr>
      </w:pPr>
      <w:bookmarkStart w:id="21" w:name="_Toc113351076"/>
      <w:bookmarkStart w:id="22" w:name="_Toc113351110"/>
      <w:bookmarkStart w:id="23" w:name="_Toc3026"/>
      <w:bookmarkStart w:id="24" w:name="_Toc1935"/>
      <w:bookmarkStart w:id="25" w:name="_Toc113351494"/>
      <w:r>
        <w:rPr>
          <w:rFonts w:hint="eastAsia" w:ascii="方正小标宋简体" w:hAnsi="宋体" w:eastAsia="方正小标宋简体"/>
          <w:color w:val="000000"/>
          <w:sz w:val="54"/>
          <w:szCs w:val="72"/>
          <w:lang w:eastAsia="zh-CN"/>
        </w:rPr>
        <w:t>部门</w:t>
      </w:r>
      <w:r>
        <w:rPr>
          <w:rFonts w:hint="eastAsia" w:ascii="方正小标宋简体" w:hAnsi="宋体" w:eastAsia="方正小标宋简体"/>
          <w:color w:val="000000"/>
          <w:sz w:val="54"/>
          <w:szCs w:val="72"/>
        </w:rPr>
        <w:t>决算</w:t>
      </w:r>
      <w:bookmarkEnd w:id="6"/>
      <w:bookmarkEnd w:id="7"/>
      <w:bookmarkEnd w:id="8"/>
      <w:bookmarkEnd w:id="9"/>
      <w:bookmarkEnd w:id="10"/>
      <w:bookmarkEnd w:id="11"/>
      <w:bookmarkEnd w:id="12"/>
      <w:bookmarkEnd w:id="13"/>
      <w:bookmarkEnd w:id="14"/>
      <w:bookmarkEnd w:id="20"/>
      <w:bookmarkEnd w:id="21"/>
      <w:bookmarkEnd w:id="22"/>
      <w:bookmarkEnd w:id="23"/>
      <w:bookmarkEnd w:id="24"/>
      <w:bookmarkEnd w:id="25"/>
    </w:p>
    <w:p>
      <w:pPr>
        <w:widowControl/>
        <w:jc w:val="left"/>
        <w:rPr>
          <w:rFonts w:ascii="方正小标宋简体" w:hAnsi="宋体" w:eastAsia="方正小标宋简体"/>
          <w:color w:val="000000"/>
          <w:sz w:val="72"/>
          <w:szCs w:val="72"/>
        </w:rPr>
      </w:pPr>
      <w:r>
        <w:rPr>
          <w:rFonts w:ascii="方正小标宋简体" w:hAnsi="宋体" w:eastAsia="方正小标宋简体"/>
          <w:color w:val="000000"/>
          <w:sz w:val="72"/>
          <w:szCs w:val="72"/>
        </w:rPr>
        <w:br w:type="page"/>
      </w:r>
      <w:bookmarkStart w:id="111" w:name="_GoBack"/>
      <w:bookmarkEnd w:id="111"/>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2"/>
        <w:spacing w:before="93"/>
      </w:pPr>
    </w:p>
    <w:p>
      <w:pPr>
        <w:tabs>
          <w:tab w:val="right" w:leader="dot" w:pos="8296"/>
        </w:tabs>
        <w:spacing w:before="93"/>
        <w:jc w:val="center"/>
        <w:rPr>
          <w:rStyle w:val="12"/>
          <w:rFonts w:ascii="仿宋" w:hAnsi="仿宋" w:eastAsia="仿宋"/>
          <w:b w:val="0"/>
          <w:bCs w:val="0"/>
          <w:kern w:val="2"/>
          <w:sz w:val="28"/>
          <w:szCs w:val="28"/>
        </w:rPr>
      </w:pPr>
      <w:r>
        <w:rPr>
          <w:rFonts w:hint="eastAsia" w:ascii="仿宋" w:hAnsi="仿宋" w:eastAsia="仿宋"/>
          <w:sz w:val="28"/>
          <w:szCs w:val="28"/>
        </w:rPr>
        <w:t>公开时间：</w:t>
      </w:r>
      <w:r>
        <w:rPr>
          <w:rFonts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w:t>
      </w:r>
    </w:p>
    <w:sdt>
      <w:sdtPr>
        <w:rPr>
          <w:rFonts w:ascii="宋体" w:hAnsi="宋体" w:eastAsia="宋体" w:cs="Times New Roman"/>
          <w:kern w:val="2"/>
          <w:sz w:val="21"/>
          <w:szCs w:val="24"/>
          <w:lang w:val="en-US" w:eastAsia="zh-CN" w:bidi="ar-SA"/>
        </w:rPr>
        <w:id w:val="147454765"/>
        <w15:color w:val="DBDBDB"/>
        <w:docPartObj>
          <w:docPartGallery w:val="Table of Contents"/>
          <w:docPartUnique/>
        </w:docPartObj>
      </w:sdtPr>
      <w:sdtEndPr>
        <w:rPr>
          <w:rFonts w:ascii="黑体" w:hAnsi="黑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8"/>
            <w:tabs>
              <w:tab w:val="right" w:leader="dot" w:pos="8306"/>
            </w:tabs>
          </w:pPr>
          <w:r>
            <w:rPr>
              <w:rStyle w:val="12"/>
              <w:rFonts w:ascii="黑体" w:hAnsi="黑体"/>
              <w:b w:val="0"/>
            </w:rPr>
            <w:fldChar w:fldCharType="begin"/>
          </w:r>
          <w:r>
            <w:rPr>
              <w:rStyle w:val="12"/>
              <w:rFonts w:ascii="黑体" w:hAnsi="黑体"/>
              <w:b w:val="0"/>
            </w:rPr>
            <w:instrText xml:space="preserve">TOC \o "1-3" \h \u </w:instrText>
          </w:r>
          <w:r>
            <w:rPr>
              <w:rStyle w:val="12"/>
              <w:rFonts w:ascii="黑体" w:hAnsi="黑体"/>
              <w:b w:val="0"/>
            </w:rPr>
            <w:fldChar w:fldCharType="separate"/>
          </w:r>
        </w:p>
        <w:p>
          <w:pPr>
            <w:pStyle w:val="18"/>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_Toc16683 </w:instrText>
          </w:r>
          <w:r>
            <w:rPr>
              <w:rFonts w:ascii="黑体" w:hAnsi="黑体" w:eastAsia="方正仿宋简体"/>
              <w:sz w:val="24"/>
            </w:rPr>
            <w:fldChar w:fldCharType="separate"/>
          </w:r>
          <w:r>
            <w:rPr>
              <w:rFonts w:hint="eastAsia" w:ascii="方正黑体简体" w:hAnsi="黑体" w:eastAsia="方正仿宋简体"/>
              <w:sz w:val="24"/>
            </w:rPr>
            <w:t>第一部分  部门概况</w:t>
          </w:r>
          <w:r>
            <w:rPr>
              <w:rFonts w:eastAsia="方正仿宋简体"/>
              <w:sz w:val="24"/>
            </w:rPr>
            <w:tab/>
          </w:r>
          <w:r>
            <w:rPr>
              <w:rFonts w:hint="eastAsia" w:eastAsia="方正仿宋简体"/>
              <w:sz w:val="24"/>
              <w:lang w:val="en-US" w:eastAsia="zh-CN"/>
            </w:rPr>
            <w:t>3</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_Toc14934 </w:instrText>
          </w:r>
          <w:r>
            <w:rPr>
              <w:rFonts w:ascii="黑体" w:hAnsi="黑体" w:eastAsia="方正仿宋简体"/>
              <w:sz w:val="24"/>
            </w:rPr>
            <w:fldChar w:fldCharType="separate"/>
          </w:r>
          <w:r>
            <w:rPr>
              <w:rFonts w:hint="eastAsia" w:ascii="方正黑体简体" w:hAnsi="黑体" w:eastAsia="方正仿宋简体"/>
              <w:sz w:val="24"/>
            </w:rPr>
            <w:t>一、</w:t>
          </w:r>
          <w:r>
            <w:rPr>
              <w:rFonts w:hint="eastAsia" w:ascii="方正黑体简体" w:hAnsi="黑体" w:eastAsia="方正仿宋简体"/>
              <w:sz w:val="24"/>
              <w:lang w:eastAsia="zh-CN"/>
            </w:rPr>
            <w:t>主要职责</w:t>
          </w:r>
          <w:r>
            <w:rPr>
              <w:rFonts w:eastAsia="方正仿宋简体"/>
              <w:sz w:val="24"/>
            </w:rPr>
            <w:tab/>
          </w:r>
          <w:r>
            <w:rPr>
              <w:rFonts w:hint="eastAsia" w:eastAsia="方正仿宋简体"/>
              <w:sz w:val="24"/>
              <w:lang w:val="en-US" w:eastAsia="zh-CN"/>
            </w:rPr>
            <w:t>3</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_Toc32693 </w:instrText>
          </w:r>
          <w:r>
            <w:rPr>
              <w:rFonts w:ascii="黑体" w:hAnsi="黑体" w:eastAsia="方正仿宋简体"/>
              <w:sz w:val="24"/>
            </w:rPr>
            <w:fldChar w:fldCharType="separate"/>
          </w:r>
          <w:r>
            <w:rPr>
              <w:rFonts w:hint="eastAsia" w:ascii="方正黑体简体" w:hAnsi="黑体" w:eastAsia="方正仿宋简体"/>
              <w:sz w:val="24"/>
            </w:rPr>
            <w:t>二、机构设置</w:t>
          </w:r>
          <w:r>
            <w:rPr>
              <w:rFonts w:eastAsia="方正仿宋简体"/>
              <w:sz w:val="24"/>
            </w:rPr>
            <w:tab/>
          </w:r>
          <w:r>
            <w:rPr>
              <w:rFonts w:hint="eastAsia" w:eastAsia="方正仿宋简体"/>
              <w:sz w:val="24"/>
              <w:lang w:val="en-US" w:eastAsia="zh-CN"/>
            </w:rPr>
            <w:t>4</w:t>
          </w:r>
          <w:r>
            <w:rPr>
              <w:rFonts w:ascii="黑体" w:hAnsi="黑体" w:eastAsia="方正仿宋简体"/>
              <w:sz w:val="24"/>
            </w:rPr>
            <w:fldChar w:fldCharType="end"/>
          </w:r>
        </w:p>
        <w:p>
          <w:pPr>
            <w:pStyle w:val="18"/>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_Toc18434 </w:instrText>
          </w:r>
          <w:r>
            <w:rPr>
              <w:rFonts w:ascii="黑体" w:hAnsi="黑体" w:eastAsia="方正仿宋简体"/>
              <w:sz w:val="24"/>
            </w:rPr>
            <w:fldChar w:fldCharType="separate"/>
          </w:r>
          <w:r>
            <w:rPr>
              <w:rFonts w:hint="eastAsia" w:ascii="方正黑体简体" w:hAnsi="黑体" w:eastAsia="方正仿宋简体"/>
              <w:sz w:val="24"/>
            </w:rPr>
            <w:t>第二部分 202</w:t>
          </w:r>
          <w:r>
            <w:rPr>
              <w:rFonts w:hint="eastAsia" w:ascii="方正黑体简体" w:hAnsi="黑体" w:eastAsia="方正仿宋简体"/>
              <w:sz w:val="24"/>
              <w:lang w:val="en-US" w:eastAsia="zh-CN"/>
            </w:rPr>
            <w:t>2</w:t>
          </w:r>
          <w:r>
            <w:rPr>
              <w:rFonts w:hint="eastAsia" w:ascii="方正黑体简体" w:hAnsi="黑体" w:eastAsia="方正仿宋简体"/>
              <w:sz w:val="24"/>
            </w:rPr>
            <w:t>年度部门决算情况说明</w:t>
          </w:r>
          <w:r>
            <w:rPr>
              <w:rFonts w:eastAsia="方正仿宋简体"/>
              <w:sz w:val="24"/>
            </w:rPr>
            <w:tab/>
          </w:r>
          <w:r>
            <w:rPr>
              <w:rFonts w:hint="eastAsia" w:eastAsia="方正仿宋简体"/>
              <w:sz w:val="24"/>
              <w:lang w:val="en-US" w:eastAsia="zh-CN"/>
            </w:rPr>
            <w:t>5</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_Toc29692 </w:instrText>
          </w:r>
          <w:r>
            <w:rPr>
              <w:rFonts w:ascii="黑体" w:hAnsi="黑体" w:eastAsia="方正仿宋简体"/>
              <w:sz w:val="24"/>
            </w:rPr>
            <w:fldChar w:fldCharType="separate"/>
          </w:r>
          <w:r>
            <w:rPr>
              <w:rFonts w:hint="eastAsia" w:ascii="方正黑体简体" w:hAnsi="黑体" w:eastAsia="方正仿宋简体"/>
              <w:sz w:val="24"/>
            </w:rPr>
            <w:t>一、收入支出决算总体情况说明</w:t>
          </w:r>
          <w:r>
            <w:rPr>
              <w:rFonts w:eastAsia="方正仿宋简体"/>
              <w:sz w:val="24"/>
            </w:rPr>
            <w:tab/>
          </w:r>
          <w:r>
            <w:rPr>
              <w:rFonts w:hint="eastAsia" w:eastAsia="方正仿宋简体"/>
              <w:sz w:val="24"/>
              <w:lang w:val="en-US" w:eastAsia="zh-CN"/>
            </w:rPr>
            <w:t>5</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_Toc16926 </w:instrText>
          </w:r>
          <w:r>
            <w:rPr>
              <w:rFonts w:ascii="黑体" w:hAnsi="黑体" w:eastAsia="方正仿宋简体"/>
              <w:sz w:val="24"/>
            </w:rPr>
            <w:fldChar w:fldCharType="separate"/>
          </w:r>
          <w:r>
            <w:rPr>
              <w:rFonts w:hint="eastAsia" w:ascii="方正黑体简体" w:hAnsi="黑体" w:eastAsia="方正仿宋简体"/>
              <w:sz w:val="24"/>
              <w:szCs w:val="32"/>
            </w:rPr>
            <w:t>二、收</w:t>
          </w:r>
          <w:r>
            <w:rPr>
              <w:rFonts w:hint="eastAsia" w:ascii="方正黑体简体" w:hAnsi="黑体" w:eastAsia="方正仿宋简体"/>
              <w:sz w:val="24"/>
            </w:rPr>
            <w:t>入决算情况说明</w:t>
          </w:r>
          <w:r>
            <w:rPr>
              <w:rFonts w:eastAsia="方正仿宋简体"/>
              <w:sz w:val="24"/>
            </w:rPr>
            <w:tab/>
          </w:r>
          <w:r>
            <w:rPr>
              <w:rFonts w:hint="eastAsia" w:eastAsia="方正仿宋简体"/>
              <w:sz w:val="24"/>
              <w:lang w:val="en-US" w:eastAsia="zh-CN"/>
            </w:rPr>
            <w:t>5</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_Toc32634 </w:instrText>
          </w:r>
          <w:r>
            <w:rPr>
              <w:rFonts w:ascii="黑体" w:hAnsi="黑体" w:eastAsia="方正仿宋简体"/>
              <w:sz w:val="24"/>
            </w:rPr>
            <w:fldChar w:fldCharType="separate"/>
          </w:r>
          <w:r>
            <w:rPr>
              <w:rFonts w:hint="eastAsia" w:ascii="方正黑体简体" w:hAnsi="黑体" w:eastAsia="方正仿宋简体"/>
              <w:sz w:val="24"/>
              <w:szCs w:val="32"/>
            </w:rPr>
            <w:t>三、支</w:t>
          </w:r>
          <w:r>
            <w:rPr>
              <w:rFonts w:hint="eastAsia" w:ascii="方正黑体简体" w:hAnsi="黑体" w:eastAsia="方正仿宋简体"/>
              <w:sz w:val="24"/>
            </w:rPr>
            <w:t>出决算情况说明</w:t>
          </w:r>
          <w:r>
            <w:rPr>
              <w:rFonts w:eastAsia="方正仿宋简体"/>
              <w:sz w:val="24"/>
            </w:rPr>
            <w:tab/>
          </w:r>
          <w:r>
            <w:rPr>
              <w:rFonts w:hint="eastAsia" w:eastAsia="方正仿宋简体"/>
              <w:sz w:val="24"/>
              <w:lang w:val="en-US" w:eastAsia="zh-CN"/>
            </w:rPr>
            <w:t>5</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_Toc13899 </w:instrText>
          </w:r>
          <w:r>
            <w:rPr>
              <w:rFonts w:ascii="黑体" w:hAnsi="黑体" w:eastAsia="方正仿宋简体"/>
              <w:sz w:val="24"/>
            </w:rPr>
            <w:fldChar w:fldCharType="separate"/>
          </w:r>
          <w:r>
            <w:rPr>
              <w:rFonts w:hint="eastAsia" w:ascii="方正黑体简体" w:hAnsi="黑体" w:eastAsia="方正仿宋简体"/>
              <w:sz w:val="24"/>
              <w:szCs w:val="32"/>
            </w:rPr>
            <w:t>四、财</w:t>
          </w:r>
          <w:r>
            <w:rPr>
              <w:rFonts w:hint="eastAsia" w:ascii="方正黑体简体" w:hAnsi="黑体" w:eastAsia="方正仿宋简体"/>
              <w:sz w:val="24"/>
            </w:rPr>
            <w:t>政拨款收入支出决算总体情况说明</w:t>
          </w:r>
          <w:r>
            <w:rPr>
              <w:rFonts w:eastAsia="方正仿宋简体"/>
              <w:sz w:val="24"/>
            </w:rPr>
            <w:tab/>
          </w:r>
          <w:r>
            <w:rPr>
              <w:rFonts w:hint="eastAsia" w:eastAsia="方正仿宋简体"/>
              <w:sz w:val="24"/>
              <w:lang w:val="en-US" w:eastAsia="zh-CN"/>
            </w:rPr>
            <w:t>6</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_Toc21146 </w:instrText>
          </w:r>
          <w:r>
            <w:rPr>
              <w:rFonts w:ascii="黑体" w:hAnsi="黑体" w:eastAsia="方正仿宋简体"/>
              <w:sz w:val="24"/>
            </w:rPr>
            <w:fldChar w:fldCharType="separate"/>
          </w:r>
          <w:r>
            <w:rPr>
              <w:rFonts w:hint="eastAsia" w:ascii="方正黑体简体" w:hAnsi="黑体" w:eastAsia="方正仿宋简体"/>
              <w:sz w:val="24"/>
              <w:szCs w:val="32"/>
            </w:rPr>
            <w:t>五、一</w:t>
          </w:r>
          <w:r>
            <w:rPr>
              <w:rFonts w:hint="eastAsia" w:ascii="方正黑体简体" w:hAnsi="黑体" w:eastAsia="方正仿宋简体"/>
              <w:sz w:val="24"/>
            </w:rPr>
            <w:t>般公共预算财政拨款支出决算情况说明</w:t>
          </w:r>
          <w:r>
            <w:rPr>
              <w:rFonts w:eastAsia="方正仿宋简体"/>
              <w:sz w:val="24"/>
            </w:rPr>
            <w:tab/>
          </w:r>
          <w:r>
            <w:rPr>
              <w:rFonts w:hint="eastAsia" w:eastAsia="方正仿宋简体"/>
              <w:sz w:val="24"/>
              <w:lang w:val="en-US" w:eastAsia="zh-CN"/>
            </w:rPr>
            <w:t>6</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_Toc16076 </w:instrText>
          </w:r>
          <w:r>
            <w:rPr>
              <w:rFonts w:ascii="黑体" w:hAnsi="黑体" w:eastAsia="方正仿宋简体"/>
              <w:sz w:val="24"/>
            </w:rPr>
            <w:fldChar w:fldCharType="separate"/>
          </w:r>
          <w:r>
            <w:rPr>
              <w:rFonts w:hint="eastAsia" w:ascii="方正黑体简体" w:eastAsia="方正仿宋简体"/>
              <w:sz w:val="24"/>
              <w:szCs w:val="32"/>
            </w:rPr>
            <w:t>六、</w:t>
          </w:r>
          <w:r>
            <w:rPr>
              <w:rFonts w:hint="eastAsia" w:ascii="方正黑体简体" w:hAnsi="黑体" w:eastAsia="方正仿宋简体"/>
              <w:sz w:val="24"/>
              <w:szCs w:val="32"/>
            </w:rPr>
            <w:t>一</w:t>
          </w:r>
          <w:r>
            <w:rPr>
              <w:rFonts w:hint="eastAsia" w:ascii="方正黑体简体" w:hAnsi="黑体" w:eastAsia="方正仿宋简体"/>
              <w:sz w:val="24"/>
            </w:rPr>
            <w:t>般公共预算财政拨款基本支出决算情况说明</w:t>
          </w:r>
          <w:r>
            <w:rPr>
              <w:rFonts w:eastAsia="方正仿宋简体"/>
              <w:sz w:val="24"/>
            </w:rPr>
            <w:tab/>
          </w:r>
          <w:r>
            <w:rPr>
              <w:rFonts w:hint="eastAsia" w:eastAsia="方正仿宋简体"/>
              <w:sz w:val="24"/>
              <w:lang w:val="en-US" w:eastAsia="zh-CN"/>
            </w:rPr>
            <w:t>8</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_Toc29339 </w:instrText>
          </w:r>
          <w:r>
            <w:rPr>
              <w:rFonts w:ascii="黑体" w:hAnsi="黑体" w:eastAsia="方正仿宋简体"/>
              <w:sz w:val="24"/>
            </w:rPr>
            <w:fldChar w:fldCharType="separate"/>
          </w:r>
          <w:r>
            <w:rPr>
              <w:rFonts w:hint="eastAsia" w:ascii="方正黑体简体" w:eastAsia="方正仿宋简体"/>
              <w:sz w:val="24"/>
              <w:szCs w:val="32"/>
            </w:rPr>
            <w:t>七、</w:t>
          </w:r>
          <w:r>
            <w:rPr>
              <w:rFonts w:hint="eastAsia" w:ascii="方正黑体简体" w:hAnsi="黑体" w:eastAsia="方正仿宋简体"/>
              <w:sz w:val="24"/>
            </w:rPr>
            <w:t>财政拨款</w:t>
          </w:r>
          <w:r>
            <w:rPr>
              <w:rFonts w:hint="eastAsia" w:ascii="方正黑体简体" w:hAnsi="黑体" w:eastAsia="方正仿宋简体"/>
              <w:sz w:val="24"/>
              <w:lang w:eastAsia="zh-CN"/>
            </w:rPr>
            <w:t>“</w:t>
          </w:r>
          <w:r>
            <w:rPr>
              <w:rFonts w:hint="eastAsia" w:ascii="方正黑体简体" w:hAnsi="黑体" w:eastAsia="方正仿宋简体"/>
              <w:sz w:val="24"/>
            </w:rPr>
            <w:t>三公”经费支出决算情况说明</w:t>
          </w:r>
          <w:r>
            <w:rPr>
              <w:rFonts w:eastAsia="方正仿宋简体"/>
              <w:sz w:val="24"/>
            </w:rPr>
            <w:tab/>
          </w:r>
          <w:r>
            <w:rPr>
              <w:rFonts w:hint="eastAsia" w:eastAsia="方正仿宋简体"/>
              <w:sz w:val="24"/>
              <w:lang w:val="en-US" w:eastAsia="zh-CN"/>
            </w:rPr>
            <w:t>8</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_Toc23912 </w:instrText>
          </w:r>
          <w:r>
            <w:rPr>
              <w:rFonts w:ascii="黑体" w:hAnsi="黑体" w:eastAsia="方正仿宋简体"/>
              <w:sz w:val="24"/>
            </w:rPr>
            <w:fldChar w:fldCharType="separate"/>
          </w:r>
          <w:r>
            <w:rPr>
              <w:rFonts w:hint="eastAsia" w:ascii="方正黑体简体" w:eastAsia="方正仿宋简体"/>
              <w:sz w:val="24"/>
              <w:szCs w:val="32"/>
            </w:rPr>
            <w:t>八、</w:t>
          </w:r>
          <w:r>
            <w:rPr>
              <w:rFonts w:hint="eastAsia" w:ascii="方正黑体简体" w:hAnsi="黑体" w:eastAsia="方正仿宋简体"/>
              <w:sz w:val="24"/>
            </w:rPr>
            <w:t>政府性基金预算支出决算情况说明</w:t>
          </w:r>
          <w:r>
            <w:rPr>
              <w:rFonts w:eastAsia="方正仿宋简体"/>
              <w:sz w:val="24"/>
            </w:rPr>
            <w:tab/>
          </w:r>
          <w:r>
            <w:rPr>
              <w:rFonts w:hint="eastAsia" w:eastAsia="方正仿宋简体"/>
              <w:sz w:val="24"/>
              <w:lang w:val="en-US" w:eastAsia="zh-CN"/>
            </w:rPr>
            <w:t>9</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_Toc1971 </w:instrText>
          </w:r>
          <w:r>
            <w:rPr>
              <w:rFonts w:ascii="黑体" w:hAnsi="黑体" w:eastAsia="方正仿宋简体"/>
              <w:sz w:val="24"/>
            </w:rPr>
            <w:fldChar w:fldCharType="separate"/>
          </w:r>
          <w:r>
            <w:rPr>
              <w:rFonts w:hint="eastAsia" w:ascii="方正黑体简体" w:hAnsi="仿宋" w:eastAsia="方正仿宋简体"/>
              <w:sz w:val="24"/>
              <w:szCs w:val="32"/>
            </w:rPr>
            <w:t>九、</w:t>
          </w:r>
          <w:r>
            <w:rPr>
              <w:rFonts w:hint="eastAsia" w:ascii="方正黑体简体" w:hAnsi="黑体" w:eastAsia="方正仿宋简体"/>
              <w:sz w:val="24"/>
            </w:rPr>
            <w:t>国有资本经营预算支出决算情况说明</w:t>
          </w:r>
          <w:r>
            <w:rPr>
              <w:rFonts w:eastAsia="方正仿宋简体"/>
              <w:sz w:val="24"/>
            </w:rPr>
            <w:tab/>
          </w:r>
          <w:r>
            <w:rPr>
              <w:rFonts w:hint="eastAsia" w:eastAsia="方正仿宋简体"/>
              <w:sz w:val="24"/>
              <w:lang w:val="en-US" w:eastAsia="zh-CN"/>
            </w:rPr>
            <w:t>9</w:t>
          </w:r>
          <w:r>
            <w:rPr>
              <w:rFonts w:ascii="黑体" w:hAnsi="黑体" w:eastAsia="方正仿宋简体"/>
              <w:sz w:val="24"/>
            </w:rPr>
            <w:fldChar w:fldCharType="end"/>
          </w:r>
        </w:p>
        <w:p>
          <w:pPr>
            <w:pStyle w:val="19"/>
            <w:tabs>
              <w:tab w:val="right" w:leader="dot" w:pos="8306"/>
            </w:tabs>
            <w:rPr>
              <w:rFonts w:eastAsia="方正仿宋简体"/>
              <w:sz w:val="24"/>
            </w:rPr>
          </w:pPr>
          <w:r>
            <w:rPr>
              <w:rFonts w:ascii="黑体" w:hAnsi="黑体" w:eastAsia="方正仿宋简体"/>
              <w:sz w:val="24"/>
            </w:rPr>
            <w:fldChar w:fldCharType="begin"/>
          </w:r>
          <w:r>
            <w:rPr>
              <w:rFonts w:ascii="黑体" w:hAnsi="黑体" w:eastAsia="方正仿宋简体"/>
              <w:sz w:val="24"/>
            </w:rPr>
            <w:instrText xml:space="preserve"> HYPERLINK \l _Toc29163 </w:instrText>
          </w:r>
          <w:r>
            <w:rPr>
              <w:rFonts w:ascii="黑体" w:hAnsi="黑体" w:eastAsia="方正仿宋简体"/>
              <w:sz w:val="24"/>
            </w:rPr>
            <w:fldChar w:fldCharType="separate"/>
          </w:r>
          <w:r>
            <w:rPr>
              <w:rFonts w:hint="eastAsia" w:ascii="方正黑体简体" w:hAnsi="黑体" w:eastAsia="方正仿宋简体"/>
              <w:sz w:val="24"/>
              <w:szCs w:val="32"/>
            </w:rPr>
            <w:t>十</w:t>
          </w:r>
          <w:r>
            <w:rPr>
              <w:rFonts w:hint="eastAsia" w:ascii="方正黑体简体" w:hAnsi="黑体" w:eastAsia="方正仿宋简体"/>
              <w:sz w:val="24"/>
            </w:rPr>
            <w:t>、其他重要事项的情况说明</w:t>
          </w:r>
          <w:r>
            <w:rPr>
              <w:rFonts w:eastAsia="方正仿宋简体"/>
              <w:sz w:val="24"/>
            </w:rPr>
            <w:tab/>
          </w:r>
          <w:r>
            <w:rPr>
              <w:rFonts w:hint="eastAsia" w:eastAsia="方正仿宋简体"/>
              <w:sz w:val="24"/>
              <w:lang w:val="en-US" w:eastAsia="zh-CN"/>
            </w:rPr>
            <w:t>9</w:t>
          </w:r>
          <w:r>
            <w:rPr>
              <w:rFonts w:ascii="黑体" w:hAnsi="黑体" w:eastAsia="方正仿宋简体"/>
              <w:sz w:val="24"/>
            </w:rPr>
            <w:fldChar w:fldCharType="end"/>
          </w:r>
        </w:p>
        <w:p>
          <w:pPr>
            <w:pStyle w:val="18"/>
            <w:tabs>
              <w:tab w:val="right" w:leader="dot" w:pos="8306"/>
            </w:tabs>
            <w:rPr>
              <w:rFonts w:hint="eastAsia" w:eastAsia="方正仿宋简体"/>
              <w:sz w:val="24"/>
              <w:lang w:val="en-US" w:eastAsia="zh-CN"/>
            </w:rPr>
          </w:pPr>
          <w:r>
            <w:rPr>
              <w:rFonts w:ascii="黑体" w:hAnsi="黑体" w:eastAsia="方正仿宋简体"/>
              <w:sz w:val="24"/>
            </w:rPr>
            <w:fldChar w:fldCharType="begin"/>
          </w:r>
          <w:r>
            <w:rPr>
              <w:rFonts w:ascii="黑体" w:hAnsi="黑体" w:eastAsia="方正仿宋简体"/>
              <w:sz w:val="24"/>
            </w:rPr>
            <w:instrText xml:space="preserve"> HYPERLINK \l _Toc32670 </w:instrText>
          </w:r>
          <w:r>
            <w:rPr>
              <w:rFonts w:ascii="黑体" w:hAnsi="黑体" w:eastAsia="方正仿宋简体"/>
              <w:sz w:val="24"/>
            </w:rPr>
            <w:fldChar w:fldCharType="separate"/>
          </w:r>
          <w:r>
            <w:rPr>
              <w:rFonts w:hint="eastAsia" w:ascii="方正黑体简体" w:hAnsi="黑体" w:eastAsia="方正仿宋简体"/>
              <w:sz w:val="24"/>
              <w:szCs w:val="44"/>
            </w:rPr>
            <w:t>第三部分 名</w:t>
          </w:r>
          <w:r>
            <w:rPr>
              <w:rFonts w:hint="eastAsia" w:ascii="方正黑体简体" w:eastAsia="方正仿宋简体"/>
              <w:bCs/>
              <w:sz w:val="24"/>
              <w:szCs w:val="44"/>
            </w:rPr>
            <w:t>词解释</w:t>
          </w:r>
          <w:r>
            <w:rPr>
              <w:rFonts w:eastAsia="方正仿宋简体"/>
              <w:sz w:val="24"/>
            </w:rPr>
            <w:tab/>
          </w:r>
          <w:r>
            <w:rPr>
              <w:rFonts w:hint="eastAsia" w:eastAsia="方正仿宋简体"/>
              <w:sz w:val="24"/>
              <w:lang w:val="en-US" w:eastAsia="zh-CN"/>
            </w:rPr>
            <w:t>1</w:t>
          </w:r>
          <w:r>
            <w:rPr>
              <w:rFonts w:ascii="黑体" w:hAnsi="黑体" w:eastAsia="方正仿宋简体"/>
              <w:sz w:val="24"/>
            </w:rPr>
            <w:fldChar w:fldCharType="end"/>
          </w:r>
          <w:r>
            <w:rPr>
              <w:rFonts w:hint="eastAsia" w:ascii="黑体" w:hAnsi="黑体" w:eastAsia="方正仿宋简体"/>
              <w:sz w:val="24"/>
              <w:lang w:val="en-US" w:eastAsia="zh-CN"/>
            </w:rPr>
            <w:t>1</w:t>
          </w:r>
        </w:p>
        <w:p>
          <w:pPr>
            <w:pStyle w:val="18"/>
            <w:tabs>
              <w:tab w:val="right" w:leader="dot" w:pos="8306"/>
            </w:tabs>
            <w:rPr>
              <w:rFonts w:hint="eastAsia" w:eastAsia="方正仿宋简体"/>
              <w:sz w:val="24"/>
              <w:lang w:val="en-US" w:eastAsia="zh-CN"/>
            </w:rPr>
          </w:pPr>
          <w:r>
            <w:rPr>
              <w:rFonts w:ascii="黑体" w:hAnsi="黑体" w:eastAsia="方正仿宋简体"/>
              <w:sz w:val="24"/>
            </w:rPr>
            <w:fldChar w:fldCharType="begin"/>
          </w:r>
          <w:r>
            <w:rPr>
              <w:rFonts w:ascii="黑体" w:hAnsi="黑体" w:eastAsia="方正仿宋简体"/>
              <w:sz w:val="24"/>
            </w:rPr>
            <w:instrText xml:space="preserve"> HYPERLINK \l _Toc32448 </w:instrText>
          </w:r>
          <w:r>
            <w:rPr>
              <w:rFonts w:ascii="黑体" w:hAnsi="黑体" w:eastAsia="方正仿宋简体"/>
              <w:sz w:val="24"/>
            </w:rPr>
            <w:fldChar w:fldCharType="separate"/>
          </w:r>
          <w:r>
            <w:rPr>
              <w:rFonts w:hint="eastAsia" w:ascii="方正黑体简体" w:hAnsi="黑体" w:eastAsia="方正仿宋简体"/>
              <w:sz w:val="24"/>
              <w:szCs w:val="44"/>
            </w:rPr>
            <w:t>第</w:t>
          </w:r>
          <w:r>
            <w:rPr>
              <w:rFonts w:hint="eastAsia" w:ascii="方正黑体简体" w:hAnsi="黑体" w:eastAsia="方正仿宋简体"/>
              <w:sz w:val="24"/>
            </w:rPr>
            <w:t>四部分 附件</w:t>
          </w:r>
          <w:r>
            <w:rPr>
              <w:rFonts w:eastAsia="方正仿宋简体"/>
              <w:sz w:val="24"/>
            </w:rPr>
            <w:tab/>
          </w:r>
          <w:r>
            <w:rPr>
              <w:rFonts w:hint="eastAsia" w:eastAsia="方正仿宋简体"/>
              <w:sz w:val="24"/>
              <w:lang w:val="en-US" w:eastAsia="zh-CN"/>
            </w:rPr>
            <w:t>1</w:t>
          </w:r>
          <w:r>
            <w:rPr>
              <w:rFonts w:ascii="黑体" w:hAnsi="黑体" w:eastAsia="方正仿宋简体"/>
              <w:sz w:val="24"/>
            </w:rPr>
            <w:fldChar w:fldCharType="end"/>
          </w:r>
          <w:r>
            <w:rPr>
              <w:rFonts w:hint="eastAsia" w:ascii="黑体" w:hAnsi="黑体" w:eastAsia="方正仿宋简体"/>
              <w:sz w:val="24"/>
              <w:lang w:val="en-US" w:eastAsia="zh-CN"/>
            </w:rPr>
            <w:t>4</w:t>
          </w:r>
        </w:p>
        <w:p>
          <w:pPr>
            <w:pStyle w:val="18"/>
            <w:tabs>
              <w:tab w:val="right" w:leader="dot" w:pos="8306"/>
            </w:tabs>
            <w:rPr>
              <w:rFonts w:hint="eastAsia" w:eastAsia="方正仿宋简体"/>
              <w:lang w:val="en-US" w:eastAsia="zh-CN"/>
            </w:rPr>
          </w:pPr>
          <w:r>
            <w:rPr>
              <w:rFonts w:ascii="黑体" w:hAnsi="黑体" w:eastAsia="方正仿宋简体"/>
              <w:sz w:val="24"/>
            </w:rPr>
            <w:fldChar w:fldCharType="begin"/>
          </w:r>
          <w:r>
            <w:rPr>
              <w:rFonts w:ascii="黑体" w:hAnsi="黑体" w:eastAsia="方正仿宋简体"/>
              <w:sz w:val="24"/>
            </w:rPr>
            <w:instrText xml:space="preserve"> HYPERLINK \l _Toc12029 </w:instrText>
          </w:r>
          <w:r>
            <w:rPr>
              <w:rFonts w:ascii="黑体" w:hAnsi="黑体" w:eastAsia="方正仿宋简体"/>
              <w:sz w:val="24"/>
            </w:rPr>
            <w:fldChar w:fldCharType="separate"/>
          </w:r>
          <w:r>
            <w:rPr>
              <w:rFonts w:hint="eastAsia" w:ascii="方正黑体简体" w:hAnsi="黑体" w:eastAsia="方正仿宋简体"/>
              <w:sz w:val="24"/>
              <w:szCs w:val="44"/>
            </w:rPr>
            <w:t>第五部分 附表</w:t>
          </w:r>
          <w:r>
            <w:rPr>
              <w:rFonts w:eastAsia="方正仿宋简体"/>
              <w:sz w:val="24"/>
            </w:rPr>
            <w:tab/>
          </w:r>
          <w:r>
            <w:rPr>
              <w:rFonts w:hint="eastAsia" w:eastAsia="方正仿宋简体"/>
              <w:sz w:val="24"/>
              <w:lang w:val="en-US" w:eastAsia="zh-CN"/>
            </w:rPr>
            <w:t>2</w:t>
          </w:r>
          <w:r>
            <w:rPr>
              <w:rFonts w:ascii="黑体" w:hAnsi="黑体" w:eastAsia="方正仿宋简体"/>
              <w:sz w:val="24"/>
            </w:rPr>
            <w:fldChar w:fldCharType="end"/>
          </w:r>
          <w:r>
            <w:rPr>
              <w:rFonts w:hint="eastAsia" w:ascii="黑体" w:hAnsi="黑体" w:eastAsia="方正仿宋简体"/>
              <w:sz w:val="24"/>
              <w:lang w:val="en-US" w:eastAsia="zh-CN"/>
            </w:rPr>
            <w:t>6</w:t>
          </w:r>
        </w:p>
        <w:p>
          <w:pPr>
            <w:rPr>
              <w:rFonts w:hint="default"/>
            </w:rPr>
          </w:pPr>
          <w:r>
            <w:rPr>
              <w:rFonts w:ascii="黑体" w:hAnsi="黑体"/>
            </w:rPr>
            <w:fldChar w:fldCharType="end"/>
          </w:r>
        </w:p>
      </w:sdtContent>
    </w:sdt>
    <w:p>
      <w:pPr>
        <w:pStyle w:val="3"/>
        <w:pageBreakBefore w:val="0"/>
        <w:widowControl w:val="0"/>
        <w:kinsoku/>
        <w:wordWrap/>
        <w:overflowPunct/>
        <w:topLinePunct w:val="0"/>
        <w:bidi w:val="0"/>
        <w:spacing w:before="0" w:beforeAutospacing="0" w:after="0" w:line="590" w:lineRule="exact"/>
        <w:jc w:val="center"/>
        <w:textAlignment w:val="auto"/>
        <w:rPr>
          <w:rStyle w:val="12"/>
          <w:rFonts w:hint="default" w:ascii="Times New Roman" w:hAnsi="Times New Roman" w:eastAsia="方正小标宋简体" w:cs="Times New Roman"/>
          <w:b w:val="0"/>
          <w:bCs w:val="0"/>
        </w:rPr>
      </w:pPr>
      <w:r>
        <w:rPr>
          <w:rFonts w:hint="default" w:ascii="Times New Roman" w:hAnsi="Times New Roman" w:eastAsia="方正小标宋简体" w:cs="Times New Roman"/>
          <w:b w:val="0"/>
        </w:rPr>
        <w:t xml:space="preserve">第一部分 </w:t>
      </w:r>
      <w:r>
        <w:rPr>
          <w:rStyle w:val="12"/>
          <w:rFonts w:hint="default" w:ascii="Times New Roman" w:hAnsi="Times New Roman" w:eastAsia="方正小标宋简体" w:cs="Times New Roman"/>
          <w:b w:val="0"/>
          <w:bCs w:val="0"/>
        </w:rPr>
        <w:t>部门概况</w:t>
      </w:r>
    </w:p>
    <w:p>
      <w:pPr>
        <w:pageBreakBefore w:val="0"/>
        <w:widowControl w:val="0"/>
        <w:kinsoku/>
        <w:wordWrap/>
        <w:overflowPunct/>
        <w:topLinePunct w:val="0"/>
        <w:bidi w:val="0"/>
        <w:spacing w:beforeAutospacing="0" w:line="590" w:lineRule="exact"/>
        <w:textAlignment w:val="auto"/>
        <w:rPr>
          <w:rFonts w:hint="default" w:ascii="Times New Roman" w:hAnsi="Times New Roman" w:cs="Times New Roman"/>
        </w:rPr>
      </w:pPr>
    </w:p>
    <w:p>
      <w:pPr>
        <w:pStyle w:val="2"/>
        <w:pageBreakBefore w:val="0"/>
        <w:widowControl w:val="0"/>
        <w:kinsoku/>
        <w:wordWrap/>
        <w:overflowPunct/>
        <w:topLinePunct w:val="0"/>
        <w:bidi w:val="0"/>
        <w:adjustRightInd w:val="0"/>
        <w:snapToGrid w:val="0"/>
        <w:spacing w:before="0" w:beforeLines="0" w:beforeAutospacing="0" w:line="590" w:lineRule="exact"/>
        <w:ind w:firstLine="600" w:firstLineChars="200"/>
        <w:textAlignment w:val="auto"/>
        <w:rPr>
          <w:rFonts w:hint="default" w:ascii="Times New Roman" w:hAnsi="Times New Roman" w:eastAsia="黑体" w:cs="Times New Roman"/>
          <w:b w:val="0"/>
          <w:color w:val="000000"/>
          <w:lang w:val="en-US" w:eastAsia="zh-CN"/>
        </w:rPr>
      </w:pPr>
      <w:r>
        <w:rPr>
          <w:rFonts w:hint="default" w:ascii="Times New Roman" w:hAnsi="Times New Roman" w:eastAsia="黑体" w:cs="Times New Roman"/>
          <w:b w:val="0"/>
          <w:color w:val="000000"/>
          <w:lang w:val="en-US" w:eastAsia="zh-CN"/>
        </w:rPr>
        <w:t>一、部门职责</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贯彻落实《中华人民共和国红十字会法》及有关法规，执行《中国红十字会章程》，拟订并实施雁江区红十字事业发展规划。</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开展救援救灾的相关工作，建立红十字应急救援体系，在自然灾害、事故灾难、公共卫生事件等突发事件中，向伤病人员和其他受害者提供紧急救援和人道救助。</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开展应急救护培训，普及应急救护、防灾避险和卫生健康知识，组织红十字志愿者参与现场救护。</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参与、推动无偿献血、遗体和人体器官（组织）捐献工作，参与开展造血干细胞捐献的相关工作。</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开展人道领域内的社会公益活动，参与基层社会治理，对特殊困难对象进行人道救助。参与或兴办医疗、康复、养老等与红十字会宗旨相符的社会公益事业。</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en-US" w:eastAsia="zh-CN"/>
        </w:rPr>
        <w:t>依法开展募捐活动。依法依规接受和处理分配捐赠款物。</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7.</w:t>
      </w:r>
      <w:r>
        <w:rPr>
          <w:rFonts w:hint="default" w:ascii="Times New Roman" w:hAnsi="Times New Roman" w:eastAsia="仿宋_GB2312" w:cs="Times New Roman"/>
          <w:sz w:val="32"/>
          <w:szCs w:val="32"/>
          <w:lang w:val="en-US" w:eastAsia="zh-CN"/>
        </w:rPr>
        <w:t>组织开展红十字志愿服务，开展有益于青少年身心健康、弘扬人道主义精神的红十字青少年活动。</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lang w:val="en-US" w:eastAsia="zh-CN"/>
        </w:rPr>
        <w:t>在中国红十字会总会、四川省红十字会和资阳市红十字会的指导下，开展与国（境）外红十字组织的友好合作与交流，参与国际人道主义救助工作。</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指导红十字会基层组织加强自身建设、组织建设和开展各项工作。</w:t>
      </w:r>
    </w:p>
    <w:p>
      <w:pPr>
        <w:pStyle w:val="2"/>
        <w:pageBreakBefore w:val="0"/>
        <w:widowControl w:val="0"/>
        <w:kinsoku/>
        <w:wordWrap/>
        <w:overflowPunct/>
        <w:topLinePunct w:val="0"/>
        <w:bidi w:val="0"/>
        <w:adjustRightInd w:val="0"/>
        <w:snapToGrid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10.</w:t>
      </w:r>
      <w:r>
        <w:rPr>
          <w:rFonts w:hint="default" w:ascii="Times New Roman" w:hAnsi="Times New Roman" w:eastAsia="仿宋_GB2312" w:cs="Times New Roman"/>
          <w:sz w:val="32"/>
          <w:szCs w:val="32"/>
          <w:lang w:val="en-US" w:eastAsia="zh-CN"/>
        </w:rPr>
        <w:t>完成区委、区政府和省、市红十字会交办、委托的其他任务。</w:t>
      </w:r>
    </w:p>
    <w:p>
      <w:pPr>
        <w:pStyle w:val="2"/>
        <w:pageBreakBefore w:val="0"/>
        <w:widowControl w:val="0"/>
        <w:kinsoku/>
        <w:wordWrap/>
        <w:overflowPunct/>
        <w:topLinePunct w:val="0"/>
        <w:bidi w:val="0"/>
        <w:adjustRightInd w:val="0"/>
        <w:snapToGrid w:val="0"/>
        <w:spacing w:before="0" w:beforeLines="0" w:beforeAutospacing="0" w:line="590" w:lineRule="exact"/>
        <w:ind w:firstLine="600" w:firstLineChars="200"/>
        <w:textAlignment w:val="auto"/>
        <w:rPr>
          <w:rStyle w:val="13"/>
          <w:rFonts w:hint="default" w:ascii="Times New Roman" w:hAnsi="Times New Roman" w:eastAsia="黑体" w:cs="Times New Roman"/>
          <w:b w:val="0"/>
          <w:bCs w:val="0"/>
          <w:lang w:eastAsia="zh-CN"/>
        </w:rPr>
      </w:pPr>
      <w:r>
        <w:rPr>
          <w:rFonts w:hint="default" w:ascii="Times New Roman" w:hAnsi="Times New Roman" w:eastAsia="黑体" w:cs="Times New Roman"/>
          <w:b w:val="0"/>
          <w:color w:val="000000"/>
          <w:lang w:eastAsia="zh-CN"/>
        </w:rPr>
        <w:t>二</w:t>
      </w:r>
      <w:r>
        <w:rPr>
          <w:rFonts w:hint="default" w:ascii="Times New Roman" w:hAnsi="Times New Roman" w:eastAsia="黑体" w:cs="Times New Roman"/>
          <w:b w:val="0"/>
          <w:color w:val="000000"/>
        </w:rPr>
        <w:t>、</w:t>
      </w:r>
      <w:r>
        <w:rPr>
          <w:rFonts w:hint="default" w:ascii="Times New Roman" w:hAnsi="Times New Roman" w:eastAsia="黑体" w:cs="Times New Roman"/>
          <w:b w:val="0"/>
          <w:color w:val="000000"/>
          <w:lang w:eastAsia="zh-CN"/>
        </w:rPr>
        <w:t>机构设置</w:t>
      </w:r>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资阳市雁江区红十字会</w:t>
      </w:r>
      <w:r>
        <w:rPr>
          <w:rFonts w:hint="default" w:ascii="Times New Roman" w:hAnsi="Times New Roman" w:eastAsia="方正仿宋简体" w:cs="Times New Roman"/>
          <w:sz w:val="32"/>
          <w:szCs w:val="32"/>
        </w:rPr>
        <w:t>属独立核算，独立编制的参照公务员法管理的事业单位1个，无下属二级单位。其他事业单位0个。</w:t>
      </w:r>
    </w:p>
    <w:p>
      <w:pPr>
        <w:pageBreakBefore w:val="0"/>
        <w:widowControl w:val="0"/>
        <w:kinsoku/>
        <w:wordWrap/>
        <w:overflowPunct/>
        <w:topLinePunct w:val="0"/>
        <w:bidi w:val="0"/>
        <w:spacing w:beforeAutospacing="0" w:line="590" w:lineRule="exact"/>
        <w:textAlignment w:val="auto"/>
        <w:rPr>
          <w:rFonts w:hint="default" w:ascii="Times New Roman" w:hAnsi="Times New Roman" w:cs="Times New Roman"/>
        </w:rPr>
      </w:pPr>
      <w:r>
        <w:rPr>
          <w:rFonts w:hint="default" w:ascii="Times New Roman" w:hAnsi="Times New Roman" w:eastAsia="方正仿宋简体" w:cs="Times New Roman"/>
          <w:sz w:val="32"/>
          <w:szCs w:val="32"/>
        </w:rPr>
        <w:br w:type="page"/>
      </w:r>
    </w:p>
    <w:p>
      <w:pPr>
        <w:pStyle w:val="3"/>
        <w:pageBreakBefore w:val="0"/>
        <w:widowControl w:val="0"/>
        <w:kinsoku/>
        <w:wordWrap/>
        <w:overflowPunct/>
        <w:topLinePunct w:val="0"/>
        <w:bidi w:val="0"/>
        <w:spacing w:before="0" w:beforeAutospacing="0" w:after="0" w:line="590" w:lineRule="exact"/>
        <w:jc w:val="center"/>
        <w:textAlignment w:val="auto"/>
        <w:rPr>
          <w:rFonts w:hint="default" w:ascii="Times New Roman" w:hAnsi="Times New Roman" w:eastAsia="方正小标宋简体" w:cs="Times New Roman"/>
          <w:b w:val="0"/>
        </w:rPr>
      </w:pPr>
      <w:bookmarkStart w:id="26" w:name="_Toc17193"/>
      <w:bookmarkStart w:id="27" w:name="_Toc15063"/>
      <w:bookmarkStart w:id="28" w:name="_Toc416"/>
      <w:bookmarkStart w:id="29" w:name="_Toc18700"/>
      <w:r>
        <w:rPr>
          <w:rFonts w:hint="default" w:ascii="Times New Roman" w:hAnsi="Times New Roman" w:eastAsia="方正小标宋简体" w:cs="Times New Roman"/>
          <w:b w:val="0"/>
        </w:rPr>
        <w:t>第二部分 202</w:t>
      </w:r>
      <w:r>
        <w:rPr>
          <w:rFonts w:hint="default" w:ascii="Times New Roman" w:hAnsi="Times New Roman" w:eastAsia="方正小标宋简体" w:cs="Times New Roman"/>
          <w:b w:val="0"/>
          <w:lang w:val="en-US" w:eastAsia="zh-CN"/>
        </w:rPr>
        <w:t>2</w:t>
      </w:r>
      <w:r>
        <w:rPr>
          <w:rFonts w:hint="default" w:ascii="Times New Roman" w:hAnsi="Times New Roman" w:eastAsia="方正小标宋简体" w:cs="Times New Roman"/>
          <w:b w:val="0"/>
        </w:rPr>
        <w:t>年度部门决算情况说明</w:t>
      </w:r>
      <w:bookmarkEnd w:id="26"/>
      <w:bookmarkEnd w:id="27"/>
      <w:bookmarkEnd w:id="28"/>
      <w:bookmarkEnd w:id="29"/>
    </w:p>
    <w:p>
      <w:pPr>
        <w:pageBreakBefore w:val="0"/>
        <w:widowControl w:val="0"/>
        <w:kinsoku/>
        <w:wordWrap/>
        <w:overflowPunct/>
        <w:topLinePunct w:val="0"/>
        <w:bidi w:val="0"/>
        <w:spacing w:beforeAutospacing="0" w:line="590" w:lineRule="exact"/>
        <w:textAlignment w:val="auto"/>
        <w:rPr>
          <w:rFonts w:hint="default" w:ascii="Times New Roman" w:hAnsi="Times New Roman" w:cs="Times New Roman"/>
        </w:rPr>
      </w:pPr>
    </w:p>
    <w:p>
      <w:pPr>
        <w:pStyle w:val="14"/>
        <w:pageBreakBefore w:val="0"/>
        <w:widowControl w:val="0"/>
        <w:numPr>
          <w:ilvl w:val="0"/>
          <w:numId w:val="1"/>
        </w:numPr>
        <w:kinsoku/>
        <w:wordWrap/>
        <w:overflowPunct/>
        <w:topLinePunct w:val="0"/>
        <w:bidi w:val="0"/>
        <w:spacing w:beforeAutospacing="0" w:line="590" w:lineRule="exact"/>
        <w:ind w:firstLineChars="0"/>
        <w:textAlignment w:val="auto"/>
        <w:outlineLvl w:val="1"/>
        <w:rPr>
          <w:rStyle w:val="13"/>
          <w:rFonts w:hint="default" w:ascii="Times New Roman" w:hAnsi="Times New Roman" w:eastAsia="黑体" w:cs="Times New Roman"/>
          <w:b w:val="0"/>
        </w:rPr>
      </w:pPr>
      <w:bookmarkStart w:id="30" w:name="_Toc5036"/>
      <w:bookmarkStart w:id="31" w:name="_Toc15396603"/>
      <w:bookmarkStart w:id="32" w:name="_Toc15377205"/>
      <w:bookmarkStart w:id="33" w:name="_Toc25699"/>
      <w:bookmarkStart w:id="34" w:name="_Toc30396"/>
      <w:r>
        <w:rPr>
          <w:rFonts w:hint="default" w:ascii="Times New Roman" w:hAnsi="Times New Roman" w:eastAsia="黑体" w:cs="Times New Roman"/>
          <w:color w:val="000000"/>
          <w:sz w:val="32"/>
          <w:szCs w:val="32"/>
        </w:rPr>
        <w:t>收</w:t>
      </w:r>
      <w:r>
        <w:rPr>
          <w:rStyle w:val="13"/>
          <w:rFonts w:hint="default" w:ascii="Times New Roman" w:hAnsi="Times New Roman" w:eastAsia="黑体" w:cs="Times New Roman"/>
          <w:b w:val="0"/>
        </w:rPr>
        <w:t>入支出决算总体情况说明</w:t>
      </w:r>
      <w:bookmarkEnd w:id="30"/>
      <w:bookmarkEnd w:id="31"/>
      <w:bookmarkEnd w:id="32"/>
      <w:bookmarkEnd w:id="33"/>
      <w:bookmarkEnd w:id="34"/>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资阳市雁江区红十字会</w:t>
      </w:r>
      <w:r>
        <w:rPr>
          <w:rFonts w:hint="default" w:ascii="Times New Roman" w:hAnsi="Times New Roman" w:eastAsia="方正仿宋_GBK" w:cs="Times New Roman"/>
          <w:sz w:val="32"/>
          <w:szCs w:val="32"/>
          <w:lang w:val="en-US" w:eastAsia="zh-CN"/>
        </w:rPr>
        <w:t>2022年</w:t>
      </w:r>
      <w:r>
        <w:rPr>
          <w:rFonts w:hint="default" w:ascii="Times New Roman" w:hAnsi="Times New Roman" w:eastAsia="方正仿宋_GBK" w:cs="Times New Roman"/>
          <w:sz w:val="32"/>
          <w:szCs w:val="32"/>
        </w:rPr>
        <w:t>收入总额为</w:t>
      </w:r>
      <w:r>
        <w:rPr>
          <w:rFonts w:hint="default" w:ascii="Times New Roman" w:hAnsi="Times New Roman" w:eastAsia="方正仿宋_GBK" w:cs="Times New Roman"/>
          <w:sz w:val="32"/>
          <w:szCs w:val="32"/>
          <w:lang w:val="en-US" w:eastAsia="zh-CN"/>
        </w:rPr>
        <w:t>63.43</w:t>
      </w:r>
      <w:r>
        <w:rPr>
          <w:rFonts w:hint="default" w:ascii="Times New Roman" w:hAnsi="Times New Roman" w:eastAsia="方正仿宋_GBK" w:cs="Times New Roman"/>
          <w:sz w:val="32"/>
          <w:szCs w:val="32"/>
        </w:rPr>
        <w:t>万元，支出总额为</w:t>
      </w:r>
      <w:r>
        <w:rPr>
          <w:rFonts w:hint="default" w:ascii="Times New Roman" w:hAnsi="Times New Roman" w:eastAsia="方正仿宋_GBK" w:cs="Times New Roman"/>
          <w:sz w:val="32"/>
          <w:szCs w:val="32"/>
          <w:lang w:val="en-US" w:eastAsia="zh-CN"/>
        </w:rPr>
        <w:t>59.92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，年末结转和结余</w:t>
      </w:r>
      <w:r>
        <w:rPr>
          <w:rFonts w:hint="default" w:ascii="Times New Roman" w:hAnsi="Times New Roman" w:eastAsia="方正仿宋_GBK" w:cs="Times New Roman"/>
          <w:sz w:val="32"/>
          <w:szCs w:val="32"/>
          <w:lang w:val="en-US" w:eastAsia="zh-CN"/>
        </w:rPr>
        <w:t>3.5万元</w:t>
      </w:r>
      <w:r>
        <w:rPr>
          <w:rFonts w:hint="default" w:ascii="Times New Roman" w:hAnsi="Times New Roman" w:eastAsia="方正仿宋_GBK" w:cs="Times New Roman"/>
          <w:sz w:val="32"/>
          <w:szCs w:val="32"/>
          <w:lang w:eastAsia="zh-CN"/>
        </w:rPr>
        <w:t>。无上年对比数据，原因是资阳市雁江区红十字会为</w:t>
      </w:r>
      <w:r>
        <w:rPr>
          <w:rFonts w:hint="default" w:ascii="Times New Roman" w:hAnsi="Times New Roman" w:eastAsia="方正仿宋_GBK" w:cs="Times New Roman"/>
          <w:sz w:val="32"/>
          <w:szCs w:val="32"/>
          <w:lang w:val="en-US" w:eastAsia="zh-CN"/>
        </w:rPr>
        <w:t>2022年新设立独立核算单位</w:t>
      </w:r>
      <w:r>
        <w:rPr>
          <w:rFonts w:hint="default" w:ascii="Times New Roman" w:hAnsi="Times New Roman" w:eastAsia="方正仿宋_GBK" w:cs="Times New Roman"/>
          <w:sz w:val="32"/>
          <w:szCs w:val="32"/>
          <w:lang w:eastAsia="zh-CN"/>
        </w:rPr>
        <w:t>。</w:t>
      </w:r>
    </w:p>
    <w:p>
      <w:pPr>
        <w:pStyle w:val="14"/>
        <w:pageBreakBefore w:val="0"/>
        <w:widowControl w:val="0"/>
        <w:numPr>
          <w:ilvl w:val="0"/>
          <w:numId w:val="1"/>
        </w:numPr>
        <w:kinsoku/>
        <w:wordWrap/>
        <w:overflowPunct/>
        <w:topLinePunct w:val="0"/>
        <w:bidi w:val="0"/>
        <w:spacing w:beforeAutospacing="0" w:line="590" w:lineRule="exact"/>
        <w:ind w:firstLineChars="0"/>
        <w:textAlignment w:val="auto"/>
        <w:outlineLvl w:val="1"/>
        <w:rPr>
          <w:rStyle w:val="13"/>
          <w:rFonts w:hint="default" w:ascii="Times New Roman" w:hAnsi="Times New Roman" w:eastAsia="黑体" w:cs="Times New Roman"/>
          <w:b w:val="0"/>
        </w:rPr>
      </w:pPr>
      <w:bookmarkStart w:id="35" w:name="_Toc12928"/>
      <w:bookmarkStart w:id="36" w:name="_Toc15377206"/>
      <w:bookmarkStart w:id="37" w:name="_Toc29009"/>
      <w:bookmarkStart w:id="38" w:name="_Toc30966"/>
      <w:bookmarkStart w:id="39" w:name="_Toc15396604"/>
      <w:r>
        <w:rPr>
          <w:rFonts w:hint="default" w:ascii="Times New Roman" w:hAnsi="Times New Roman" w:eastAsia="黑体" w:cs="Times New Roman"/>
          <w:color w:val="000000"/>
          <w:sz w:val="32"/>
          <w:szCs w:val="32"/>
        </w:rPr>
        <w:t>收</w:t>
      </w:r>
      <w:r>
        <w:rPr>
          <w:rStyle w:val="13"/>
          <w:rFonts w:hint="default" w:ascii="Times New Roman" w:hAnsi="Times New Roman" w:eastAsia="黑体" w:cs="Times New Roman"/>
          <w:b w:val="0"/>
        </w:rPr>
        <w:t>入决算情况说明</w:t>
      </w:r>
      <w:bookmarkEnd w:id="35"/>
      <w:bookmarkEnd w:id="36"/>
      <w:bookmarkEnd w:id="37"/>
      <w:bookmarkEnd w:id="38"/>
      <w:bookmarkEnd w:id="39"/>
    </w:p>
    <w:p>
      <w:pPr>
        <w:pStyle w:val="11"/>
        <w:pageBreakBefore w:val="0"/>
        <w:widowControl w:val="0"/>
        <w:kinsoku/>
        <w:wordWrap/>
        <w:overflowPunct/>
        <w:topLinePunct w:val="0"/>
        <w:bidi w:val="0"/>
        <w:spacing w:before="0" w:beforeAutospacing="0" w:after="0" w:line="590" w:lineRule="exact"/>
        <w:ind w:left="0" w:leftChars="0" w:firstLine="640" w:firstLineChars="200"/>
        <w:jc w:val="left"/>
        <w:textAlignment w:val="auto"/>
        <w:rPr>
          <w:rFonts w:hint="default" w:ascii="Times New Roman" w:hAnsi="Times New Roman" w:eastAsia="仿宋" w:cs="Times New Roman"/>
          <w:sz w:val="30"/>
          <w:szCs w:val="30"/>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年本年收入合计</w:t>
      </w:r>
      <w:r>
        <w:rPr>
          <w:rFonts w:hint="default" w:ascii="Times New Roman" w:hAnsi="Times New Roman" w:eastAsia="仿宋_GB2312" w:cs="Times New Roman"/>
          <w:sz w:val="32"/>
          <w:szCs w:val="32"/>
          <w:lang w:val="en-US" w:eastAsia="zh-CN"/>
        </w:rPr>
        <w:t>63.43</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52.43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82.66</w:t>
      </w:r>
      <w:r>
        <w:rPr>
          <w:rFonts w:hint="default" w:ascii="Times New Roman" w:hAnsi="Times New Roman" w:eastAsia="仿宋_GB2312" w:cs="Times New Roman"/>
          <w:sz w:val="32"/>
          <w:szCs w:val="32"/>
        </w:rPr>
        <w:t>%；</w:t>
      </w:r>
      <w:r>
        <w:rPr>
          <w:rFonts w:hint="default" w:ascii="Times New Roman" w:hAnsi="Times New Roman" w:eastAsia="仿宋" w:cs="Times New Roman"/>
          <w:sz w:val="30"/>
          <w:szCs w:val="30"/>
          <w:lang w:val="en-US" w:eastAsia="zh-CN"/>
        </w:rPr>
        <w:t>其他收入11万元，占比17.34%。</w:t>
      </w: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eastAsia="仿宋" w:cs="Times New Roman"/>
          <w:sz w:val="30"/>
          <w:szCs w:val="30"/>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drawing>
          <wp:anchor distT="0" distB="0" distL="114300" distR="114300" simplePos="0" relativeHeight="251660288" behindDoc="1" locked="0" layoutInCell="1" allowOverlap="1">
            <wp:simplePos x="0" y="0"/>
            <wp:positionH relativeFrom="column">
              <wp:posOffset>5080</wp:posOffset>
            </wp:positionH>
            <wp:positionV relativeFrom="paragraph">
              <wp:posOffset>-2705735</wp:posOffset>
            </wp:positionV>
            <wp:extent cx="5256530" cy="2988310"/>
            <wp:effectExtent l="5080" t="4445" r="15240" b="17145"/>
            <wp:wrapThrough wrapText="bothSides">
              <wp:wrapPolygon>
                <wp:start x="-21" y="-32"/>
                <wp:lineTo x="-21" y="21449"/>
                <wp:lineTo x="21506" y="21449"/>
                <wp:lineTo x="21506" y="-32"/>
                <wp:lineTo x="-21" y="-32"/>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14"/>
        <w:pageBreakBefore w:val="0"/>
        <w:widowControl w:val="0"/>
        <w:numPr>
          <w:ilvl w:val="0"/>
          <w:numId w:val="1"/>
        </w:numPr>
        <w:kinsoku/>
        <w:wordWrap/>
        <w:overflowPunct/>
        <w:topLinePunct w:val="0"/>
        <w:bidi w:val="0"/>
        <w:spacing w:beforeAutospacing="0" w:line="590" w:lineRule="exact"/>
        <w:ind w:firstLineChars="0"/>
        <w:textAlignment w:val="auto"/>
        <w:outlineLvl w:val="1"/>
        <w:rPr>
          <w:rFonts w:hint="default" w:ascii="Times New Roman" w:hAnsi="Times New Roman" w:eastAsia="仿宋" w:cs="Times New Roman"/>
          <w:color w:val="000000"/>
          <w:sz w:val="32"/>
          <w:szCs w:val="32"/>
        </w:rPr>
      </w:pPr>
      <w:bookmarkStart w:id="40" w:name="_Toc15377207"/>
      <w:bookmarkStart w:id="41" w:name="_Toc12378"/>
      <w:bookmarkStart w:id="42" w:name="_Toc24784"/>
      <w:bookmarkStart w:id="43" w:name="_Toc15396605"/>
      <w:bookmarkStart w:id="44" w:name="_Toc30433"/>
      <w:r>
        <w:rPr>
          <w:rFonts w:hint="default" w:ascii="Times New Roman" w:hAnsi="Times New Roman" w:eastAsia="黑体" w:cs="Times New Roman"/>
          <w:color w:val="000000"/>
          <w:sz w:val="32"/>
          <w:szCs w:val="32"/>
        </w:rPr>
        <w:t>支</w:t>
      </w:r>
      <w:r>
        <w:rPr>
          <w:rStyle w:val="13"/>
          <w:rFonts w:hint="default" w:ascii="Times New Roman" w:hAnsi="Times New Roman" w:eastAsia="黑体" w:cs="Times New Roman"/>
          <w:b w:val="0"/>
        </w:rPr>
        <w:t>出决算情况说明</w:t>
      </w:r>
      <w:bookmarkEnd w:id="40"/>
      <w:bookmarkEnd w:id="41"/>
      <w:bookmarkEnd w:id="42"/>
      <w:bookmarkEnd w:id="43"/>
      <w:bookmarkEnd w:id="44"/>
    </w:p>
    <w:p>
      <w:pPr>
        <w:pageBreakBefore w:val="0"/>
        <w:widowControl w:val="0"/>
        <w:kinsoku/>
        <w:wordWrap/>
        <w:overflowPunct/>
        <w:topLinePunct w:val="0"/>
        <w:bidi w:val="0"/>
        <w:spacing w:beforeAutospacing="0" w:line="590" w:lineRule="exact"/>
        <w:ind w:firstLine="640" w:firstLineChars="200"/>
        <w:textAlignment w:val="auto"/>
        <w:outlineLvl w:val="2"/>
        <w:rPr>
          <w:rFonts w:hint="default" w:ascii="Times New Roman" w:hAnsi="Times New Roman" w:eastAsia="仿宋_GB2312" w:cs="Times New Roman"/>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年本年支出合计</w:t>
      </w:r>
      <w:r>
        <w:rPr>
          <w:rFonts w:hint="default" w:ascii="Times New Roman" w:hAnsi="Times New Roman" w:eastAsia="仿宋" w:cs="Times New Roman"/>
          <w:color w:val="000000"/>
          <w:sz w:val="32"/>
          <w:szCs w:val="32"/>
          <w:lang w:val="en-US" w:eastAsia="zh-CN"/>
        </w:rPr>
        <w:t>59.92</w:t>
      </w:r>
      <w:r>
        <w:rPr>
          <w:rFonts w:hint="default" w:ascii="Times New Roman" w:hAnsi="Times New Roman" w:eastAsia="仿宋" w:cs="Times New Roman"/>
          <w:color w:val="000000"/>
          <w:sz w:val="32"/>
          <w:szCs w:val="32"/>
        </w:rPr>
        <w:t>万元，其中：基本支出</w:t>
      </w:r>
      <w:r>
        <w:rPr>
          <w:rFonts w:hint="default" w:ascii="Times New Roman" w:hAnsi="Times New Roman" w:eastAsia="仿宋" w:cs="Times New Roman"/>
          <w:color w:val="000000"/>
          <w:sz w:val="32"/>
          <w:szCs w:val="32"/>
          <w:lang w:val="en-US" w:eastAsia="zh-CN"/>
        </w:rPr>
        <w:t>48.87</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81.56</w:t>
      </w:r>
      <w:r>
        <w:rPr>
          <w:rFonts w:hint="default" w:ascii="Times New Roman" w:hAnsi="Times New Roman" w:eastAsia="仿宋" w:cs="Times New Roman"/>
          <w:color w:val="000000"/>
          <w:sz w:val="32"/>
          <w:szCs w:val="32"/>
        </w:rPr>
        <w:t>%；项目支出</w:t>
      </w:r>
      <w:r>
        <w:rPr>
          <w:rFonts w:hint="default" w:ascii="Times New Roman" w:hAnsi="Times New Roman" w:eastAsia="仿宋" w:cs="Times New Roman"/>
          <w:color w:val="000000"/>
          <w:sz w:val="32"/>
          <w:szCs w:val="32"/>
          <w:lang w:val="en-US" w:eastAsia="zh-CN"/>
        </w:rPr>
        <w:t>11.05</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18.44</w:t>
      </w:r>
      <w:r>
        <w:rPr>
          <w:rFonts w:hint="default" w:ascii="Times New Roman" w:hAnsi="Times New Roman" w:eastAsia="仿宋" w:cs="Times New Roman"/>
          <w:color w:val="000000"/>
          <w:sz w:val="32"/>
          <w:szCs w:val="32"/>
        </w:rPr>
        <w:t>%</w:t>
      </w:r>
      <w:r>
        <w:rPr>
          <w:rFonts w:hint="default" w:ascii="Times New Roman" w:hAnsi="Times New Roman" w:eastAsia="仿宋_GB2312" w:cs="Times New Roman"/>
          <w:sz w:val="32"/>
          <w:szCs w:val="32"/>
        </w:rPr>
        <w:t>；上缴上级支出0万元，占0%；经营支出0万元，占0%；对附属单位补助支出0万元，占0%。</w:t>
      </w:r>
    </w:p>
    <w:p>
      <w:pPr>
        <w:pageBreakBefore w:val="0"/>
        <w:widowControl w:val="0"/>
        <w:kinsoku/>
        <w:wordWrap/>
        <w:overflowPunct/>
        <w:topLinePunct w:val="0"/>
        <w:bidi w:val="0"/>
        <w:spacing w:beforeAutospacing="0" w:line="590" w:lineRule="exact"/>
        <w:ind w:firstLine="640" w:firstLineChars="200"/>
        <w:textAlignment w:val="auto"/>
        <w:outlineLvl w:val="1"/>
        <w:rPr>
          <w:rStyle w:val="13"/>
          <w:rFonts w:hint="default" w:ascii="Times New Roman" w:hAnsi="Times New Roman" w:eastAsia="黑体" w:cs="Times New Roman"/>
          <w:b w:val="0"/>
        </w:rPr>
      </w:pPr>
      <w:bookmarkStart w:id="45" w:name="_Toc16677"/>
      <w:bookmarkStart w:id="46" w:name="_Toc15396606"/>
      <w:bookmarkStart w:id="47" w:name="_Toc15377208"/>
      <w:bookmarkStart w:id="48" w:name="_Toc4301"/>
      <w:bookmarkStart w:id="49" w:name="_Toc6815"/>
      <w:r>
        <w:rPr>
          <w:rFonts w:hint="default" w:ascii="Times New Roman" w:hAnsi="Times New Roman" w:eastAsia="黑体" w:cs="Times New Roman"/>
          <w:color w:val="000000"/>
          <w:sz w:val="32"/>
          <w:szCs w:val="32"/>
        </w:rPr>
        <w:t>四、财</w:t>
      </w:r>
      <w:r>
        <w:rPr>
          <w:rStyle w:val="13"/>
          <w:rFonts w:hint="default" w:ascii="Times New Roman" w:hAnsi="Times New Roman" w:eastAsia="黑体" w:cs="Times New Roman"/>
          <w:b w:val="0"/>
        </w:rPr>
        <w:t>政拨款收入支出决算总体情况说明</w:t>
      </w:r>
      <w:bookmarkEnd w:id="45"/>
      <w:bookmarkEnd w:id="46"/>
      <w:bookmarkEnd w:id="47"/>
      <w:bookmarkEnd w:id="48"/>
      <w:bookmarkEnd w:id="49"/>
    </w:p>
    <w:p>
      <w:pPr>
        <w:pageBreakBefore w:val="0"/>
        <w:widowControl w:val="0"/>
        <w:kinsoku/>
        <w:wordWrap/>
        <w:overflowPunct/>
        <w:topLinePunct w:val="0"/>
        <w:bidi w:val="0"/>
        <w:spacing w:beforeAutospacing="0" w:line="590" w:lineRule="exact"/>
        <w:ind w:firstLine="640" w:firstLineChars="200"/>
        <w:textAlignment w:val="auto"/>
        <w:outlineLvl w:val="2"/>
        <w:rPr>
          <w:rFonts w:hint="default" w:ascii="Times New Roman" w:hAnsi="Times New Roman" w:eastAsia="方正仿宋_GBK"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年财政拨款收入</w:t>
      </w:r>
      <w:r>
        <w:rPr>
          <w:rFonts w:hint="default" w:ascii="Times New Roman" w:hAnsi="Times New Roman" w:eastAsia="仿宋_GB2312" w:cs="Times New Roman"/>
          <w:sz w:val="32"/>
          <w:szCs w:val="32"/>
          <w:lang w:val="en-US" w:eastAsia="zh-CN"/>
        </w:rPr>
        <w:t>52.43</w:t>
      </w:r>
      <w:r>
        <w:rPr>
          <w:rFonts w:hint="default" w:ascii="Times New Roman" w:hAnsi="Times New Roman" w:eastAsia="仿宋_GB2312" w:cs="Times New Roman"/>
          <w:sz w:val="32"/>
          <w:szCs w:val="32"/>
        </w:rPr>
        <w:t>万元，财政拨款支出</w:t>
      </w:r>
      <w:r>
        <w:rPr>
          <w:rFonts w:hint="default" w:ascii="Times New Roman" w:hAnsi="Times New Roman" w:eastAsia="仿宋_GB2312" w:cs="Times New Roman"/>
          <w:sz w:val="32"/>
          <w:szCs w:val="32"/>
          <w:lang w:val="en-US" w:eastAsia="zh-CN"/>
        </w:rPr>
        <w:t>52.43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w:t>
      </w:r>
      <w:r>
        <w:rPr>
          <w:rFonts w:hint="default" w:ascii="Times New Roman" w:hAnsi="Times New Roman" w:eastAsia="方正仿宋_GBK" w:cs="Times New Roman"/>
          <w:sz w:val="32"/>
          <w:szCs w:val="32"/>
          <w:lang w:eastAsia="zh-CN"/>
        </w:rPr>
        <w:t>无上年对比数据，原因是资阳市雁江区红十字会为</w:t>
      </w:r>
      <w:r>
        <w:rPr>
          <w:rFonts w:hint="default" w:ascii="Times New Roman" w:hAnsi="Times New Roman" w:eastAsia="方正仿宋_GBK" w:cs="Times New Roman"/>
          <w:sz w:val="32"/>
          <w:szCs w:val="32"/>
          <w:lang w:val="en-US" w:eastAsia="zh-CN"/>
        </w:rPr>
        <w:t>2022年新设立独立核算单位</w:t>
      </w:r>
      <w:r>
        <w:rPr>
          <w:rFonts w:hint="default" w:ascii="Times New Roman" w:hAnsi="Times New Roman" w:eastAsia="方正仿宋_GBK" w:cs="Times New Roman"/>
          <w:sz w:val="32"/>
          <w:szCs w:val="32"/>
          <w:lang w:eastAsia="zh-CN"/>
        </w:rPr>
        <w:t>。</w:t>
      </w:r>
    </w:p>
    <w:p>
      <w:pPr>
        <w:pStyle w:val="7"/>
        <w:pageBreakBefore w:val="0"/>
        <w:widowControl w:val="0"/>
        <w:kinsoku/>
        <w:wordWrap/>
        <w:overflowPunct/>
        <w:topLinePunct w:val="0"/>
        <w:bidi w:val="0"/>
        <w:adjustRightInd w:val="0"/>
        <w:snapToGrid w:val="0"/>
        <w:spacing w:beforeAutospacing="0" w:line="590" w:lineRule="exact"/>
        <w:ind w:firstLine="320" w:firstLineChars="100"/>
        <w:jc w:val="left"/>
        <w:textAlignment w:val="auto"/>
        <w:rPr>
          <w:rStyle w:val="13"/>
          <w:rFonts w:hint="default" w:ascii="Times New Roman" w:hAnsi="Times New Roman" w:eastAsia="黑体" w:cs="Times New Roman"/>
          <w:b w:val="0"/>
          <w:kern w:val="2"/>
          <w:lang w:val="en-US" w:eastAsia="zh-CN" w:bidi="ar-SA"/>
        </w:rPr>
      </w:pPr>
      <w:r>
        <w:rPr>
          <w:rStyle w:val="13"/>
          <w:rFonts w:hint="default" w:ascii="Times New Roman" w:hAnsi="Times New Roman" w:eastAsia="黑体" w:cs="Times New Roman"/>
          <w:b w:val="0"/>
          <w:kern w:val="2"/>
          <w:lang w:val="en-US" w:eastAsia="zh-CN" w:bidi="ar-SA"/>
        </w:rPr>
        <w:t>五、一般公共预算财政拨款支出决算情况说明</w:t>
      </w:r>
    </w:p>
    <w:p>
      <w:pPr>
        <w:pageBreakBefore w:val="0"/>
        <w:widowControl w:val="0"/>
        <w:kinsoku/>
        <w:wordWrap/>
        <w:overflowPunct/>
        <w:topLinePunct w:val="0"/>
        <w:bidi w:val="0"/>
        <w:spacing w:beforeAutospacing="0" w:line="590"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5080</wp:posOffset>
            </wp:positionH>
            <wp:positionV relativeFrom="page">
              <wp:posOffset>2094865</wp:posOffset>
            </wp:positionV>
            <wp:extent cx="5256530" cy="2988310"/>
            <wp:effectExtent l="5080" t="4445" r="15240" b="1714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年一般公共预算财政拨款决算支出</w:t>
      </w:r>
      <w:r>
        <w:rPr>
          <w:rFonts w:hint="default" w:ascii="Times New Roman" w:hAnsi="Times New Roman" w:eastAsia="方正仿宋简体" w:cs="Times New Roman"/>
          <w:sz w:val="32"/>
          <w:szCs w:val="32"/>
          <w:lang w:val="en-US" w:eastAsia="zh-CN"/>
        </w:rPr>
        <w:t>52.43</w:t>
      </w:r>
      <w:r>
        <w:rPr>
          <w:rFonts w:hint="default" w:ascii="Times New Roman" w:hAnsi="Times New Roman" w:eastAsia="方正仿宋简体" w:cs="Times New Roman"/>
          <w:sz w:val="32"/>
          <w:szCs w:val="32"/>
        </w:rPr>
        <w:t>万元，占本年支出合计的</w:t>
      </w:r>
      <w:r>
        <w:rPr>
          <w:rFonts w:hint="default" w:ascii="Times New Roman" w:hAnsi="Times New Roman" w:eastAsia="方正仿宋简体" w:cs="Times New Roman"/>
          <w:sz w:val="32"/>
          <w:szCs w:val="32"/>
          <w:lang w:val="en-US" w:eastAsia="zh-CN"/>
        </w:rPr>
        <w:t>87.5</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r>
        <w:rPr>
          <w:rFonts w:hint="default" w:ascii="Times New Roman" w:hAnsi="Times New Roman" w:eastAsia="仿宋" w:cs="Times New Roman"/>
          <w:color w:val="000000"/>
          <w:sz w:val="32"/>
          <w:szCs w:val="32"/>
        </w:rPr>
        <w:t>主要用于以下方面</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val="en-US" w:eastAsia="zh-CN"/>
        </w:rPr>
        <w:t>社会保障和就业（208类）</w:t>
      </w:r>
      <w:r>
        <w:rPr>
          <w:rFonts w:hint="default" w:ascii="Times New Roman" w:hAnsi="Times New Roman" w:eastAsia="仿宋" w:cs="Times New Roman"/>
          <w:color w:val="000000"/>
          <w:sz w:val="32"/>
          <w:szCs w:val="32"/>
        </w:rPr>
        <w:t>支出</w:t>
      </w:r>
      <w:r>
        <w:rPr>
          <w:rFonts w:hint="default" w:ascii="Times New Roman" w:hAnsi="Times New Roman" w:eastAsia="方正仿宋简体" w:cs="Times New Roman"/>
          <w:sz w:val="32"/>
          <w:szCs w:val="32"/>
          <w:lang w:val="en-US" w:eastAsia="zh-CN"/>
        </w:rPr>
        <w:t>47.53</w:t>
      </w:r>
      <w:r>
        <w:rPr>
          <w:rFonts w:hint="default" w:ascii="Times New Roman" w:hAnsi="Times New Roman" w:eastAsia="仿宋" w:cs="Times New Roman"/>
          <w:color w:val="000000"/>
          <w:sz w:val="32"/>
          <w:szCs w:val="32"/>
        </w:rPr>
        <w:t>万元，占</w:t>
      </w:r>
      <w:r>
        <w:rPr>
          <w:rFonts w:hint="default" w:ascii="Times New Roman" w:hAnsi="Times New Roman" w:eastAsia="仿宋" w:cs="Times New Roman"/>
          <w:color w:val="000000"/>
          <w:sz w:val="32"/>
          <w:szCs w:val="32"/>
          <w:lang w:val="en-US" w:eastAsia="zh-CN"/>
        </w:rPr>
        <w:t>90.65</w:t>
      </w:r>
      <w:r>
        <w:rPr>
          <w:rFonts w:hint="default" w:ascii="Times New Roman" w:hAnsi="Times New Roman" w:eastAsia="仿宋" w:cs="Times New Roman"/>
          <w:color w:val="000000"/>
          <w:sz w:val="32"/>
          <w:szCs w:val="32"/>
        </w:rPr>
        <w:t>%；</w:t>
      </w:r>
      <w:r>
        <w:rPr>
          <w:rFonts w:hint="default" w:ascii="Times New Roman" w:hAnsi="Times New Roman" w:eastAsia="方正仿宋简体" w:cs="Times New Roman"/>
          <w:sz w:val="32"/>
          <w:szCs w:val="32"/>
        </w:rPr>
        <w:t>卫生健康(210类)支出</w:t>
      </w:r>
      <w:r>
        <w:rPr>
          <w:rFonts w:hint="default" w:ascii="Times New Roman" w:hAnsi="Times New Roman" w:eastAsia="方正仿宋简体" w:cs="Times New Roman"/>
          <w:sz w:val="32"/>
          <w:szCs w:val="32"/>
          <w:lang w:val="en-US" w:eastAsia="zh-CN"/>
        </w:rPr>
        <w:t>1.42</w:t>
      </w:r>
      <w:r>
        <w:rPr>
          <w:rFonts w:hint="default" w:ascii="Times New Roman" w:hAnsi="Times New Roman" w:eastAsia="方正仿宋简体" w:cs="Times New Roman"/>
          <w:sz w:val="32"/>
          <w:szCs w:val="32"/>
        </w:rPr>
        <w:t>万元，占2</w:t>
      </w:r>
      <w:r>
        <w:rPr>
          <w:rFonts w:hint="default" w:ascii="Times New Roman" w:hAnsi="Times New Roman" w:eastAsia="方正仿宋简体" w:cs="Times New Roman"/>
          <w:sz w:val="32"/>
          <w:szCs w:val="32"/>
          <w:lang w:val="en-US" w:eastAsia="zh-CN"/>
        </w:rPr>
        <w:t>.71</w:t>
      </w:r>
      <w:r>
        <w:rPr>
          <w:rFonts w:hint="default" w:ascii="Times New Roman" w:hAnsi="Times New Roman" w:eastAsia="方正仿宋简体" w:cs="Times New Roman"/>
          <w:sz w:val="32"/>
          <w:szCs w:val="32"/>
        </w:rPr>
        <w:t>%；住房保障(221类)支出3.</w:t>
      </w:r>
      <w:r>
        <w:rPr>
          <w:rFonts w:hint="default" w:ascii="Times New Roman" w:hAnsi="Times New Roman" w:eastAsia="方正仿宋简体" w:cs="Times New Roman"/>
          <w:sz w:val="32"/>
          <w:szCs w:val="32"/>
          <w:lang w:val="en-US" w:eastAsia="zh-CN"/>
        </w:rPr>
        <w:t>48</w:t>
      </w:r>
      <w:r>
        <w:rPr>
          <w:rFonts w:hint="default" w:ascii="Times New Roman" w:hAnsi="Times New Roman" w:eastAsia="方正仿宋简体" w:cs="Times New Roman"/>
          <w:sz w:val="32"/>
          <w:szCs w:val="32"/>
        </w:rPr>
        <w:t>万元，占</w:t>
      </w:r>
      <w:r>
        <w:rPr>
          <w:rFonts w:hint="default" w:ascii="Times New Roman" w:hAnsi="Times New Roman" w:eastAsia="方正仿宋简体" w:cs="Times New Roman"/>
          <w:sz w:val="32"/>
          <w:szCs w:val="32"/>
          <w:lang w:val="en-US" w:eastAsia="zh-CN"/>
        </w:rPr>
        <w:t>6.64</w:t>
      </w:r>
      <w:r>
        <w:rPr>
          <w:rFonts w:hint="default" w:ascii="Times New Roman" w:hAnsi="Times New Roman" w:eastAsia="方正仿宋简体" w:cs="Times New Roman"/>
          <w:sz w:val="32"/>
          <w:szCs w:val="32"/>
        </w:rPr>
        <w:t>%。</w:t>
      </w: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rPr>
      </w:pPr>
    </w:p>
    <w:p>
      <w:pPr>
        <w:pStyle w:val="2"/>
        <w:pageBreakBefore w:val="0"/>
        <w:widowControl w:val="0"/>
        <w:kinsoku/>
        <w:wordWrap/>
        <w:overflowPunct/>
        <w:topLinePunct w:val="0"/>
        <w:bidi w:val="0"/>
        <w:spacing w:before="0" w:beforeLines="0" w:beforeAutospacing="0" w:line="59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drawing>
          <wp:anchor distT="0" distB="0" distL="114300" distR="114300" simplePos="0" relativeHeight="251661312" behindDoc="1" locked="0" layoutInCell="1" allowOverlap="1">
            <wp:simplePos x="0" y="0"/>
            <wp:positionH relativeFrom="column">
              <wp:posOffset>5080</wp:posOffset>
            </wp:positionH>
            <wp:positionV relativeFrom="paragraph">
              <wp:posOffset>-2705735</wp:posOffset>
            </wp:positionV>
            <wp:extent cx="5256530" cy="2988310"/>
            <wp:effectExtent l="5080" t="4445" r="15240" b="17145"/>
            <wp:wrapThrough wrapText="bothSides">
              <wp:wrapPolygon>
                <wp:start x="-21" y="-32"/>
                <wp:lineTo x="-21" y="21449"/>
                <wp:lineTo x="21506" y="21449"/>
                <wp:lineTo x="21506" y="-32"/>
                <wp:lineTo x="-21" y="-32"/>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widowControl w:val="0"/>
        <w:numPr>
          <w:ilvl w:val="0"/>
          <w:numId w:val="0"/>
        </w:numPr>
        <w:kinsoku/>
        <w:wordWrap/>
        <w:overflowPunct/>
        <w:topLinePunct w:val="0"/>
        <w:bidi w:val="0"/>
        <w:spacing w:beforeAutospacing="0" w:line="590" w:lineRule="exact"/>
        <w:ind w:firstLine="640" w:firstLineChars="200"/>
        <w:textAlignment w:val="auto"/>
        <w:rPr>
          <w:rStyle w:val="10"/>
          <w:rFonts w:hint="default" w:ascii="Times New Roman" w:hAnsi="Times New Roman" w:eastAsia="仿宋" w:cs="Times New Roman"/>
          <w:b w:val="0"/>
          <w:bCs/>
          <w:sz w:val="32"/>
          <w:szCs w:val="32"/>
          <w:lang w:eastAsia="zh-CN"/>
        </w:rPr>
      </w:pPr>
      <w:bookmarkStart w:id="50" w:name="_Toc15377213"/>
      <w:bookmarkStart w:id="51" w:name="_Toc19250"/>
      <w:bookmarkStart w:id="52" w:name="_Toc18995"/>
      <w:bookmarkStart w:id="53" w:name="_Toc15377444"/>
      <w:bookmarkStart w:id="54" w:name="_Toc15378460"/>
      <w:bookmarkStart w:id="55" w:name="_Toc10133"/>
      <w:r>
        <w:rPr>
          <w:rStyle w:val="10"/>
          <w:rFonts w:hint="default" w:ascii="Times New Roman" w:hAnsi="Times New Roman" w:eastAsia="仿宋" w:cs="Times New Roman"/>
          <w:b w:val="0"/>
          <w:bCs/>
          <w:sz w:val="32"/>
          <w:szCs w:val="32"/>
          <w:lang w:eastAsia="zh-CN"/>
        </w:rPr>
        <w:t>202</w:t>
      </w:r>
      <w:r>
        <w:rPr>
          <w:rStyle w:val="10"/>
          <w:rFonts w:hint="default" w:ascii="Times New Roman" w:hAnsi="Times New Roman" w:eastAsia="仿宋" w:cs="Times New Roman"/>
          <w:b w:val="0"/>
          <w:bCs/>
          <w:sz w:val="32"/>
          <w:szCs w:val="32"/>
          <w:lang w:val="en-US" w:eastAsia="zh-CN"/>
        </w:rPr>
        <w:t>2</w:t>
      </w:r>
      <w:r>
        <w:rPr>
          <w:rStyle w:val="10"/>
          <w:rFonts w:hint="default" w:ascii="Times New Roman" w:hAnsi="Times New Roman" w:eastAsia="仿宋" w:cs="Times New Roman"/>
          <w:b w:val="0"/>
          <w:bCs/>
          <w:sz w:val="32"/>
          <w:szCs w:val="32"/>
          <w:lang w:eastAsia="zh-CN"/>
        </w:rPr>
        <w:t>年一般公共预算支出决算数为</w:t>
      </w:r>
      <w:r>
        <w:rPr>
          <w:rStyle w:val="10"/>
          <w:rFonts w:hint="default" w:ascii="Times New Roman" w:hAnsi="Times New Roman" w:eastAsia="仿宋" w:cs="Times New Roman"/>
          <w:b w:val="0"/>
          <w:bCs/>
          <w:sz w:val="32"/>
          <w:szCs w:val="32"/>
          <w:lang w:val="en-US" w:eastAsia="zh-CN"/>
        </w:rPr>
        <w:t>52.43</w:t>
      </w:r>
      <w:r>
        <w:rPr>
          <w:rStyle w:val="10"/>
          <w:rFonts w:hint="default" w:ascii="Times New Roman" w:hAnsi="Times New Roman" w:eastAsia="仿宋" w:cs="Times New Roman"/>
          <w:b w:val="0"/>
          <w:bCs/>
          <w:sz w:val="32"/>
          <w:szCs w:val="32"/>
          <w:lang w:eastAsia="zh-CN"/>
        </w:rPr>
        <w:t>万元，完成预算100%。其中：</w:t>
      </w:r>
      <w:bookmarkEnd w:id="50"/>
      <w:bookmarkEnd w:id="51"/>
      <w:bookmarkEnd w:id="52"/>
      <w:bookmarkEnd w:id="53"/>
      <w:bookmarkEnd w:id="54"/>
      <w:bookmarkEnd w:id="55"/>
    </w:p>
    <w:p>
      <w:pPr>
        <w:pageBreakBefore w:val="0"/>
        <w:widowControl w:val="0"/>
        <w:numPr>
          <w:ilvl w:val="0"/>
          <w:numId w:val="0"/>
        </w:numPr>
        <w:kinsoku/>
        <w:wordWrap/>
        <w:overflowPunct/>
        <w:topLinePunct w:val="0"/>
        <w:bidi w:val="0"/>
        <w:spacing w:beforeAutospacing="0" w:line="590" w:lineRule="exact"/>
        <w:ind w:firstLine="640" w:firstLineChars="200"/>
        <w:textAlignment w:val="auto"/>
        <w:rPr>
          <w:rStyle w:val="10"/>
          <w:rFonts w:hint="default" w:ascii="Times New Roman" w:hAnsi="Times New Roman" w:eastAsia="仿宋" w:cs="Times New Roman"/>
          <w:b w:val="0"/>
          <w:bCs/>
          <w:sz w:val="32"/>
          <w:szCs w:val="32"/>
        </w:rPr>
      </w:pPr>
      <w:r>
        <w:rPr>
          <w:rStyle w:val="10"/>
          <w:rFonts w:hint="default" w:ascii="Times New Roman" w:hAnsi="Times New Roman" w:eastAsia="仿宋" w:cs="Times New Roman"/>
          <w:b w:val="0"/>
          <w:bCs/>
          <w:sz w:val="32"/>
          <w:szCs w:val="32"/>
          <w:lang w:val="en-US" w:eastAsia="zh-CN"/>
        </w:rPr>
        <w:t>1.</w:t>
      </w:r>
      <w:r>
        <w:rPr>
          <w:rStyle w:val="10"/>
          <w:rFonts w:hint="default" w:ascii="Times New Roman" w:hAnsi="Times New Roman" w:eastAsia="仿宋" w:cs="Times New Roman"/>
          <w:b w:val="0"/>
          <w:bCs/>
          <w:sz w:val="32"/>
          <w:szCs w:val="32"/>
        </w:rPr>
        <w:t>社会保障和就业</w:t>
      </w:r>
      <w:r>
        <w:rPr>
          <w:rStyle w:val="10"/>
          <w:rFonts w:hint="default" w:ascii="Times New Roman" w:hAnsi="Times New Roman" w:eastAsia="仿宋" w:cs="Times New Roman"/>
          <w:b w:val="0"/>
          <w:bCs/>
          <w:sz w:val="32"/>
          <w:szCs w:val="32"/>
          <w:lang w:eastAsia="zh-CN"/>
        </w:rPr>
        <w:t>支出</w:t>
      </w:r>
      <w:r>
        <w:rPr>
          <w:rStyle w:val="10"/>
          <w:rFonts w:hint="default" w:ascii="Times New Roman" w:hAnsi="Times New Roman" w:eastAsia="仿宋" w:cs="Times New Roman"/>
          <w:b w:val="0"/>
          <w:bCs/>
          <w:sz w:val="32"/>
          <w:szCs w:val="32"/>
        </w:rPr>
        <w:t>（类）行政事业单位</w:t>
      </w:r>
      <w:r>
        <w:rPr>
          <w:rStyle w:val="10"/>
          <w:rFonts w:hint="default" w:ascii="Times New Roman" w:hAnsi="Times New Roman" w:eastAsia="仿宋" w:cs="Times New Roman"/>
          <w:b w:val="0"/>
          <w:bCs/>
          <w:sz w:val="32"/>
          <w:szCs w:val="32"/>
          <w:lang w:eastAsia="zh-CN"/>
        </w:rPr>
        <w:t>养老支出</w:t>
      </w:r>
      <w:r>
        <w:rPr>
          <w:rStyle w:val="10"/>
          <w:rFonts w:hint="default" w:ascii="Times New Roman" w:hAnsi="Times New Roman" w:eastAsia="仿宋" w:cs="Times New Roman"/>
          <w:b w:val="0"/>
          <w:bCs/>
          <w:sz w:val="32"/>
          <w:szCs w:val="32"/>
        </w:rPr>
        <w:t>（款）</w:t>
      </w:r>
      <w:r>
        <w:rPr>
          <w:rStyle w:val="10"/>
          <w:rFonts w:hint="default" w:ascii="Times New Roman" w:hAnsi="Times New Roman" w:eastAsia="仿宋" w:cs="Times New Roman"/>
          <w:b w:val="0"/>
          <w:bCs/>
          <w:sz w:val="32"/>
          <w:szCs w:val="32"/>
          <w:lang w:eastAsia="zh-CN"/>
        </w:rPr>
        <w:t>行政单位离退休（项）支出决算</w:t>
      </w:r>
      <w:r>
        <w:rPr>
          <w:rStyle w:val="10"/>
          <w:rFonts w:hint="default" w:ascii="Times New Roman" w:hAnsi="Times New Roman" w:eastAsia="仿宋" w:cs="Times New Roman"/>
          <w:b w:val="0"/>
          <w:bCs/>
          <w:sz w:val="32"/>
          <w:szCs w:val="32"/>
          <w:lang w:val="en-US" w:eastAsia="zh-CN"/>
        </w:rPr>
        <w:t>0.3万元、</w:t>
      </w:r>
      <w:r>
        <w:rPr>
          <w:rStyle w:val="10"/>
          <w:rFonts w:hint="default" w:ascii="Times New Roman" w:hAnsi="Times New Roman" w:eastAsia="仿宋" w:cs="Times New Roman"/>
          <w:b w:val="0"/>
          <w:bCs/>
          <w:sz w:val="32"/>
          <w:szCs w:val="32"/>
        </w:rPr>
        <w:t>机关事业单位基本养老保险缴费支出（项）支出决算</w:t>
      </w:r>
      <w:r>
        <w:rPr>
          <w:rStyle w:val="10"/>
          <w:rFonts w:hint="default" w:ascii="Times New Roman" w:hAnsi="Times New Roman" w:eastAsia="仿宋" w:cs="Times New Roman"/>
          <w:b w:val="0"/>
          <w:bCs/>
          <w:sz w:val="32"/>
          <w:szCs w:val="32"/>
          <w:lang w:val="en-US" w:eastAsia="zh-CN"/>
        </w:rPr>
        <w:t>3.49</w:t>
      </w:r>
      <w:r>
        <w:rPr>
          <w:rStyle w:val="10"/>
          <w:rFonts w:hint="default" w:ascii="Times New Roman" w:hAnsi="Times New Roman" w:eastAsia="仿宋" w:cs="Times New Roman"/>
          <w:b w:val="0"/>
          <w:bCs/>
          <w:sz w:val="32"/>
          <w:szCs w:val="32"/>
        </w:rPr>
        <w:t>万元，完成预算100%，决算数等于预算数。</w:t>
      </w:r>
    </w:p>
    <w:p>
      <w:pPr>
        <w:pStyle w:val="11"/>
        <w:pageBreakBefore w:val="0"/>
        <w:widowControl w:val="0"/>
        <w:numPr>
          <w:ilvl w:val="0"/>
          <w:numId w:val="0"/>
        </w:numPr>
        <w:kinsoku/>
        <w:wordWrap/>
        <w:overflowPunct/>
        <w:topLinePunct w:val="0"/>
        <w:bidi w:val="0"/>
        <w:spacing w:before="0" w:beforeAutospacing="0" w:after="0" w:line="590" w:lineRule="exact"/>
        <w:ind w:firstLine="640" w:firstLineChars="200"/>
        <w:textAlignment w:val="auto"/>
        <w:rPr>
          <w:rStyle w:val="10"/>
          <w:rFonts w:hint="default" w:ascii="Times New Roman" w:hAnsi="Times New Roman" w:eastAsia="仿宋" w:cs="Times New Roman"/>
          <w:b w:val="0"/>
          <w:bCs/>
          <w:sz w:val="32"/>
          <w:szCs w:val="32"/>
        </w:rPr>
      </w:pPr>
      <w:r>
        <w:rPr>
          <w:rStyle w:val="10"/>
          <w:rFonts w:hint="default" w:ascii="Times New Roman" w:hAnsi="Times New Roman" w:eastAsia="仿宋" w:cs="Times New Roman"/>
          <w:b w:val="0"/>
          <w:bCs/>
          <w:sz w:val="32"/>
          <w:szCs w:val="32"/>
          <w:lang w:val="en-US" w:eastAsia="zh-CN"/>
        </w:rPr>
        <w:t>2.</w:t>
      </w:r>
      <w:r>
        <w:rPr>
          <w:rStyle w:val="10"/>
          <w:rFonts w:hint="default" w:ascii="Times New Roman" w:hAnsi="Times New Roman" w:eastAsia="仿宋" w:cs="Times New Roman"/>
          <w:b w:val="0"/>
          <w:bCs/>
          <w:sz w:val="32"/>
          <w:szCs w:val="32"/>
        </w:rPr>
        <w:t>社会保障和就业</w:t>
      </w:r>
      <w:r>
        <w:rPr>
          <w:rStyle w:val="10"/>
          <w:rFonts w:hint="default" w:ascii="Times New Roman" w:hAnsi="Times New Roman" w:eastAsia="仿宋" w:cs="Times New Roman"/>
          <w:b w:val="0"/>
          <w:bCs/>
          <w:sz w:val="32"/>
          <w:szCs w:val="32"/>
          <w:lang w:eastAsia="zh-CN"/>
        </w:rPr>
        <w:t>支出</w:t>
      </w:r>
      <w:r>
        <w:rPr>
          <w:rStyle w:val="10"/>
          <w:rFonts w:hint="default" w:ascii="Times New Roman" w:hAnsi="Times New Roman" w:eastAsia="仿宋" w:cs="Times New Roman"/>
          <w:b w:val="0"/>
          <w:bCs/>
          <w:sz w:val="32"/>
          <w:szCs w:val="32"/>
        </w:rPr>
        <w:t>（类）</w:t>
      </w:r>
      <w:r>
        <w:rPr>
          <w:rStyle w:val="10"/>
          <w:rFonts w:hint="default" w:ascii="Times New Roman" w:hAnsi="Times New Roman" w:eastAsia="仿宋" w:cs="Times New Roman"/>
          <w:b w:val="0"/>
          <w:bCs/>
          <w:sz w:val="32"/>
          <w:szCs w:val="32"/>
          <w:lang w:eastAsia="zh-CN"/>
        </w:rPr>
        <w:t>红十字事业（款）行政运行（项）支出决算</w:t>
      </w:r>
      <w:r>
        <w:rPr>
          <w:rStyle w:val="10"/>
          <w:rFonts w:hint="default" w:ascii="Times New Roman" w:hAnsi="Times New Roman" w:eastAsia="仿宋" w:cs="Times New Roman"/>
          <w:b w:val="0"/>
          <w:bCs/>
          <w:sz w:val="32"/>
          <w:szCs w:val="32"/>
          <w:lang w:val="en-US" w:eastAsia="zh-CN"/>
        </w:rPr>
        <w:t>32.64万元、一般行政管理事务（项）</w:t>
      </w:r>
      <w:r>
        <w:rPr>
          <w:rStyle w:val="10"/>
          <w:rFonts w:hint="default" w:ascii="Times New Roman" w:hAnsi="Times New Roman" w:eastAsia="仿宋" w:cs="Times New Roman"/>
          <w:b w:val="0"/>
          <w:bCs/>
          <w:sz w:val="32"/>
          <w:szCs w:val="32"/>
          <w:lang w:eastAsia="zh-CN"/>
        </w:rPr>
        <w:t>支出决算</w:t>
      </w:r>
      <w:r>
        <w:rPr>
          <w:rStyle w:val="10"/>
          <w:rFonts w:hint="default" w:ascii="Times New Roman" w:hAnsi="Times New Roman" w:eastAsia="仿宋" w:cs="Times New Roman"/>
          <w:b w:val="0"/>
          <w:bCs/>
          <w:sz w:val="32"/>
          <w:szCs w:val="32"/>
          <w:lang w:val="en-US" w:eastAsia="zh-CN"/>
        </w:rPr>
        <w:t>10万元、其他红十字事业支出（项）</w:t>
      </w:r>
      <w:r>
        <w:rPr>
          <w:rStyle w:val="10"/>
          <w:rFonts w:hint="default" w:ascii="Times New Roman" w:hAnsi="Times New Roman" w:eastAsia="仿宋" w:cs="Times New Roman"/>
          <w:b w:val="0"/>
          <w:bCs/>
          <w:sz w:val="32"/>
          <w:szCs w:val="32"/>
          <w:lang w:eastAsia="zh-CN"/>
        </w:rPr>
        <w:t>支出决算</w:t>
      </w:r>
      <w:r>
        <w:rPr>
          <w:rStyle w:val="10"/>
          <w:rFonts w:hint="default" w:ascii="Times New Roman" w:hAnsi="Times New Roman" w:eastAsia="仿宋" w:cs="Times New Roman"/>
          <w:b w:val="0"/>
          <w:bCs/>
          <w:sz w:val="32"/>
          <w:szCs w:val="32"/>
          <w:lang w:val="en-US" w:eastAsia="zh-CN"/>
        </w:rPr>
        <w:t>1.05万元，</w:t>
      </w:r>
      <w:r>
        <w:rPr>
          <w:rStyle w:val="10"/>
          <w:rFonts w:hint="default" w:ascii="Times New Roman" w:hAnsi="Times New Roman" w:eastAsia="仿宋" w:cs="Times New Roman"/>
          <w:b w:val="0"/>
          <w:bCs/>
          <w:sz w:val="32"/>
          <w:szCs w:val="32"/>
        </w:rPr>
        <w:t>完成预算100%，决算数等于预算数。</w:t>
      </w:r>
    </w:p>
    <w:p>
      <w:pPr>
        <w:pStyle w:val="11"/>
        <w:pageBreakBefore w:val="0"/>
        <w:widowControl w:val="0"/>
        <w:numPr>
          <w:ilvl w:val="0"/>
          <w:numId w:val="0"/>
        </w:numPr>
        <w:kinsoku/>
        <w:wordWrap/>
        <w:overflowPunct/>
        <w:topLinePunct w:val="0"/>
        <w:bidi w:val="0"/>
        <w:spacing w:before="0" w:beforeAutospacing="0" w:after="0" w:line="590" w:lineRule="exact"/>
        <w:ind w:firstLine="640" w:firstLineChars="200"/>
        <w:textAlignment w:val="auto"/>
        <w:rPr>
          <w:rStyle w:val="10"/>
          <w:rFonts w:hint="default" w:ascii="Times New Roman" w:hAnsi="Times New Roman" w:eastAsia="仿宋" w:cs="Times New Roman"/>
          <w:b w:val="0"/>
          <w:bCs/>
          <w:sz w:val="32"/>
          <w:szCs w:val="32"/>
          <w:lang w:val="en-US" w:eastAsia="zh-CN"/>
        </w:rPr>
      </w:pPr>
      <w:r>
        <w:rPr>
          <w:rStyle w:val="10"/>
          <w:rFonts w:hint="default" w:ascii="Times New Roman" w:hAnsi="Times New Roman" w:eastAsia="仿宋" w:cs="Times New Roman"/>
          <w:b w:val="0"/>
          <w:bCs/>
          <w:sz w:val="32"/>
          <w:szCs w:val="32"/>
          <w:lang w:val="en-US" w:eastAsia="zh-CN"/>
        </w:rPr>
        <w:t>3.</w:t>
      </w:r>
      <w:r>
        <w:rPr>
          <w:rStyle w:val="10"/>
          <w:rFonts w:hint="default" w:ascii="Times New Roman" w:hAnsi="Times New Roman" w:eastAsia="仿宋" w:cs="Times New Roman"/>
          <w:b w:val="0"/>
          <w:bCs/>
          <w:sz w:val="32"/>
          <w:szCs w:val="32"/>
        </w:rPr>
        <w:t>社会保障和就业</w:t>
      </w:r>
      <w:r>
        <w:rPr>
          <w:rStyle w:val="10"/>
          <w:rFonts w:hint="default" w:ascii="Times New Roman" w:hAnsi="Times New Roman" w:eastAsia="仿宋" w:cs="Times New Roman"/>
          <w:b w:val="0"/>
          <w:bCs/>
          <w:sz w:val="32"/>
          <w:szCs w:val="32"/>
          <w:lang w:eastAsia="zh-CN"/>
        </w:rPr>
        <w:t>支出</w:t>
      </w:r>
      <w:r>
        <w:rPr>
          <w:rStyle w:val="10"/>
          <w:rFonts w:hint="default" w:ascii="Times New Roman" w:hAnsi="Times New Roman" w:eastAsia="仿宋" w:cs="Times New Roman"/>
          <w:b w:val="0"/>
          <w:bCs/>
          <w:sz w:val="32"/>
          <w:szCs w:val="32"/>
        </w:rPr>
        <w:t>（类）</w:t>
      </w:r>
      <w:r>
        <w:rPr>
          <w:rStyle w:val="10"/>
          <w:rFonts w:hint="default" w:ascii="Times New Roman" w:hAnsi="Times New Roman" w:eastAsia="仿宋" w:cs="Times New Roman"/>
          <w:b w:val="0"/>
          <w:bCs/>
          <w:sz w:val="32"/>
          <w:szCs w:val="32"/>
          <w:lang w:eastAsia="zh-CN"/>
        </w:rPr>
        <w:t>其他社会保障和就业支出（款）其他社会保障和就业支出（项）支出决算</w:t>
      </w:r>
      <w:r>
        <w:rPr>
          <w:rStyle w:val="10"/>
          <w:rFonts w:hint="default" w:ascii="Times New Roman" w:hAnsi="Times New Roman" w:eastAsia="仿宋" w:cs="Times New Roman"/>
          <w:b w:val="0"/>
          <w:bCs/>
          <w:sz w:val="32"/>
          <w:szCs w:val="32"/>
          <w:lang w:val="en-US" w:eastAsia="zh-CN"/>
        </w:rPr>
        <w:t>0.05万元，</w:t>
      </w:r>
      <w:r>
        <w:rPr>
          <w:rStyle w:val="10"/>
          <w:rFonts w:hint="default" w:ascii="Times New Roman" w:hAnsi="Times New Roman" w:eastAsia="仿宋" w:cs="Times New Roman"/>
          <w:b w:val="0"/>
          <w:bCs/>
          <w:sz w:val="32"/>
          <w:szCs w:val="32"/>
        </w:rPr>
        <w:t>完成预算100%，决算数等于预算数。</w:t>
      </w:r>
    </w:p>
    <w:p>
      <w:pPr>
        <w:pageBreakBefore w:val="0"/>
        <w:widowControl w:val="0"/>
        <w:kinsoku/>
        <w:wordWrap/>
        <w:overflowPunct/>
        <w:topLinePunct w:val="0"/>
        <w:bidi w:val="0"/>
        <w:spacing w:beforeAutospacing="0" w:line="590" w:lineRule="exact"/>
        <w:ind w:firstLine="640" w:firstLineChars="200"/>
        <w:textAlignment w:val="auto"/>
        <w:rPr>
          <w:rStyle w:val="10"/>
          <w:rFonts w:hint="default" w:ascii="Times New Roman" w:hAnsi="Times New Roman" w:eastAsia="仿宋" w:cs="Times New Roman"/>
          <w:b w:val="0"/>
          <w:bCs/>
          <w:sz w:val="32"/>
          <w:szCs w:val="32"/>
        </w:rPr>
      </w:pPr>
      <w:r>
        <w:rPr>
          <w:rStyle w:val="10"/>
          <w:rFonts w:hint="default" w:ascii="Times New Roman" w:hAnsi="Times New Roman" w:eastAsia="仿宋" w:cs="Times New Roman"/>
          <w:b w:val="0"/>
          <w:bCs/>
          <w:sz w:val="32"/>
          <w:szCs w:val="32"/>
          <w:lang w:val="en-US" w:eastAsia="zh-CN"/>
        </w:rPr>
        <w:t>4</w:t>
      </w:r>
      <w:r>
        <w:rPr>
          <w:rStyle w:val="10"/>
          <w:rFonts w:hint="default" w:ascii="Times New Roman" w:hAnsi="Times New Roman" w:eastAsia="仿宋" w:cs="Times New Roman"/>
          <w:b w:val="0"/>
          <w:bCs/>
          <w:sz w:val="32"/>
          <w:szCs w:val="32"/>
        </w:rPr>
        <w:t>.卫生健康支出（类）行政事业单位医疗（款）行政单位医疗（项）支出决算</w:t>
      </w:r>
      <w:r>
        <w:rPr>
          <w:rStyle w:val="10"/>
          <w:rFonts w:hint="default" w:ascii="Times New Roman" w:hAnsi="Times New Roman" w:eastAsia="仿宋" w:cs="Times New Roman"/>
          <w:b w:val="0"/>
          <w:bCs/>
          <w:sz w:val="32"/>
          <w:szCs w:val="32"/>
          <w:lang w:val="en-US" w:eastAsia="zh-CN"/>
        </w:rPr>
        <w:t>1.22</w:t>
      </w:r>
      <w:r>
        <w:rPr>
          <w:rStyle w:val="10"/>
          <w:rFonts w:hint="default" w:ascii="Times New Roman" w:hAnsi="Times New Roman" w:eastAsia="仿宋" w:cs="Times New Roman"/>
          <w:b w:val="0"/>
          <w:bCs/>
          <w:sz w:val="32"/>
          <w:szCs w:val="32"/>
        </w:rPr>
        <w:t>万元</w:t>
      </w:r>
      <w:r>
        <w:rPr>
          <w:rStyle w:val="10"/>
          <w:rFonts w:hint="default" w:ascii="Times New Roman" w:hAnsi="Times New Roman" w:eastAsia="仿宋" w:cs="Times New Roman"/>
          <w:b w:val="0"/>
          <w:bCs/>
          <w:sz w:val="32"/>
          <w:szCs w:val="32"/>
          <w:lang w:eastAsia="zh-CN"/>
        </w:rPr>
        <w:t>、公务员医疗补助（项）</w:t>
      </w:r>
      <w:r>
        <w:rPr>
          <w:rStyle w:val="10"/>
          <w:rFonts w:hint="default" w:ascii="Times New Roman" w:hAnsi="Times New Roman" w:eastAsia="仿宋" w:cs="Times New Roman"/>
          <w:b w:val="0"/>
          <w:bCs/>
          <w:sz w:val="32"/>
          <w:szCs w:val="32"/>
        </w:rPr>
        <w:t>支出决算</w:t>
      </w:r>
      <w:r>
        <w:rPr>
          <w:rStyle w:val="10"/>
          <w:rFonts w:hint="default" w:ascii="Times New Roman" w:hAnsi="Times New Roman" w:eastAsia="仿宋" w:cs="Times New Roman"/>
          <w:b w:val="0"/>
          <w:bCs/>
          <w:sz w:val="32"/>
          <w:szCs w:val="32"/>
          <w:lang w:val="en-US" w:eastAsia="zh-CN"/>
        </w:rPr>
        <w:t>0.2</w:t>
      </w:r>
      <w:r>
        <w:rPr>
          <w:rStyle w:val="10"/>
          <w:rFonts w:hint="default" w:ascii="Times New Roman" w:hAnsi="Times New Roman" w:eastAsia="仿宋" w:cs="Times New Roman"/>
          <w:b w:val="0"/>
          <w:bCs/>
          <w:sz w:val="32"/>
          <w:szCs w:val="32"/>
        </w:rPr>
        <w:t>万元，完成预算100%，决算数等于预算数。</w:t>
      </w:r>
    </w:p>
    <w:p>
      <w:pPr>
        <w:pageBreakBefore w:val="0"/>
        <w:widowControl w:val="0"/>
        <w:kinsoku/>
        <w:wordWrap/>
        <w:overflowPunct/>
        <w:topLinePunct w:val="0"/>
        <w:bidi w:val="0"/>
        <w:spacing w:beforeAutospacing="0" w:line="590" w:lineRule="exact"/>
        <w:ind w:firstLine="640" w:firstLineChars="200"/>
        <w:textAlignment w:val="auto"/>
        <w:rPr>
          <w:rStyle w:val="10"/>
          <w:rFonts w:hint="default" w:ascii="Times New Roman" w:hAnsi="Times New Roman" w:eastAsia="仿宋" w:cs="Times New Roman"/>
          <w:b w:val="0"/>
          <w:bCs/>
          <w:sz w:val="32"/>
          <w:szCs w:val="32"/>
        </w:rPr>
      </w:pPr>
      <w:r>
        <w:rPr>
          <w:rStyle w:val="10"/>
          <w:rFonts w:hint="default" w:ascii="Times New Roman" w:hAnsi="Times New Roman" w:eastAsia="仿宋" w:cs="Times New Roman"/>
          <w:b w:val="0"/>
          <w:bCs/>
          <w:sz w:val="32"/>
          <w:szCs w:val="32"/>
        </w:rPr>
        <w:t>5.住房保障支出（类）住房改革支出（款）住房公积金（项）支出决算</w:t>
      </w:r>
      <w:r>
        <w:rPr>
          <w:rStyle w:val="10"/>
          <w:rFonts w:hint="default" w:ascii="Times New Roman" w:hAnsi="Times New Roman" w:eastAsia="仿宋" w:cs="Times New Roman"/>
          <w:b w:val="0"/>
          <w:bCs/>
          <w:sz w:val="32"/>
          <w:szCs w:val="32"/>
          <w:lang w:val="en-US" w:eastAsia="zh-CN"/>
        </w:rPr>
        <w:t>3.48</w:t>
      </w:r>
      <w:r>
        <w:rPr>
          <w:rStyle w:val="10"/>
          <w:rFonts w:hint="default" w:ascii="Times New Roman" w:hAnsi="Times New Roman" w:eastAsia="仿宋" w:cs="Times New Roman"/>
          <w:b w:val="0"/>
          <w:bCs/>
          <w:sz w:val="32"/>
          <w:szCs w:val="32"/>
        </w:rPr>
        <w:t>万元；完成预算100%，决算数等于预算数。</w:t>
      </w:r>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方正仿宋简体" w:cs="Times New Roman"/>
          <w:sz w:val="32"/>
          <w:szCs w:val="32"/>
        </w:rPr>
      </w:pPr>
      <w:bookmarkStart w:id="56" w:name="_Toc26616"/>
      <w:bookmarkStart w:id="57" w:name="_Toc14629"/>
      <w:bookmarkStart w:id="58" w:name="_Toc19919"/>
      <w:bookmarkStart w:id="59" w:name="_Toc15396608"/>
      <w:bookmarkStart w:id="60" w:name="_Toc15377214"/>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13"/>
          <w:rFonts w:hint="default" w:ascii="Times New Roman" w:hAnsi="Times New Roman" w:eastAsia="黑体" w:cs="Times New Roman"/>
          <w:b w:val="0"/>
        </w:rPr>
        <w:t>般公共预算财政拨款基本支出决算情况说明</w:t>
      </w:r>
      <w:bookmarkEnd w:id="56"/>
      <w:bookmarkEnd w:id="57"/>
      <w:bookmarkEnd w:id="58"/>
      <w:bookmarkEnd w:id="59"/>
      <w:bookmarkEnd w:id="60"/>
    </w:p>
    <w:p>
      <w:pPr>
        <w:pageBreakBefore w:val="0"/>
        <w:widowControl w:val="0"/>
        <w:kinsoku/>
        <w:wordWrap/>
        <w:overflowPunct/>
        <w:topLinePunct w:val="0"/>
        <w:bidi w:val="0"/>
        <w:spacing w:beforeAutospacing="0" w:line="59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年一般公共预算财政拨款基本支出</w:t>
      </w:r>
      <w:r>
        <w:rPr>
          <w:rFonts w:hint="default" w:ascii="Times New Roman" w:hAnsi="Times New Roman" w:eastAsia="仿宋" w:cs="Times New Roman"/>
          <w:color w:val="000000"/>
          <w:sz w:val="32"/>
          <w:szCs w:val="32"/>
          <w:lang w:val="en-US" w:eastAsia="zh-CN"/>
        </w:rPr>
        <w:t>41.38</w:t>
      </w:r>
      <w:r>
        <w:rPr>
          <w:rFonts w:hint="default" w:ascii="Times New Roman" w:hAnsi="Times New Roman" w:eastAsia="仿宋" w:cs="Times New Roman"/>
          <w:color w:val="000000"/>
          <w:sz w:val="32"/>
          <w:szCs w:val="32"/>
        </w:rPr>
        <w:t>万元，其中：</w:t>
      </w:r>
    </w:p>
    <w:p>
      <w:pPr>
        <w:pageBreakBefore w:val="0"/>
        <w:widowControl w:val="0"/>
        <w:kinsoku/>
        <w:wordWrap/>
        <w:overflowPunct/>
        <w:topLinePunct w:val="0"/>
        <w:bidi w:val="0"/>
        <w:spacing w:beforeAutospacing="0" w:line="59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w:t>
      </w:r>
      <w:r>
        <w:rPr>
          <w:rFonts w:hint="default" w:ascii="Times New Roman" w:hAnsi="Times New Roman" w:eastAsia="仿宋" w:cs="Times New Roman"/>
          <w:color w:val="000000"/>
          <w:sz w:val="32"/>
          <w:szCs w:val="32"/>
          <w:lang w:val="en-US" w:eastAsia="zh-CN"/>
        </w:rPr>
        <w:t>36.53</w:t>
      </w:r>
      <w:r>
        <w:rPr>
          <w:rFonts w:hint="default" w:ascii="Times New Roman" w:hAnsi="Times New Roman" w:eastAsia="仿宋" w:cs="Times New Roman"/>
          <w:color w:val="000000"/>
          <w:sz w:val="32"/>
          <w:szCs w:val="32"/>
        </w:rPr>
        <w:t>万元，主要包括：基本工资</w:t>
      </w:r>
      <w:r>
        <w:rPr>
          <w:rFonts w:hint="default" w:ascii="Times New Roman" w:hAnsi="Times New Roman" w:eastAsia="仿宋" w:cs="Times New Roman"/>
          <w:color w:val="000000"/>
          <w:sz w:val="32"/>
          <w:szCs w:val="32"/>
          <w:lang w:val="en-US" w:eastAsia="zh-CN"/>
        </w:rPr>
        <w:t>9.18</w:t>
      </w:r>
      <w:r>
        <w:rPr>
          <w:rFonts w:hint="default" w:ascii="Times New Roman" w:hAnsi="Times New Roman" w:eastAsia="仿宋" w:cs="Times New Roman"/>
          <w:color w:val="000000"/>
          <w:sz w:val="32"/>
          <w:szCs w:val="32"/>
        </w:rPr>
        <w:t>万元、津贴补贴</w:t>
      </w:r>
      <w:r>
        <w:rPr>
          <w:rFonts w:hint="default" w:ascii="Times New Roman" w:hAnsi="Times New Roman" w:eastAsia="仿宋" w:cs="Times New Roman"/>
          <w:color w:val="000000"/>
          <w:sz w:val="32"/>
          <w:szCs w:val="32"/>
          <w:lang w:val="en-US" w:eastAsia="zh-CN"/>
        </w:rPr>
        <w:t>6.83</w:t>
      </w:r>
      <w:r>
        <w:rPr>
          <w:rFonts w:hint="default" w:ascii="Times New Roman" w:hAnsi="Times New Roman" w:eastAsia="仿宋" w:cs="Times New Roman"/>
          <w:color w:val="000000"/>
          <w:sz w:val="32"/>
          <w:szCs w:val="32"/>
        </w:rPr>
        <w:t>万元、奖金</w:t>
      </w:r>
      <w:r>
        <w:rPr>
          <w:rFonts w:hint="default" w:ascii="Times New Roman" w:hAnsi="Times New Roman" w:eastAsia="仿宋" w:cs="Times New Roman"/>
          <w:color w:val="000000"/>
          <w:sz w:val="32"/>
          <w:szCs w:val="32"/>
          <w:lang w:val="en-US" w:eastAsia="zh-CN"/>
        </w:rPr>
        <w:t>11</w:t>
      </w:r>
      <w:r>
        <w:rPr>
          <w:rFonts w:hint="default" w:ascii="Times New Roman" w:hAnsi="Times New Roman" w:eastAsia="仿宋" w:cs="Times New Roman"/>
          <w:color w:val="000000"/>
          <w:sz w:val="32"/>
          <w:szCs w:val="32"/>
        </w:rPr>
        <w:t>万元、机关事业单位基本养老保险缴费</w:t>
      </w:r>
      <w:r>
        <w:rPr>
          <w:rFonts w:hint="default" w:ascii="Times New Roman" w:hAnsi="Times New Roman" w:eastAsia="仿宋" w:cs="Times New Roman"/>
          <w:color w:val="000000"/>
          <w:sz w:val="32"/>
          <w:szCs w:val="32"/>
          <w:lang w:val="en-US" w:eastAsia="zh-CN"/>
        </w:rPr>
        <w:t>3.49</w:t>
      </w:r>
      <w:r>
        <w:rPr>
          <w:rFonts w:hint="default" w:ascii="Times New Roman" w:hAnsi="Times New Roman" w:eastAsia="仿宋" w:cs="Times New Roman"/>
          <w:color w:val="000000"/>
          <w:sz w:val="32"/>
          <w:szCs w:val="32"/>
        </w:rPr>
        <w:t>万元、职工基本医疗保险缴费1</w:t>
      </w:r>
      <w:r>
        <w:rPr>
          <w:rFonts w:hint="default"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rPr>
        <w:t>万元、公务员医疗补助缴费0.</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万元、其他社会保障缴费0.</w:t>
      </w:r>
      <w:r>
        <w:rPr>
          <w:rFonts w:hint="default" w:ascii="Times New Roman" w:hAnsi="Times New Roman" w:eastAsia="仿宋" w:cs="Times New Roman"/>
          <w:color w:val="000000"/>
          <w:sz w:val="32"/>
          <w:szCs w:val="32"/>
          <w:lang w:val="en-US" w:eastAsia="zh-CN"/>
        </w:rPr>
        <w:t>05</w:t>
      </w:r>
      <w:r>
        <w:rPr>
          <w:rFonts w:hint="default" w:ascii="Times New Roman" w:hAnsi="Times New Roman" w:eastAsia="仿宋" w:cs="Times New Roman"/>
          <w:color w:val="000000"/>
          <w:sz w:val="32"/>
          <w:szCs w:val="32"/>
        </w:rPr>
        <w:t>万元、住房公积金</w:t>
      </w:r>
      <w:r>
        <w:rPr>
          <w:rFonts w:hint="default" w:ascii="Times New Roman" w:hAnsi="Times New Roman" w:eastAsia="仿宋" w:cs="Times New Roman"/>
          <w:color w:val="000000"/>
          <w:sz w:val="32"/>
          <w:szCs w:val="32"/>
          <w:lang w:val="en-US" w:eastAsia="zh-CN"/>
        </w:rPr>
        <w:t>3.48</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其他工资福利支出</w:t>
      </w:r>
      <w:r>
        <w:rPr>
          <w:rFonts w:hint="default" w:ascii="Times New Roman" w:hAnsi="Times New Roman" w:eastAsia="仿宋" w:cs="Times New Roman"/>
          <w:color w:val="000000"/>
          <w:sz w:val="32"/>
          <w:szCs w:val="32"/>
        </w:rPr>
        <w:t>0.7</w:t>
      </w:r>
      <w:r>
        <w:rPr>
          <w:rFonts w:hint="default" w:ascii="Times New Roman" w:hAnsi="Times New Roman" w:eastAsia="仿宋" w:cs="Times New Roman"/>
          <w:color w:val="000000"/>
          <w:sz w:val="32"/>
          <w:szCs w:val="32"/>
          <w:lang w:val="en-US" w:eastAsia="zh-CN"/>
        </w:rPr>
        <w:t>7</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、奖励金</w:t>
      </w:r>
      <w:r>
        <w:rPr>
          <w:rFonts w:hint="default" w:ascii="Times New Roman" w:hAnsi="Times New Roman" w:eastAsia="仿宋" w:cs="Times New Roman"/>
          <w:color w:val="000000"/>
          <w:sz w:val="32"/>
          <w:szCs w:val="32"/>
          <w:lang w:val="en-US" w:eastAsia="zh-CN"/>
        </w:rPr>
        <w:t>0.01万元、其他对个人和家庭的补助0.3万元</w:t>
      </w:r>
      <w:r>
        <w:rPr>
          <w:rFonts w:hint="default" w:ascii="Times New Roman" w:hAnsi="Times New Roman" w:eastAsia="仿宋" w:cs="Times New Roman"/>
          <w:color w:val="000000"/>
          <w:sz w:val="32"/>
          <w:szCs w:val="32"/>
        </w:rPr>
        <w:t>。</w:t>
      </w:r>
    </w:p>
    <w:p>
      <w:pPr>
        <w:pageBreakBefore w:val="0"/>
        <w:widowControl w:val="0"/>
        <w:kinsoku/>
        <w:wordWrap/>
        <w:overflowPunct/>
        <w:topLinePunct w:val="0"/>
        <w:bidi w:val="0"/>
        <w:spacing w:beforeAutospacing="0" w:line="590" w:lineRule="exact"/>
        <w:ind w:firstLine="645"/>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公用经费4.8</w:t>
      </w:r>
      <w:r>
        <w:rPr>
          <w:rFonts w:hint="default"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rPr>
        <w:t>万元，主要包括：办公费0.</w:t>
      </w:r>
      <w:r>
        <w:rPr>
          <w:rFonts w:hint="default" w:ascii="Times New Roman" w:hAnsi="Times New Roman" w:eastAsia="仿宋" w:cs="Times New Roman"/>
          <w:color w:val="000000"/>
          <w:sz w:val="32"/>
          <w:szCs w:val="32"/>
          <w:lang w:val="en-US" w:eastAsia="zh-CN"/>
        </w:rPr>
        <w:t>22</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印刷</w:t>
      </w:r>
      <w:r>
        <w:rPr>
          <w:rFonts w:hint="default" w:ascii="Times New Roman" w:hAnsi="Times New Roman" w:eastAsia="仿宋" w:cs="Times New Roman"/>
          <w:color w:val="000000"/>
          <w:sz w:val="32"/>
          <w:szCs w:val="32"/>
        </w:rPr>
        <w:t>费0.</w:t>
      </w:r>
      <w:r>
        <w:rPr>
          <w:rFonts w:hint="default" w:ascii="Times New Roman" w:hAnsi="Times New Roman" w:eastAsia="仿宋" w:cs="Times New Roman"/>
          <w:color w:val="000000"/>
          <w:sz w:val="32"/>
          <w:szCs w:val="32"/>
          <w:lang w:val="en-US" w:eastAsia="zh-CN"/>
        </w:rPr>
        <w:t>03</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邮电费</w:t>
      </w:r>
      <w:r>
        <w:rPr>
          <w:rFonts w:hint="default" w:ascii="Times New Roman" w:hAnsi="Times New Roman" w:eastAsia="仿宋" w:cs="Times New Roman"/>
          <w:color w:val="000000"/>
          <w:sz w:val="32"/>
          <w:szCs w:val="32"/>
          <w:lang w:val="en-US" w:eastAsia="zh-CN"/>
        </w:rPr>
        <w:t>0.04万元、差旅费0.77万元、维修（护）费0.51万元、培训费0.02万元、劳务费0.47万元、</w:t>
      </w:r>
      <w:r>
        <w:rPr>
          <w:rFonts w:hint="default" w:ascii="Times New Roman" w:hAnsi="Times New Roman" w:eastAsia="仿宋" w:cs="Times New Roman"/>
          <w:color w:val="000000"/>
          <w:sz w:val="32"/>
          <w:szCs w:val="32"/>
        </w:rPr>
        <w:t>工会经费0.</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1万元、福利费</w:t>
      </w:r>
      <w:r>
        <w:rPr>
          <w:rFonts w:hint="default" w:ascii="Times New Roman" w:hAnsi="Times New Roman" w:eastAsia="仿宋" w:cs="Times New Roman"/>
          <w:color w:val="000000"/>
          <w:sz w:val="32"/>
          <w:szCs w:val="32"/>
          <w:lang w:val="en-US" w:eastAsia="zh-CN"/>
        </w:rPr>
        <w:t>0.48</w:t>
      </w:r>
      <w:r>
        <w:rPr>
          <w:rFonts w:hint="default" w:ascii="Times New Roman" w:hAnsi="Times New Roman" w:eastAsia="仿宋" w:cs="Times New Roman"/>
          <w:color w:val="000000"/>
          <w:sz w:val="32"/>
          <w:szCs w:val="32"/>
        </w:rPr>
        <w:t>万元、其他交通费1.</w:t>
      </w:r>
      <w:r>
        <w:rPr>
          <w:rFonts w:hint="default" w:ascii="Times New Roman" w:hAnsi="Times New Roman" w:eastAsia="仿宋" w:cs="Times New Roman"/>
          <w:color w:val="000000"/>
          <w:sz w:val="32"/>
          <w:szCs w:val="32"/>
          <w:lang w:val="en-US" w:eastAsia="zh-CN"/>
        </w:rPr>
        <w:t>91</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000000"/>
          <w:sz w:val="32"/>
          <w:szCs w:val="32"/>
          <w:lang w:eastAsia="zh-CN"/>
        </w:rPr>
        <w:t>、其他商品和服务支出</w:t>
      </w:r>
      <w:r>
        <w:rPr>
          <w:rFonts w:hint="default" w:ascii="Times New Roman" w:hAnsi="Times New Roman" w:eastAsia="仿宋" w:cs="Times New Roman"/>
          <w:color w:val="000000"/>
          <w:sz w:val="32"/>
          <w:szCs w:val="32"/>
          <w:lang w:val="en-US" w:eastAsia="zh-CN"/>
        </w:rPr>
        <w:t>0.09万元</w:t>
      </w:r>
      <w:r>
        <w:rPr>
          <w:rFonts w:hint="default" w:ascii="Times New Roman" w:hAnsi="Times New Roman" w:eastAsia="仿宋" w:cs="Times New Roman"/>
          <w:color w:val="000000"/>
          <w:sz w:val="32"/>
          <w:szCs w:val="32"/>
        </w:rPr>
        <w:t>。</w:t>
      </w:r>
    </w:p>
    <w:p>
      <w:pPr>
        <w:pageBreakBefore w:val="0"/>
        <w:widowControl w:val="0"/>
        <w:kinsoku/>
        <w:wordWrap/>
        <w:overflowPunct/>
        <w:topLinePunct w:val="0"/>
        <w:bidi w:val="0"/>
        <w:spacing w:beforeAutospacing="0" w:line="590" w:lineRule="exact"/>
        <w:ind w:firstLine="640"/>
        <w:textAlignment w:val="auto"/>
        <w:outlineLvl w:val="1"/>
        <w:rPr>
          <w:rStyle w:val="13"/>
          <w:rFonts w:hint="default" w:ascii="Times New Roman" w:hAnsi="Times New Roman" w:eastAsia="黑体" w:cs="Times New Roman"/>
          <w:b w:val="0"/>
        </w:rPr>
      </w:pPr>
      <w:bookmarkStart w:id="61" w:name="_Toc15377215"/>
      <w:bookmarkStart w:id="62" w:name="_Toc112942555"/>
      <w:bookmarkStart w:id="63" w:name="_Toc15396609"/>
      <w:r>
        <w:rPr>
          <w:rFonts w:hint="default" w:ascii="Times New Roman" w:hAnsi="Times New Roman" w:eastAsia="黑体" w:cs="Times New Roman"/>
          <w:color w:val="000000"/>
          <w:sz w:val="32"/>
          <w:szCs w:val="32"/>
        </w:rPr>
        <w:t>七、</w:t>
      </w:r>
      <w:r>
        <w:rPr>
          <w:rStyle w:val="13"/>
          <w:rFonts w:hint="default" w:ascii="Times New Roman" w:hAnsi="Times New Roman" w:eastAsia="黑体" w:cs="Times New Roman"/>
        </w:rPr>
        <w:t>“</w:t>
      </w:r>
      <w:r>
        <w:rPr>
          <w:rStyle w:val="13"/>
          <w:rFonts w:hint="default" w:ascii="Times New Roman" w:hAnsi="Times New Roman" w:eastAsia="黑体" w:cs="Times New Roman"/>
          <w:b w:val="0"/>
        </w:rPr>
        <w:t>三公”经费财政拨款支出决算情况说明</w:t>
      </w:r>
      <w:bookmarkEnd w:id="61"/>
      <w:bookmarkEnd w:id="62"/>
      <w:bookmarkEnd w:id="63"/>
    </w:p>
    <w:p>
      <w:pPr>
        <w:pageBreakBefore w:val="0"/>
        <w:widowControl w:val="0"/>
        <w:kinsoku/>
        <w:wordWrap/>
        <w:overflowPunct/>
        <w:topLinePunct w:val="0"/>
        <w:bidi w:val="0"/>
        <w:spacing w:beforeAutospacing="0" w:line="590" w:lineRule="exact"/>
        <w:ind w:firstLine="643" w:firstLineChars="200"/>
        <w:textAlignment w:val="auto"/>
        <w:outlineLvl w:val="2"/>
        <w:rPr>
          <w:rFonts w:hint="default" w:ascii="Times New Roman" w:hAnsi="Times New Roman" w:eastAsia="方正楷体简体" w:cs="Times New Roman"/>
          <w:b/>
          <w:color w:val="000000"/>
          <w:sz w:val="32"/>
          <w:szCs w:val="32"/>
        </w:rPr>
      </w:pPr>
      <w:bookmarkStart w:id="64" w:name="_Toc112942556"/>
      <w:bookmarkStart w:id="65" w:name="_Toc15377216"/>
      <w:r>
        <w:rPr>
          <w:rFonts w:hint="default" w:ascii="Times New Roman" w:hAnsi="Times New Roman" w:eastAsia="方正楷体简体" w:cs="Times New Roman"/>
          <w:b/>
          <w:color w:val="000000"/>
          <w:sz w:val="32"/>
          <w:szCs w:val="32"/>
        </w:rPr>
        <w:t>（一）“三公”经费财政拨款支出决算总体情况说明</w:t>
      </w:r>
      <w:bookmarkEnd w:id="64"/>
      <w:bookmarkEnd w:id="65"/>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年“三公”经费财政拨款支出决算为0万元，完成预算0%，决算数小于预算数的主要原因是</w:t>
      </w:r>
      <w:r>
        <w:rPr>
          <w:rFonts w:hint="default" w:ascii="Times New Roman" w:hAnsi="Times New Roman" w:eastAsia="方正仿宋简体" w:cs="Times New Roman"/>
          <w:sz w:val="33"/>
          <w:szCs w:val="33"/>
        </w:rPr>
        <w:t>无公车及未安排接待</w:t>
      </w:r>
      <w:r>
        <w:rPr>
          <w:rFonts w:hint="default" w:ascii="Times New Roman" w:hAnsi="Times New Roman" w:eastAsia="仿宋" w:cs="Times New Roman"/>
          <w:color w:val="000000"/>
          <w:sz w:val="32"/>
          <w:szCs w:val="32"/>
        </w:rPr>
        <w:t>。</w:t>
      </w:r>
    </w:p>
    <w:p>
      <w:pPr>
        <w:pageBreakBefore w:val="0"/>
        <w:widowControl w:val="0"/>
        <w:kinsoku/>
        <w:wordWrap/>
        <w:overflowPunct/>
        <w:topLinePunct w:val="0"/>
        <w:bidi w:val="0"/>
        <w:spacing w:beforeAutospacing="0" w:line="590" w:lineRule="exact"/>
        <w:ind w:firstLine="643" w:firstLineChars="200"/>
        <w:textAlignment w:val="auto"/>
        <w:outlineLvl w:val="2"/>
        <w:rPr>
          <w:rFonts w:hint="default" w:ascii="Times New Roman" w:hAnsi="Times New Roman" w:eastAsia="方正楷体简体" w:cs="Times New Roman"/>
          <w:b/>
          <w:color w:val="000000"/>
          <w:sz w:val="32"/>
          <w:szCs w:val="32"/>
        </w:rPr>
      </w:pPr>
      <w:bookmarkStart w:id="66" w:name="_Toc15377217"/>
      <w:bookmarkStart w:id="67" w:name="_Toc112942557"/>
      <w:r>
        <w:rPr>
          <w:rFonts w:hint="default" w:ascii="Times New Roman" w:hAnsi="Times New Roman" w:eastAsia="方正楷体简体" w:cs="Times New Roman"/>
          <w:b/>
          <w:color w:val="000000"/>
          <w:sz w:val="32"/>
          <w:szCs w:val="32"/>
        </w:rPr>
        <w:t>（二）“三公”经费财政拨款支出决算具体情况说明</w:t>
      </w:r>
      <w:bookmarkEnd w:id="66"/>
      <w:bookmarkEnd w:id="67"/>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年“三公”经费财政拨款支出决算中，因公出国（境）费支出决算0万元，占0%；公务用车购置及运行维护费支出决算0万元，占0%；公务接待费支出决算0万元，占0%。具体情况如下：</w:t>
      </w:r>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1.因公出国（境）经费支出0万元。全年安排因公出国（境）团组0次，出国（境）0人。</w:t>
      </w:r>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公务用车购置及运行维护费支出0万元。其中：公务用车购置支出0万元。全年按规定更新购置公务用车0辆，其中：轿车0辆、金额0万元，越野车0辆、金额0万元，载客汽车0辆、金额0万元，其他车型0辆、金额0万元。截至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年12月底，单位共有公务用车0辆，其中：轿车0辆、越野车0辆、载客汽车0辆、其他车型0辆。公务用车运行维护费支出0万元。</w:t>
      </w:r>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3.公务接待费支出0万元。其中：国内公务接待支出0万元。外事接待支出0万元，外事接待0批次，0人，共计支出0万元。</w:t>
      </w:r>
    </w:p>
    <w:p>
      <w:pPr>
        <w:pageBreakBefore w:val="0"/>
        <w:widowControl w:val="0"/>
        <w:kinsoku/>
        <w:wordWrap/>
        <w:overflowPunct/>
        <w:topLinePunct w:val="0"/>
        <w:bidi w:val="0"/>
        <w:spacing w:beforeAutospacing="0" w:line="590" w:lineRule="exact"/>
        <w:ind w:firstLine="640"/>
        <w:textAlignment w:val="auto"/>
        <w:outlineLvl w:val="1"/>
        <w:rPr>
          <w:rStyle w:val="13"/>
          <w:rFonts w:hint="default" w:ascii="Times New Roman" w:hAnsi="Times New Roman" w:eastAsia="黑体" w:cs="Times New Roman"/>
        </w:rPr>
      </w:pPr>
      <w:bookmarkStart w:id="68" w:name="_Toc15396610"/>
      <w:bookmarkStart w:id="69" w:name="_Toc15377218"/>
      <w:bookmarkStart w:id="70" w:name="_Toc112942558"/>
      <w:r>
        <w:rPr>
          <w:rFonts w:hint="default" w:ascii="Times New Roman" w:hAnsi="Times New Roman" w:eastAsia="黑体" w:cs="Times New Roman"/>
          <w:color w:val="000000"/>
          <w:sz w:val="32"/>
          <w:szCs w:val="32"/>
        </w:rPr>
        <w:t>八、</w:t>
      </w:r>
      <w:r>
        <w:rPr>
          <w:rStyle w:val="13"/>
          <w:rFonts w:hint="default" w:ascii="Times New Roman" w:hAnsi="Times New Roman" w:eastAsia="黑体" w:cs="Times New Roman"/>
          <w:b w:val="0"/>
        </w:rPr>
        <w:t>政府性基金预算支出决算情况说明</w:t>
      </w:r>
      <w:bookmarkEnd w:id="68"/>
      <w:bookmarkEnd w:id="69"/>
      <w:bookmarkEnd w:id="70"/>
    </w:p>
    <w:p>
      <w:pPr>
        <w:pageBreakBefore w:val="0"/>
        <w:widowControl w:val="0"/>
        <w:kinsoku/>
        <w:wordWrap/>
        <w:overflowPunct/>
        <w:topLinePunct w:val="0"/>
        <w:bidi w:val="0"/>
        <w:spacing w:beforeAutospacing="0" w:line="59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年政府性基金预算拨款支出0万元。</w:t>
      </w:r>
    </w:p>
    <w:p>
      <w:pPr>
        <w:pageBreakBefore w:val="0"/>
        <w:widowControl w:val="0"/>
        <w:numPr>
          <w:ilvl w:val="0"/>
          <w:numId w:val="2"/>
        </w:numPr>
        <w:kinsoku/>
        <w:wordWrap/>
        <w:overflowPunct/>
        <w:topLinePunct w:val="0"/>
        <w:bidi w:val="0"/>
        <w:spacing w:beforeAutospacing="0" w:line="590" w:lineRule="exact"/>
        <w:ind w:firstLine="640"/>
        <w:textAlignment w:val="auto"/>
        <w:outlineLvl w:val="1"/>
        <w:rPr>
          <w:rStyle w:val="13"/>
          <w:rFonts w:hint="default" w:ascii="Times New Roman" w:hAnsi="Times New Roman" w:eastAsia="黑体" w:cs="Times New Roman"/>
          <w:b w:val="0"/>
        </w:rPr>
      </w:pPr>
      <w:bookmarkStart w:id="71" w:name="_Toc15396611"/>
      <w:bookmarkStart w:id="72" w:name="_Toc15377219"/>
      <w:bookmarkStart w:id="73" w:name="_Toc112942559"/>
      <w:r>
        <w:rPr>
          <w:rStyle w:val="13"/>
          <w:rFonts w:hint="default" w:ascii="Times New Roman" w:hAnsi="Times New Roman" w:eastAsia="黑体" w:cs="Times New Roman"/>
          <w:b w:val="0"/>
        </w:rPr>
        <w:t>国有资本经营预算支出决算情况说明</w:t>
      </w:r>
      <w:bookmarkEnd w:id="71"/>
      <w:bookmarkEnd w:id="72"/>
      <w:bookmarkEnd w:id="73"/>
    </w:p>
    <w:p>
      <w:pPr>
        <w:pageBreakBefore w:val="0"/>
        <w:widowControl w:val="0"/>
        <w:kinsoku/>
        <w:wordWrap/>
        <w:overflowPunct/>
        <w:topLinePunct w:val="0"/>
        <w:bidi w:val="0"/>
        <w:spacing w:beforeAutospacing="0" w:line="590" w:lineRule="exact"/>
        <w:ind w:firstLine="645"/>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年国有资本经营预算拨款支出0万元。</w:t>
      </w:r>
    </w:p>
    <w:p>
      <w:pPr>
        <w:pageBreakBefore w:val="0"/>
        <w:widowControl w:val="0"/>
        <w:kinsoku/>
        <w:wordWrap/>
        <w:overflowPunct/>
        <w:topLinePunct w:val="0"/>
        <w:bidi w:val="0"/>
        <w:spacing w:beforeAutospacing="0" w:line="590" w:lineRule="exact"/>
        <w:ind w:firstLine="800" w:firstLineChars="250"/>
        <w:textAlignment w:val="auto"/>
        <w:outlineLvl w:val="1"/>
        <w:rPr>
          <w:rStyle w:val="13"/>
          <w:rFonts w:hint="default" w:ascii="Times New Roman" w:hAnsi="Times New Roman" w:eastAsia="方正黑体简体" w:cs="Times New Roman"/>
        </w:rPr>
      </w:pPr>
      <w:bookmarkStart w:id="74" w:name="_Toc15377221"/>
      <w:bookmarkStart w:id="75" w:name="_Toc25945"/>
      <w:bookmarkStart w:id="76" w:name="_Toc113351510"/>
      <w:bookmarkStart w:id="77" w:name="_Toc113285268"/>
      <w:bookmarkStart w:id="78" w:name="_Toc113351092"/>
      <w:bookmarkStart w:id="79" w:name="_Toc29163"/>
      <w:bookmarkStart w:id="80" w:name="_Toc17103564"/>
      <w:r>
        <w:rPr>
          <w:rFonts w:hint="default" w:ascii="Times New Roman" w:hAnsi="Times New Roman" w:eastAsia="方正黑体简体" w:cs="Times New Roman"/>
          <w:color w:val="000000"/>
          <w:sz w:val="32"/>
          <w:szCs w:val="32"/>
        </w:rPr>
        <w:t>十</w:t>
      </w:r>
      <w:r>
        <w:rPr>
          <w:rStyle w:val="13"/>
          <w:rFonts w:hint="default" w:ascii="Times New Roman" w:hAnsi="Times New Roman" w:eastAsia="方正黑体简体" w:cs="Times New Roman"/>
        </w:rPr>
        <w:t>、</w:t>
      </w:r>
      <w:r>
        <w:rPr>
          <w:rStyle w:val="13"/>
          <w:rFonts w:hint="default" w:ascii="Times New Roman" w:hAnsi="Times New Roman" w:eastAsia="方正黑体简体" w:cs="Times New Roman"/>
          <w:b w:val="0"/>
        </w:rPr>
        <w:t>其他重要事项的情况说明</w:t>
      </w:r>
      <w:bookmarkEnd w:id="74"/>
      <w:bookmarkEnd w:id="75"/>
      <w:bookmarkEnd w:id="76"/>
      <w:bookmarkEnd w:id="77"/>
      <w:bookmarkEnd w:id="78"/>
      <w:bookmarkEnd w:id="79"/>
      <w:bookmarkEnd w:id="80"/>
    </w:p>
    <w:p>
      <w:pPr>
        <w:pageBreakBefore w:val="0"/>
        <w:widowControl w:val="0"/>
        <w:kinsoku/>
        <w:wordWrap/>
        <w:overflowPunct/>
        <w:topLinePunct w:val="0"/>
        <w:bidi w:val="0"/>
        <w:spacing w:beforeAutospacing="0" w:line="590" w:lineRule="exact"/>
        <w:ind w:firstLine="643" w:firstLineChars="200"/>
        <w:textAlignment w:val="auto"/>
        <w:outlineLvl w:val="2"/>
        <w:rPr>
          <w:rFonts w:hint="default" w:ascii="Times New Roman" w:hAnsi="Times New Roman" w:eastAsia="方正仿宋简体" w:cs="Times New Roman"/>
          <w:color w:val="000000"/>
          <w:sz w:val="32"/>
          <w:szCs w:val="32"/>
        </w:rPr>
      </w:pPr>
      <w:bookmarkStart w:id="81" w:name="_Toc113285269"/>
      <w:bookmarkStart w:id="82" w:name="_Toc113351093"/>
      <w:bookmarkStart w:id="83" w:name="_Toc15150"/>
      <w:bookmarkStart w:id="84" w:name="_Toc113351511"/>
      <w:bookmarkStart w:id="85" w:name="_Toc15377222"/>
      <w:bookmarkStart w:id="86" w:name="_Toc14022"/>
      <w:r>
        <w:rPr>
          <w:rFonts w:hint="default" w:ascii="Times New Roman" w:hAnsi="Times New Roman" w:eastAsia="方正仿宋简体" w:cs="Times New Roman"/>
          <w:b/>
          <w:color w:val="000000"/>
          <w:sz w:val="32"/>
          <w:szCs w:val="32"/>
        </w:rPr>
        <w:t>（一）机关运行经费支出情况</w:t>
      </w:r>
      <w:bookmarkEnd w:id="81"/>
      <w:bookmarkEnd w:id="82"/>
      <w:bookmarkEnd w:id="83"/>
      <w:bookmarkEnd w:id="84"/>
      <w:bookmarkEnd w:id="85"/>
      <w:bookmarkEnd w:id="86"/>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资阳市</w:t>
      </w:r>
      <w:r>
        <w:rPr>
          <w:rFonts w:hint="default" w:ascii="Times New Roman" w:hAnsi="Times New Roman" w:eastAsia="方正仿宋简体" w:cs="Times New Roman"/>
          <w:sz w:val="32"/>
          <w:szCs w:val="32"/>
        </w:rPr>
        <w:t>雁江区</w:t>
      </w:r>
      <w:r>
        <w:rPr>
          <w:rFonts w:hint="default" w:ascii="Times New Roman" w:hAnsi="Times New Roman" w:eastAsia="方正仿宋简体" w:cs="Times New Roman"/>
          <w:sz w:val="32"/>
          <w:szCs w:val="32"/>
          <w:lang w:eastAsia="zh-CN"/>
        </w:rPr>
        <w:t>红十字会</w:t>
      </w:r>
      <w:r>
        <w:rPr>
          <w:rFonts w:hint="default" w:ascii="Times New Roman" w:hAnsi="Times New Roman" w:eastAsia="方正仿宋简体" w:cs="Times New Roman"/>
          <w:sz w:val="32"/>
          <w:szCs w:val="32"/>
        </w:rPr>
        <w:t>机关运行经费支出</w:t>
      </w:r>
      <w:r>
        <w:rPr>
          <w:rFonts w:hint="default" w:ascii="Times New Roman" w:hAnsi="Times New Roman" w:eastAsia="方正仿宋简体" w:cs="Times New Roman"/>
          <w:sz w:val="32"/>
          <w:szCs w:val="32"/>
          <w:lang w:val="en-US" w:eastAsia="zh-CN"/>
        </w:rPr>
        <w:t>4.84</w:t>
      </w:r>
      <w:r>
        <w:rPr>
          <w:rFonts w:hint="default" w:ascii="Times New Roman" w:hAnsi="Times New Roman" w:eastAsia="方正仿宋简体" w:cs="Times New Roman"/>
          <w:sz w:val="32"/>
          <w:szCs w:val="32"/>
        </w:rPr>
        <w:t>万元，</w:t>
      </w:r>
      <w:r>
        <w:rPr>
          <w:rFonts w:hint="default" w:ascii="Times New Roman" w:hAnsi="Times New Roman" w:eastAsia="方正仿宋_GBK" w:cs="Times New Roman"/>
          <w:sz w:val="32"/>
          <w:szCs w:val="32"/>
          <w:lang w:eastAsia="zh-CN"/>
        </w:rPr>
        <w:t>无上年对比数据，原因是资阳市雁江区红十字会为</w:t>
      </w:r>
      <w:r>
        <w:rPr>
          <w:rFonts w:hint="default" w:ascii="Times New Roman" w:hAnsi="Times New Roman" w:eastAsia="方正仿宋_GBK" w:cs="Times New Roman"/>
          <w:sz w:val="32"/>
          <w:szCs w:val="32"/>
          <w:lang w:val="en-US" w:eastAsia="zh-CN"/>
        </w:rPr>
        <w:t>2022年新设立独立核算单位</w:t>
      </w:r>
      <w:bookmarkStart w:id="87" w:name="_Toc15377223"/>
      <w:r>
        <w:rPr>
          <w:rFonts w:hint="default" w:ascii="Times New Roman" w:hAnsi="Times New Roman" w:eastAsia="方正仿宋简体" w:cs="Times New Roman"/>
          <w:sz w:val="32"/>
          <w:szCs w:val="32"/>
        </w:rPr>
        <w:t>。</w:t>
      </w:r>
    </w:p>
    <w:bookmarkEnd w:id="87"/>
    <w:p>
      <w:pPr>
        <w:pageBreakBefore w:val="0"/>
        <w:widowControl w:val="0"/>
        <w:kinsoku/>
        <w:wordWrap/>
        <w:overflowPunct/>
        <w:topLinePunct w:val="0"/>
        <w:autoSpaceDE w:val="0"/>
        <w:autoSpaceDN w:val="0"/>
        <w:bidi w:val="0"/>
        <w:adjustRightInd w:val="0"/>
        <w:spacing w:beforeAutospacing="0" w:line="590" w:lineRule="exact"/>
        <w:ind w:firstLine="643" w:firstLineChars="200"/>
        <w:jc w:val="left"/>
        <w:textAlignment w:val="auto"/>
        <w:outlineLvl w:val="2"/>
        <w:rPr>
          <w:rFonts w:hint="default" w:ascii="Times New Roman" w:hAnsi="Times New Roman" w:eastAsia="方正仿宋简体" w:cs="Times New Roman"/>
          <w:b/>
          <w:color w:val="000000"/>
          <w:sz w:val="32"/>
          <w:szCs w:val="32"/>
        </w:rPr>
      </w:pPr>
      <w:bookmarkStart w:id="88" w:name="_Toc26932"/>
      <w:bookmarkStart w:id="89" w:name="_Toc113285270"/>
      <w:bookmarkStart w:id="90" w:name="_Toc15892"/>
      <w:bookmarkStart w:id="91" w:name="_Toc113351512"/>
      <w:bookmarkStart w:id="92" w:name="_Toc113351094"/>
      <w:r>
        <w:rPr>
          <w:rFonts w:hint="default" w:ascii="Times New Roman" w:hAnsi="Times New Roman" w:eastAsia="方正仿宋简体" w:cs="Times New Roman"/>
          <w:b/>
          <w:color w:val="000000"/>
          <w:sz w:val="32"/>
          <w:szCs w:val="32"/>
        </w:rPr>
        <w:t>（二）政府采购支出情况</w:t>
      </w:r>
      <w:bookmarkEnd w:id="88"/>
      <w:bookmarkEnd w:id="89"/>
      <w:bookmarkEnd w:id="90"/>
      <w:bookmarkEnd w:id="91"/>
      <w:bookmarkEnd w:id="92"/>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资阳市</w:t>
      </w:r>
      <w:r>
        <w:rPr>
          <w:rFonts w:hint="default" w:ascii="Times New Roman" w:hAnsi="Times New Roman" w:eastAsia="方正仿宋简体" w:cs="Times New Roman"/>
          <w:sz w:val="32"/>
          <w:szCs w:val="32"/>
        </w:rPr>
        <w:t>雁江区</w:t>
      </w:r>
      <w:r>
        <w:rPr>
          <w:rFonts w:hint="default" w:ascii="Times New Roman" w:hAnsi="Times New Roman" w:eastAsia="方正仿宋简体" w:cs="Times New Roman"/>
          <w:sz w:val="32"/>
          <w:szCs w:val="32"/>
          <w:lang w:eastAsia="zh-CN"/>
        </w:rPr>
        <w:t>红十字会</w:t>
      </w:r>
      <w:r>
        <w:rPr>
          <w:rFonts w:hint="default" w:ascii="Times New Roman" w:hAnsi="Times New Roman" w:eastAsia="方正仿宋简体" w:cs="Times New Roman"/>
          <w:sz w:val="32"/>
          <w:szCs w:val="32"/>
        </w:rPr>
        <w:t>政府采购支出总额</w:t>
      </w:r>
      <w:r>
        <w:rPr>
          <w:rFonts w:hint="default" w:ascii="Times New Roman" w:hAnsi="Times New Roman" w:eastAsia="方正仿宋简体" w:cs="Times New Roman"/>
          <w:sz w:val="32"/>
          <w:szCs w:val="32"/>
          <w:lang w:val="en-US" w:eastAsia="zh-CN"/>
        </w:rPr>
        <w:t>1.18</w:t>
      </w:r>
      <w:r>
        <w:rPr>
          <w:rFonts w:hint="default" w:ascii="Times New Roman" w:hAnsi="Times New Roman" w:eastAsia="方正仿宋简体" w:cs="Times New Roman"/>
          <w:sz w:val="32"/>
          <w:szCs w:val="32"/>
        </w:rPr>
        <w:t>万元，其中：政府采购货物支出</w:t>
      </w:r>
      <w:r>
        <w:rPr>
          <w:rFonts w:hint="default" w:ascii="Times New Roman" w:hAnsi="Times New Roman" w:eastAsia="方正仿宋简体" w:cs="Times New Roman"/>
          <w:sz w:val="32"/>
          <w:szCs w:val="32"/>
          <w:lang w:val="en-US" w:eastAsia="zh-CN"/>
        </w:rPr>
        <w:t>1.18</w:t>
      </w:r>
      <w:r>
        <w:rPr>
          <w:rFonts w:hint="default" w:ascii="Times New Roman" w:hAnsi="Times New Roman" w:eastAsia="方正仿宋简体" w:cs="Times New Roman"/>
          <w:sz w:val="32"/>
          <w:szCs w:val="32"/>
        </w:rPr>
        <w:t>万元、政府采购工程支出0万元、政府采购服务支出0万元。主要用于购买</w:t>
      </w:r>
      <w:r>
        <w:rPr>
          <w:rFonts w:hint="default" w:ascii="Times New Roman" w:hAnsi="Times New Roman" w:eastAsia="方正仿宋简体" w:cs="Times New Roman"/>
          <w:sz w:val="32"/>
          <w:szCs w:val="32"/>
          <w:lang w:eastAsia="zh-CN"/>
        </w:rPr>
        <w:t>办公室空调</w:t>
      </w:r>
      <w:r>
        <w:rPr>
          <w:rFonts w:hint="default" w:ascii="Times New Roman" w:hAnsi="Times New Roman" w:eastAsia="方正仿宋简体" w:cs="Times New Roman"/>
          <w:sz w:val="32"/>
          <w:szCs w:val="32"/>
        </w:rPr>
        <w:t>2台。授予中小企业合同金额</w:t>
      </w:r>
      <w:r>
        <w:rPr>
          <w:rFonts w:hint="default" w:ascii="Times New Roman" w:hAnsi="Times New Roman" w:eastAsia="方正仿宋简体" w:cs="Times New Roman"/>
          <w:sz w:val="32"/>
          <w:szCs w:val="32"/>
          <w:lang w:val="en-US" w:eastAsia="zh-CN"/>
        </w:rPr>
        <w:t>1.18</w:t>
      </w:r>
      <w:r>
        <w:rPr>
          <w:rFonts w:hint="default" w:ascii="Times New Roman" w:hAnsi="Times New Roman" w:eastAsia="方正仿宋简体" w:cs="Times New Roman"/>
          <w:sz w:val="32"/>
          <w:szCs w:val="32"/>
        </w:rPr>
        <w:t>万元，占政府采购支出总额的100%，其中：授予小微企业合同金额</w:t>
      </w:r>
      <w:r>
        <w:rPr>
          <w:rFonts w:hint="default" w:ascii="Times New Roman" w:hAnsi="Times New Roman" w:eastAsia="方正仿宋简体" w:cs="Times New Roman"/>
          <w:sz w:val="32"/>
          <w:szCs w:val="32"/>
          <w:lang w:val="en-US" w:eastAsia="zh-CN"/>
        </w:rPr>
        <w:t>1.18</w:t>
      </w:r>
      <w:r>
        <w:rPr>
          <w:rFonts w:hint="default" w:ascii="Times New Roman" w:hAnsi="Times New Roman" w:eastAsia="方正仿宋简体" w:cs="Times New Roman"/>
          <w:sz w:val="32"/>
          <w:szCs w:val="32"/>
        </w:rPr>
        <w:t>万元，占政府采购支出总额的100%。</w:t>
      </w:r>
    </w:p>
    <w:p>
      <w:pPr>
        <w:pageBreakBefore w:val="0"/>
        <w:widowControl w:val="0"/>
        <w:kinsoku/>
        <w:wordWrap/>
        <w:overflowPunct/>
        <w:topLinePunct w:val="0"/>
        <w:autoSpaceDE w:val="0"/>
        <w:autoSpaceDN w:val="0"/>
        <w:bidi w:val="0"/>
        <w:adjustRightInd w:val="0"/>
        <w:spacing w:beforeAutospacing="0" w:line="590" w:lineRule="exact"/>
        <w:ind w:firstLine="643" w:firstLineChars="200"/>
        <w:jc w:val="left"/>
        <w:textAlignment w:val="auto"/>
        <w:outlineLvl w:val="2"/>
        <w:rPr>
          <w:rFonts w:hint="default" w:ascii="Times New Roman" w:hAnsi="Times New Roman" w:eastAsia="方正仿宋简体" w:cs="Times New Roman"/>
          <w:b/>
          <w:color w:val="000000"/>
          <w:sz w:val="32"/>
          <w:szCs w:val="32"/>
        </w:rPr>
      </w:pPr>
      <w:bookmarkStart w:id="93" w:name="_Toc15377224"/>
      <w:bookmarkStart w:id="94" w:name="_Toc113351513"/>
      <w:bookmarkStart w:id="95" w:name="_Toc30212"/>
      <w:bookmarkStart w:id="96" w:name="_Toc113351095"/>
      <w:bookmarkStart w:id="97" w:name="_Toc113285271"/>
      <w:bookmarkStart w:id="98" w:name="_Toc31804"/>
      <w:r>
        <w:rPr>
          <w:rFonts w:hint="default" w:ascii="Times New Roman" w:hAnsi="Times New Roman" w:eastAsia="方正仿宋简体" w:cs="Times New Roman"/>
          <w:b/>
          <w:color w:val="000000"/>
          <w:sz w:val="32"/>
          <w:szCs w:val="32"/>
        </w:rPr>
        <w:t>（三）国有资产占有使用情况</w:t>
      </w:r>
      <w:bookmarkEnd w:id="93"/>
      <w:bookmarkEnd w:id="94"/>
      <w:bookmarkEnd w:id="95"/>
      <w:bookmarkEnd w:id="96"/>
      <w:bookmarkEnd w:id="97"/>
      <w:bookmarkEnd w:id="98"/>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截至202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年12月31日，</w:t>
      </w:r>
      <w:r>
        <w:rPr>
          <w:rFonts w:hint="default" w:ascii="Times New Roman" w:hAnsi="Times New Roman" w:eastAsia="方正仿宋简体" w:cs="Times New Roman"/>
          <w:sz w:val="32"/>
          <w:szCs w:val="32"/>
          <w:lang w:eastAsia="zh-CN"/>
        </w:rPr>
        <w:t>资阳市</w:t>
      </w:r>
      <w:r>
        <w:rPr>
          <w:rFonts w:hint="default" w:ascii="Times New Roman" w:hAnsi="Times New Roman" w:eastAsia="方正仿宋简体" w:cs="Times New Roman"/>
          <w:sz w:val="32"/>
          <w:szCs w:val="32"/>
        </w:rPr>
        <w:t>雁江区</w:t>
      </w:r>
      <w:r>
        <w:rPr>
          <w:rFonts w:hint="default" w:ascii="Times New Roman" w:hAnsi="Times New Roman" w:eastAsia="方正仿宋简体" w:cs="Times New Roman"/>
          <w:sz w:val="32"/>
          <w:szCs w:val="32"/>
          <w:lang w:eastAsia="zh-CN"/>
        </w:rPr>
        <w:t>红十字</w:t>
      </w:r>
      <w:r>
        <w:rPr>
          <w:rFonts w:hint="default" w:ascii="Times New Roman" w:hAnsi="Times New Roman" w:eastAsia="方正仿宋简体" w:cs="Times New Roman"/>
          <w:sz w:val="32"/>
          <w:szCs w:val="32"/>
        </w:rPr>
        <w:t>共有车辆0辆，其中：主要领导干部用车0辆、机要通信用车0辆、应急保障用车0辆、执法执勤用车0辆、特种专业技术用车0辆、其他用车0辆。单价50万元以上通用设备0台（套），单价100万元以上专用设备0台（套）。</w:t>
      </w:r>
    </w:p>
    <w:p>
      <w:pPr>
        <w:pageBreakBefore w:val="0"/>
        <w:widowControl w:val="0"/>
        <w:kinsoku/>
        <w:wordWrap/>
        <w:overflowPunct/>
        <w:topLinePunct w:val="0"/>
        <w:bidi w:val="0"/>
        <w:spacing w:beforeAutospacing="0" w:line="590" w:lineRule="exact"/>
        <w:ind w:firstLine="472" w:firstLineChars="147"/>
        <w:textAlignment w:val="auto"/>
        <w:outlineLvl w:val="2"/>
        <w:rPr>
          <w:rFonts w:hint="default" w:ascii="Times New Roman" w:hAnsi="Times New Roman" w:eastAsia="方正仿宋简体" w:cs="Times New Roman"/>
          <w:b/>
          <w:color w:val="000000"/>
          <w:sz w:val="32"/>
          <w:szCs w:val="32"/>
        </w:rPr>
      </w:pPr>
      <w:bookmarkStart w:id="99" w:name="_Toc13886"/>
      <w:r>
        <w:rPr>
          <w:rFonts w:hint="default" w:ascii="Times New Roman" w:hAnsi="Times New Roman" w:eastAsia="方正仿宋简体" w:cs="Times New Roman"/>
          <w:b/>
          <w:color w:val="000000"/>
          <w:sz w:val="32"/>
          <w:szCs w:val="32"/>
        </w:rPr>
        <w:t>（四）预算绩效管理工作开展情况。</w:t>
      </w:r>
      <w:bookmarkEnd w:id="99"/>
    </w:p>
    <w:p>
      <w:pPr>
        <w:pStyle w:val="2"/>
        <w:pageBreakBefore w:val="0"/>
        <w:widowControl w:val="0"/>
        <w:kinsoku/>
        <w:wordWrap/>
        <w:overflowPunct/>
        <w:topLinePunct w:val="0"/>
        <w:bidi w:val="0"/>
        <w:spacing w:before="0" w:beforeLines="0" w:beforeAutospacing="0" w:line="59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根据预算绩效管理要求，本</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开办经费</w:t>
      </w:r>
      <w:r>
        <w:rPr>
          <w:rFonts w:hint="default" w:ascii="Times New Roman" w:hAnsi="Times New Roman" w:eastAsia="仿宋_GB2312" w:cs="Times New Roman"/>
          <w:sz w:val="32"/>
          <w:szCs w:val="32"/>
        </w:rPr>
        <w:t>等2个项目开展了预算事前绩效评估，2个项目编制了绩效目标，预算执行过程中，</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2个项目开展绩效监控，年终执行完毕后，对2个项目开展了绩效目标完成情况自评。同时，本部门对202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年部门整体开展绩效自评，《202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年资阳市雁江区</w:t>
      </w:r>
      <w:r>
        <w:rPr>
          <w:rFonts w:hint="default" w:ascii="Times New Roman" w:hAnsi="Times New Roman" w:eastAsia="仿宋_GB2312" w:cs="Times New Roman"/>
          <w:sz w:val="32"/>
          <w:szCs w:val="32"/>
          <w:lang w:eastAsia="zh-CN"/>
        </w:rPr>
        <w:t>红十字会</w:t>
      </w:r>
      <w:r>
        <w:rPr>
          <w:rFonts w:hint="default" w:ascii="Times New Roman" w:hAnsi="Times New Roman" w:eastAsia="仿宋_GB2312" w:cs="Times New Roman"/>
          <w:sz w:val="32"/>
          <w:szCs w:val="32"/>
        </w:rPr>
        <w:t>部门整体绩效评价报告》见附件（第四部分）</w:t>
      </w:r>
      <w:r>
        <w:rPr>
          <w:rFonts w:hint="default" w:ascii="Times New Roman" w:hAnsi="Times New Roman" w:eastAsia="仿宋_GB2312" w:cs="Times New Roman"/>
          <w:sz w:val="32"/>
          <w:szCs w:val="32"/>
          <w:lang w:eastAsia="zh-CN"/>
        </w:rPr>
        <w:t>。</w:t>
      </w:r>
    </w:p>
    <w:p>
      <w:pPr>
        <w:pStyle w:val="3"/>
        <w:pageBreakBefore w:val="0"/>
        <w:widowControl w:val="0"/>
        <w:numPr>
          <w:ilvl w:val="0"/>
          <w:numId w:val="3"/>
        </w:numPr>
        <w:kinsoku/>
        <w:wordWrap/>
        <w:overflowPunct/>
        <w:topLinePunct w:val="0"/>
        <w:bidi w:val="0"/>
        <w:spacing w:before="0" w:beforeAutospacing="0" w:after="0" w:line="590" w:lineRule="exact"/>
        <w:jc w:val="center"/>
        <w:textAlignment w:val="auto"/>
        <w:rPr>
          <w:rFonts w:hint="default" w:ascii="Times New Roman" w:hAnsi="Times New Roman" w:eastAsia="方正小标宋简体" w:cs="Times New Roman"/>
          <w:b w:val="0"/>
        </w:rPr>
      </w:pPr>
      <w:bookmarkStart w:id="100" w:name="_Toc18626"/>
      <w:bookmarkStart w:id="101" w:name="_Toc24195"/>
      <w:bookmarkStart w:id="102" w:name="_Toc2062"/>
      <w:bookmarkStart w:id="103" w:name="_Toc20705"/>
      <w:r>
        <w:rPr>
          <w:rFonts w:hint="default" w:ascii="Times New Roman" w:hAnsi="Times New Roman" w:eastAsia="方正小标宋简体" w:cs="Times New Roman"/>
          <w:b w:val="0"/>
        </w:rPr>
        <w:t xml:space="preserve"> 名词解释</w:t>
      </w:r>
      <w:bookmarkEnd w:id="100"/>
      <w:bookmarkEnd w:id="101"/>
      <w:bookmarkEnd w:id="102"/>
      <w:bookmarkEnd w:id="103"/>
    </w:p>
    <w:p>
      <w:pPr>
        <w:numPr>
          <w:ilvl w:val="0"/>
          <w:numId w:val="0"/>
        </w:numPr>
        <w:rPr>
          <w:rFonts w:hint="default"/>
        </w:rPr>
      </w:pP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1.财政拨款收入：指单位从同级财政部门取得的财政预算资金。</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2.事业收入：指事业单位开展专业业务活动及辅助活动取得的收入。如…（二级预算单位事业收入情况）等。</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3.经营收入：指事业单位在专业业务活动及其辅助活动之外开展非独立核算经营活动取得的收入。如…（二级预算单位经营收入情况）等。</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4.其他收入：指单位取得的除上述收入以外的各项收入。主要是…（收入类型）等。 </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5.使用非财政拨款结余：指事业单位使用以前年度积累的非财政拨款结余弥补当年收支差额的金额。 </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6.年初结转和结余：指以前年度尚未完成、结转到本年按有关规定继续使用的资金。 </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7.结余分配：指事业单位按照会计制度规定缴纳的所得税、提取的专用结余以及转入非财政拨款结余的金额等。</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8.年末结转和结余：指单位按有关规定结转到下年或以后年度继续使用的资金。</w:t>
      </w:r>
    </w:p>
    <w:p>
      <w:pPr>
        <w:pStyle w:val="15"/>
        <w:pageBreakBefore w:val="0"/>
        <w:widowControl w:val="0"/>
        <w:kinsoku/>
        <w:wordWrap/>
        <w:overflowPunct/>
        <w:topLinePunct w:val="0"/>
        <w:bidi w:val="0"/>
        <w:spacing w:beforeAutospacing="0" w:line="590" w:lineRule="exact"/>
        <w:ind w:firstLine="660" w:firstLineChars="200"/>
        <w:textAlignment w:val="auto"/>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.社会保障和就业</w:t>
      </w:r>
      <w:r>
        <w:rPr>
          <w:rFonts w:hint="default" w:ascii="Times New Roman" w:hAnsi="Times New Roman" w:eastAsia="方正仿宋简体" w:cs="Times New Roman"/>
          <w:sz w:val="33"/>
          <w:szCs w:val="33"/>
          <w:lang w:eastAsia="zh-CN"/>
        </w:rPr>
        <w:t>支出</w:t>
      </w:r>
      <w:r>
        <w:rPr>
          <w:rFonts w:hint="default" w:ascii="Times New Roman" w:hAnsi="Times New Roman" w:eastAsia="方正仿宋简体" w:cs="Times New Roman"/>
          <w:sz w:val="33"/>
          <w:szCs w:val="33"/>
        </w:rPr>
        <w:t>（类）（款）（项）：其中2080501</w:t>
      </w:r>
      <w:r>
        <w:rPr>
          <w:rFonts w:hint="default" w:ascii="Times New Roman" w:hAnsi="Times New Roman" w:eastAsia="方正仿宋简体" w:cs="Times New Roman"/>
          <w:sz w:val="33"/>
          <w:szCs w:val="33"/>
          <w:lang w:eastAsia="zh-CN"/>
        </w:rPr>
        <w:t>行政事业单位养老支出中的</w:t>
      </w:r>
      <w:r>
        <w:rPr>
          <w:rFonts w:hint="default" w:ascii="Times New Roman" w:hAnsi="Times New Roman" w:eastAsia="方正仿宋简体" w:cs="Times New Roman"/>
          <w:sz w:val="33"/>
          <w:szCs w:val="33"/>
        </w:rPr>
        <w:t>行政单位离退休支出指的是反映实行归口管理的行政单位（包括实行公务员事业单位）开支的离退休经费；2080505</w:t>
      </w:r>
      <w:r>
        <w:rPr>
          <w:rFonts w:hint="default" w:ascii="Times New Roman" w:hAnsi="Times New Roman" w:eastAsia="方正仿宋简体" w:cs="Times New Roman"/>
          <w:sz w:val="33"/>
          <w:szCs w:val="33"/>
          <w:lang w:eastAsia="zh-CN"/>
        </w:rPr>
        <w:t>行政事业单位养老支出中</w:t>
      </w:r>
      <w:r>
        <w:rPr>
          <w:rFonts w:hint="default" w:ascii="Times New Roman" w:hAnsi="Times New Roman" w:eastAsia="方正仿宋简体" w:cs="Times New Roman"/>
          <w:sz w:val="33"/>
          <w:szCs w:val="33"/>
        </w:rPr>
        <w:t>的机关事业单位基本养老保险缴费支出指的是机关事业单位实施养老保险制度由单位缴纳的基本养老保险费支出；208</w:t>
      </w:r>
      <w:r>
        <w:rPr>
          <w:rFonts w:hint="default" w:ascii="Times New Roman" w:hAnsi="Times New Roman" w:eastAsia="方正仿宋简体" w:cs="Times New Roman"/>
          <w:sz w:val="33"/>
          <w:szCs w:val="33"/>
          <w:lang w:val="en-US" w:eastAsia="zh-CN"/>
        </w:rPr>
        <w:t>1601红十字事业中的行政运行反映行政单位（包括实行公务员管理的事业单位）的基本支出</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val="en-US" w:eastAsia="zh-CN"/>
        </w:rPr>
        <w:t>2081602红十字事业中的一般行政管理事务反映行政单位（包括实行公务员管理的事业单位）未单独设置项级科目的其他项目支出</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val="en-US" w:eastAsia="zh-CN"/>
        </w:rPr>
        <w:t>2081699红十字事业中的其他红十字事业支出反映除上述项目以外其他用于红十字事业方面的支出</w:t>
      </w:r>
      <w:r>
        <w:rPr>
          <w:rFonts w:hint="default" w:ascii="Times New Roman" w:hAnsi="Times New Roman" w:eastAsia="方正仿宋简体" w:cs="Times New Roman"/>
          <w:sz w:val="33"/>
          <w:szCs w:val="33"/>
        </w:rPr>
        <w:t>；208</w:t>
      </w:r>
      <w:r>
        <w:rPr>
          <w:rFonts w:hint="default"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999其他社会</w:t>
      </w:r>
      <w:r>
        <w:rPr>
          <w:rFonts w:hint="default" w:ascii="Times New Roman" w:hAnsi="Times New Roman" w:eastAsia="方正仿宋简体" w:cs="Times New Roman"/>
          <w:sz w:val="33"/>
          <w:szCs w:val="33"/>
          <w:lang w:eastAsia="zh-CN"/>
        </w:rPr>
        <w:t>保障和</w:t>
      </w:r>
      <w:r>
        <w:rPr>
          <w:rFonts w:hint="default" w:ascii="Times New Roman" w:hAnsi="Times New Roman" w:eastAsia="方正仿宋简体" w:cs="Times New Roman"/>
          <w:sz w:val="33"/>
          <w:szCs w:val="33"/>
        </w:rPr>
        <w:t>就业支出</w:t>
      </w:r>
      <w:r>
        <w:rPr>
          <w:rFonts w:hint="default" w:ascii="Times New Roman" w:hAnsi="Times New Roman" w:eastAsia="方正仿宋简体" w:cs="Times New Roman"/>
          <w:sz w:val="33"/>
          <w:szCs w:val="33"/>
          <w:lang w:eastAsia="zh-CN"/>
        </w:rPr>
        <w:t>中的</w:t>
      </w:r>
      <w:r>
        <w:rPr>
          <w:rFonts w:hint="default" w:ascii="Times New Roman" w:hAnsi="Times New Roman" w:eastAsia="方正仿宋简体" w:cs="Times New Roman"/>
          <w:sz w:val="33"/>
          <w:szCs w:val="33"/>
        </w:rPr>
        <w:t>其他社会</w:t>
      </w:r>
      <w:r>
        <w:rPr>
          <w:rFonts w:hint="default" w:ascii="Times New Roman" w:hAnsi="Times New Roman" w:eastAsia="方正仿宋简体" w:cs="Times New Roman"/>
          <w:sz w:val="33"/>
          <w:szCs w:val="33"/>
          <w:lang w:eastAsia="zh-CN"/>
        </w:rPr>
        <w:t>保障和</w:t>
      </w:r>
      <w:r>
        <w:rPr>
          <w:rFonts w:hint="default" w:ascii="Times New Roman" w:hAnsi="Times New Roman" w:eastAsia="方正仿宋简体" w:cs="Times New Roman"/>
          <w:sz w:val="33"/>
          <w:szCs w:val="33"/>
        </w:rPr>
        <w:t>就业支出反映除社会保障和就业支出以外其他用于社会保障和就业方面的支出。</w:t>
      </w:r>
    </w:p>
    <w:p>
      <w:pPr>
        <w:pStyle w:val="15"/>
        <w:pageBreakBefore w:val="0"/>
        <w:widowControl w:val="0"/>
        <w:kinsoku/>
        <w:wordWrap/>
        <w:overflowPunct/>
        <w:topLinePunct w:val="0"/>
        <w:bidi w:val="0"/>
        <w:spacing w:beforeAutospacing="0" w:line="590" w:lineRule="exact"/>
        <w:ind w:firstLine="660" w:firstLineChars="200"/>
        <w:textAlignment w:val="auto"/>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1</w:t>
      </w:r>
      <w:r>
        <w:rPr>
          <w:rFonts w:hint="default" w:ascii="Times New Roman" w:hAnsi="Times New Roman" w:eastAsia="方正仿宋简体" w:cs="Times New Roman"/>
          <w:sz w:val="33"/>
          <w:szCs w:val="33"/>
          <w:lang w:val="en-US" w:eastAsia="zh-CN"/>
        </w:rPr>
        <w:t>0</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卫生健康支出</w:t>
      </w:r>
      <w:r>
        <w:rPr>
          <w:rFonts w:hint="default" w:ascii="Times New Roman" w:hAnsi="Times New Roman" w:eastAsia="方正仿宋简体" w:cs="Times New Roman"/>
          <w:sz w:val="33"/>
          <w:szCs w:val="33"/>
        </w:rPr>
        <w:t>（类）（款）（项）：2101101</w:t>
      </w:r>
      <w:r>
        <w:rPr>
          <w:rFonts w:hint="default" w:ascii="Times New Roman" w:hAnsi="Times New Roman" w:eastAsia="方正仿宋简体" w:cs="Times New Roman"/>
          <w:sz w:val="33"/>
          <w:szCs w:val="33"/>
          <w:lang w:eastAsia="zh-CN"/>
        </w:rPr>
        <w:t>行政事业单位医疗中的</w:t>
      </w:r>
      <w:r>
        <w:rPr>
          <w:rFonts w:hint="default" w:ascii="Times New Roman" w:hAnsi="Times New Roman" w:eastAsia="方正仿宋简体" w:cs="Times New Roman"/>
          <w:sz w:val="33"/>
          <w:szCs w:val="33"/>
        </w:rPr>
        <w:t>行政单位医疗反映财政部门集中安排的行政单位</w:t>
      </w:r>
      <w:r>
        <w:rPr>
          <w:rFonts w:hint="default" w:ascii="Times New Roman" w:hAnsi="Times New Roman" w:eastAsia="方正仿宋简体" w:cs="Times New Roman"/>
          <w:sz w:val="33"/>
          <w:szCs w:val="33"/>
          <w:lang w:eastAsia="zh-CN"/>
        </w:rPr>
        <w:t>（包括实行公务员管理的事业单位，下同）</w:t>
      </w:r>
      <w:r>
        <w:rPr>
          <w:rFonts w:hint="default" w:ascii="Times New Roman" w:hAnsi="Times New Roman" w:eastAsia="方正仿宋简体" w:cs="Times New Roman"/>
          <w:sz w:val="33"/>
          <w:szCs w:val="33"/>
        </w:rPr>
        <w:t>基本医疗保险缴费经费，未参加医疗保险的行政单位的公费医疗经费，按国家规定享受离休人员、红军老战士待遇人员的医疗经费。2101103</w:t>
      </w:r>
      <w:r>
        <w:rPr>
          <w:rFonts w:hint="default" w:ascii="Times New Roman" w:hAnsi="Times New Roman" w:eastAsia="方正仿宋简体" w:cs="Times New Roman"/>
          <w:sz w:val="33"/>
          <w:szCs w:val="33"/>
          <w:lang w:eastAsia="zh-CN"/>
        </w:rPr>
        <w:t>行政事业单位医疗中的</w:t>
      </w:r>
      <w:r>
        <w:rPr>
          <w:rFonts w:hint="default" w:ascii="Times New Roman" w:hAnsi="Times New Roman" w:eastAsia="方正仿宋简体" w:cs="Times New Roman"/>
          <w:sz w:val="33"/>
          <w:szCs w:val="33"/>
        </w:rPr>
        <w:t>公务医疗补助反映财政部门安排的公务员医疗补助经费。</w:t>
      </w:r>
    </w:p>
    <w:p>
      <w:pPr>
        <w:pageBreakBefore w:val="0"/>
        <w:widowControl w:val="0"/>
        <w:kinsoku/>
        <w:wordWrap/>
        <w:overflowPunct/>
        <w:topLinePunct w:val="0"/>
        <w:bidi w:val="0"/>
        <w:snapToGrid w:val="0"/>
        <w:spacing w:beforeAutospacing="0" w:line="590" w:lineRule="exact"/>
        <w:ind w:firstLine="6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3"/>
          <w:szCs w:val="33"/>
        </w:rPr>
        <w:t>1</w:t>
      </w:r>
      <w:r>
        <w:rPr>
          <w:rFonts w:hint="default" w:ascii="Times New Roman" w:hAnsi="Times New Roman" w:eastAsia="方正仿宋简体" w:cs="Times New Roman"/>
          <w:sz w:val="33"/>
          <w:szCs w:val="33"/>
          <w:lang w:val="en-US" w:eastAsia="zh-CN"/>
        </w:rPr>
        <w:t>1</w:t>
      </w:r>
      <w:r>
        <w:rPr>
          <w:rFonts w:hint="default" w:ascii="Times New Roman" w:hAnsi="Times New Roman" w:eastAsia="方正仿宋简体" w:cs="Times New Roman"/>
          <w:sz w:val="33"/>
          <w:szCs w:val="33"/>
        </w:rPr>
        <w:t>.住房保障</w:t>
      </w:r>
      <w:r>
        <w:rPr>
          <w:rFonts w:hint="default" w:ascii="Times New Roman" w:hAnsi="Times New Roman" w:eastAsia="方正仿宋简体" w:cs="Times New Roman"/>
          <w:sz w:val="33"/>
          <w:szCs w:val="33"/>
          <w:lang w:eastAsia="zh-CN"/>
        </w:rPr>
        <w:t>支出</w:t>
      </w:r>
      <w:r>
        <w:rPr>
          <w:rFonts w:hint="default" w:ascii="Times New Roman" w:hAnsi="Times New Roman" w:eastAsia="方正仿宋简体" w:cs="Times New Roman"/>
          <w:sz w:val="33"/>
          <w:szCs w:val="33"/>
        </w:rPr>
        <w:t>（类）（款）（项）：2210201住房</w:t>
      </w:r>
      <w:r>
        <w:rPr>
          <w:rFonts w:hint="default" w:ascii="Times New Roman" w:hAnsi="Times New Roman" w:eastAsia="方正仿宋简体" w:cs="Times New Roman"/>
          <w:sz w:val="33"/>
          <w:szCs w:val="33"/>
          <w:lang w:eastAsia="zh-CN"/>
        </w:rPr>
        <w:t>改革</w:t>
      </w:r>
      <w:r>
        <w:rPr>
          <w:rFonts w:hint="default" w:ascii="Times New Roman" w:hAnsi="Times New Roman" w:eastAsia="方正仿宋简体" w:cs="Times New Roman"/>
          <w:sz w:val="33"/>
          <w:szCs w:val="33"/>
        </w:rPr>
        <w:t>支出中的住房公积金</w:t>
      </w:r>
      <w:r>
        <w:rPr>
          <w:rFonts w:hint="default" w:ascii="Times New Roman" w:hAnsi="Times New Roman" w:eastAsia="方正仿宋简体" w:cs="Times New Roman"/>
          <w:sz w:val="33"/>
          <w:szCs w:val="33"/>
          <w:lang w:eastAsia="zh-CN"/>
        </w:rPr>
        <w:t>反映</w:t>
      </w:r>
      <w:r>
        <w:rPr>
          <w:rFonts w:hint="default" w:ascii="Times New Roman" w:hAnsi="Times New Roman" w:eastAsia="方正仿宋简体" w:cs="Times New Roman"/>
          <w:sz w:val="33"/>
          <w:szCs w:val="33"/>
        </w:rPr>
        <w:t>行政事业单位按人力资源和社会保障部、财政部规定的基本工资和津贴补贴以及规定比例为职工缴纳的住房公积金。</w:t>
      </w:r>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.基本支出：指为保障机构正常运转、完成日常工作任务而发生的人员支出和公用支出。</w:t>
      </w:r>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.经营支出：指事业单位在专业业务活动及其辅助活动之外开展非独立核算经营活动发生的支出。</w:t>
      </w:r>
    </w:p>
    <w:p>
      <w:pPr>
        <w:pStyle w:val="16"/>
        <w:pageBreakBefore w:val="0"/>
        <w:widowControl w:val="0"/>
        <w:kinsoku/>
        <w:wordWrap/>
        <w:overflowPunct/>
        <w:topLinePunct w:val="0"/>
        <w:bidi w:val="0"/>
        <w:spacing w:beforeAutospacing="0"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widowControl w:val="0"/>
        <w:kinsoku/>
        <w:wordWrap/>
        <w:overflowPunct/>
        <w:topLinePunct w:val="0"/>
        <w:bidi w:val="0"/>
        <w:snapToGrid w:val="0"/>
        <w:spacing w:beforeAutospacing="0"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rPr>
          <w:rFonts w:hint="default" w:ascii="Times New Roman" w:hAnsi="Times New Roman" w:eastAsia="仿宋_GB2312" w:cs="Times New Roman"/>
          <w:color w:val="auto"/>
          <w:sz w:val="32"/>
          <w:szCs w:val="32"/>
        </w:rPr>
      </w:pPr>
    </w:p>
    <w:p>
      <w:pPr>
        <w:pStyle w:val="11"/>
        <w:rPr>
          <w:rFonts w:hint="default" w:ascii="Times New Roman" w:hAnsi="Times New Roman" w:eastAsia="仿宋_GB2312" w:cs="Times New Roman"/>
          <w:color w:val="auto"/>
          <w:sz w:val="32"/>
          <w:szCs w:val="32"/>
        </w:rPr>
      </w:pPr>
    </w:p>
    <w:p>
      <w:pPr>
        <w:pStyle w:val="11"/>
        <w:rPr>
          <w:rFonts w:hint="default" w:ascii="Times New Roman" w:hAnsi="Times New Roman" w:eastAsia="仿宋_GB2312" w:cs="Times New Roman"/>
          <w:color w:val="auto"/>
          <w:sz w:val="32"/>
          <w:szCs w:val="32"/>
        </w:rPr>
      </w:pPr>
    </w:p>
    <w:p>
      <w:pPr>
        <w:pStyle w:val="3"/>
        <w:pageBreakBefore w:val="0"/>
        <w:widowControl w:val="0"/>
        <w:kinsoku/>
        <w:wordWrap/>
        <w:overflowPunct/>
        <w:topLinePunct w:val="0"/>
        <w:bidi w:val="0"/>
        <w:spacing w:before="0" w:beforeAutospacing="0" w:after="0" w:line="590" w:lineRule="exact"/>
        <w:jc w:val="center"/>
        <w:textAlignment w:val="auto"/>
        <w:rPr>
          <w:rFonts w:hint="default" w:eastAsia="方正小标宋简体" w:cs="Times New Roman"/>
          <w:b w:val="0"/>
          <w:lang w:eastAsia="zh-CN"/>
        </w:rPr>
      </w:pPr>
      <w:bookmarkStart w:id="104" w:name="_Toc6126"/>
      <w:bookmarkStart w:id="105" w:name="_Toc15396614"/>
      <w:bookmarkStart w:id="106" w:name="_Toc23926"/>
      <w:bookmarkStart w:id="107" w:name="_Toc6886"/>
      <w:bookmarkStart w:id="108" w:name="_Toc6751"/>
      <w:bookmarkStart w:id="109" w:name="_Toc5735"/>
      <w:r>
        <w:rPr>
          <w:rFonts w:hint="default" w:eastAsia="方正小标宋简体" w:cs="Times New Roman"/>
          <w:b w:val="0"/>
          <w:lang w:eastAsia="zh-CN"/>
        </w:rPr>
        <w:t xml:space="preserve">第四部分 </w:t>
      </w:r>
      <w:r>
        <w:rPr>
          <w:rFonts w:hint="eastAsia" w:eastAsia="方正小标宋简体" w:cs="Times New Roman"/>
          <w:b w:val="0"/>
          <w:lang w:val="en-US" w:eastAsia="zh-CN"/>
        </w:rPr>
        <w:t xml:space="preserve"> </w:t>
      </w:r>
      <w:r>
        <w:rPr>
          <w:rFonts w:hint="default" w:eastAsia="方正小标宋简体" w:cs="Times New Roman"/>
          <w:b w:val="0"/>
          <w:lang w:eastAsia="zh-CN"/>
        </w:rPr>
        <w:t>附件</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snapToGrid/>
        <w:spacing w:beforeAutospacing="0" w:line="59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line="59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资阳市雁江区红十字会</w:t>
      </w:r>
    </w:p>
    <w:p>
      <w:pPr>
        <w:keepNext w:val="0"/>
        <w:keepLines w:val="0"/>
        <w:pageBreakBefore w:val="0"/>
        <w:widowControl w:val="0"/>
        <w:kinsoku/>
        <w:wordWrap/>
        <w:overflowPunct/>
        <w:topLinePunct w:val="0"/>
        <w:autoSpaceDE/>
        <w:autoSpaceDN/>
        <w:bidi w:val="0"/>
        <w:adjustRightInd/>
        <w:snapToGrid/>
        <w:spacing w:beforeAutospacing="0" w:line="59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2022年整体支出绩效自评报告</w:t>
      </w:r>
    </w:p>
    <w:p>
      <w:pPr>
        <w:pStyle w:val="11"/>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黑体简体" w:cs="Times New Roman"/>
          <w:sz w:val="33"/>
          <w:szCs w:val="33"/>
          <w:lang w:val="en-US" w:eastAsia="zh-CN"/>
        </w:rPr>
      </w:pPr>
      <w:r>
        <w:rPr>
          <w:rFonts w:hint="default" w:ascii="Times New Roman" w:hAnsi="Times New Roman" w:eastAsia="方正黑体简体" w:cs="Times New Roman"/>
          <w:sz w:val="33"/>
          <w:szCs w:val="33"/>
          <w:lang w:val="en-US" w:eastAsia="zh-CN"/>
        </w:rPr>
        <w:t>一、部门（单位）概况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3" w:firstLineChars="200"/>
        <w:jc w:val="both"/>
        <w:textAlignment w:val="auto"/>
        <w:rPr>
          <w:rFonts w:hint="default" w:ascii="Times New Roman" w:hAnsi="Times New Roman" w:eastAsia="方正楷体简体" w:cs="Times New Roman"/>
          <w:b/>
          <w:bCs/>
          <w:sz w:val="33"/>
          <w:szCs w:val="33"/>
          <w:lang w:val="en-US" w:eastAsia="zh-CN"/>
        </w:rPr>
      </w:pPr>
      <w:r>
        <w:rPr>
          <w:rFonts w:hint="default" w:ascii="Times New Roman" w:hAnsi="Times New Roman" w:eastAsia="方正楷体简体" w:cs="Times New Roman"/>
          <w:b/>
          <w:bCs/>
          <w:sz w:val="33"/>
          <w:szCs w:val="33"/>
          <w:lang w:val="en-US" w:eastAsia="zh-CN"/>
        </w:rPr>
        <w:t>（一）机构组成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楷体简体" w:cs="Times New Roman"/>
          <w:sz w:val="33"/>
          <w:szCs w:val="33"/>
          <w:lang w:val="en-US" w:eastAsia="zh-CN"/>
        </w:rPr>
      </w:pPr>
      <w:r>
        <w:rPr>
          <w:rFonts w:hint="default" w:ascii="Times New Roman" w:hAnsi="Times New Roman" w:eastAsia="方正仿宋简体" w:cs="Times New Roman"/>
          <w:color w:val="000000"/>
          <w:sz w:val="33"/>
          <w:szCs w:val="33"/>
          <w:lang w:val="en-US" w:eastAsia="zh-CN"/>
        </w:rPr>
        <w:t>资阳市雁江区红十字会于2021年12月经区委机构编制委员会审议、区委批准，为区委领导下的群众团体，属参公事业单位，内设办公室、赈济股。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jc w:val="both"/>
        <w:textAlignment w:val="auto"/>
        <w:rPr>
          <w:rFonts w:hint="default" w:ascii="Times New Roman" w:hAnsi="Times New Roman" w:eastAsia="方正楷体简体" w:cs="Times New Roman"/>
          <w:b/>
          <w:bCs/>
          <w:sz w:val="33"/>
          <w:szCs w:val="33"/>
          <w:lang w:val="en-US" w:eastAsia="zh-CN"/>
        </w:rPr>
      </w:pPr>
      <w:r>
        <w:rPr>
          <w:rFonts w:hint="default" w:ascii="Times New Roman" w:hAnsi="Times New Roman" w:eastAsia="方正楷体简体" w:cs="Times New Roman"/>
          <w:b/>
          <w:bCs/>
          <w:sz w:val="33"/>
          <w:szCs w:val="33"/>
          <w:lang w:val="en-US" w:eastAsia="zh-CN"/>
        </w:rPr>
        <w:t xml:space="preserve">    （二）机构职能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1.贯彻落实《中华人民共和国红十字会法》及有关法规，执行《中国红十字会章程》，拟订并实施雁江区红十字事业发展规划。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2.开展救援救灾的相关工作，建立红十字应急救援体系，在自然灾害、事故灾难、公共卫生事件等突发事件中，向伤病人员和其他受害者提供紧急救援和人道救助。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3.开展应急救护培训，普及应急救护、防灾避险和卫生健康知识，组织红十字志愿者参与现场救护。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4.参与、推动无偿献血、遗体和人体器官（组织）捐献工作，参与开展造血干细胞捐献的相关工作。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5.开展人道领域内的社会公益活动，参与基层社会治理，对特殊困难对象进行人道救助。参与或兴办医疗、康复、养老等与红十字会宗旨相符的社会公益事业。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6.依法开展募捐活动。依法依规接受和处理分配捐赠款物。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7.组织开展红十字志愿服务，开展有益于青少年身心健康、弘扬人道主义精神的红十字青少年活动。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8.在中国红十字会总会、四川省红十字会和资阳市红十字会的指导下，开展与国（境）外红十字组织的友好合作与交流，参与国际人道主义救助工作。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9.指导红十字会基层组织加强自身建设、组织建设和开展各项工作。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楷体简体" w:cs="Times New Roman"/>
          <w:sz w:val="33"/>
          <w:szCs w:val="33"/>
          <w:lang w:val="en-US" w:eastAsia="zh-CN"/>
        </w:rPr>
      </w:pPr>
      <w:r>
        <w:rPr>
          <w:rFonts w:hint="default" w:ascii="Times New Roman" w:hAnsi="Times New Roman" w:eastAsia="方正仿宋简体" w:cs="Times New Roman"/>
          <w:color w:val="000000"/>
          <w:sz w:val="33"/>
          <w:szCs w:val="33"/>
          <w:lang w:val="en-US" w:eastAsia="zh-CN"/>
        </w:rPr>
        <w:t>10.完成区委、区政府和省、市红十字会交办、委托的其他任务。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jc w:val="both"/>
        <w:textAlignment w:val="auto"/>
        <w:rPr>
          <w:rFonts w:hint="default" w:ascii="Times New Roman" w:hAnsi="Times New Roman" w:eastAsia="方正楷体简体" w:cs="Times New Roman"/>
          <w:b/>
          <w:bCs/>
          <w:sz w:val="33"/>
          <w:szCs w:val="33"/>
          <w:lang w:val="en-US" w:eastAsia="zh-CN"/>
        </w:rPr>
      </w:pPr>
      <w:r>
        <w:rPr>
          <w:rFonts w:hint="default" w:ascii="Times New Roman" w:hAnsi="Times New Roman" w:eastAsia="方正楷体简体" w:cs="Times New Roman"/>
          <w:b/>
          <w:bCs/>
          <w:sz w:val="33"/>
          <w:szCs w:val="33"/>
          <w:lang w:val="en-US" w:eastAsia="zh-CN"/>
        </w:rPr>
        <w:t xml:space="preserve">    （三）人员概况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firstLine="660" w:firstLineChars="200"/>
        <w:jc w:val="both"/>
        <w:textAlignment w:val="auto"/>
        <w:rPr>
          <w:rFonts w:hint="default" w:ascii="Times New Roman" w:hAnsi="Times New Roman" w:eastAsia="方正仿宋简体" w:cs="Times New Roman"/>
          <w:color w:val="000000"/>
          <w:sz w:val="33"/>
          <w:szCs w:val="33"/>
          <w:lang w:val="en-US" w:eastAsia="zh-CN"/>
        </w:rPr>
      </w:pPr>
      <w:r>
        <w:rPr>
          <w:rFonts w:hint="default" w:ascii="Times New Roman" w:hAnsi="Times New Roman" w:eastAsia="方正仿宋简体" w:cs="Times New Roman"/>
          <w:color w:val="000000"/>
          <w:sz w:val="33"/>
          <w:szCs w:val="33"/>
          <w:lang w:val="en-US" w:eastAsia="zh-CN"/>
        </w:rPr>
        <w:t>资阳市雁江区红十字会人员编制6名，设常务副会长1名（正科级），副会长兼秘书长1名（副科级），内设机构2个，中层职数3名（含监事会专职副监事长1名）。2022年在编人员4名，分别为：副会长兼秘书长1名，专职副监事长1名，工作人员2名。</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二、部门</w:t>
      </w:r>
      <w:r>
        <w:rPr>
          <w:rFonts w:hint="default" w:ascii="Times New Roman" w:hAnsi="Times New Roman" w:eastAsia="方正黑体_GBK" w:cs="Times New Roman"/>
          <w:sz w:val="33"/>
          <w:szCs w:val="33"/>
          <w:lang w:val="en-US" w:eastAsia="zh-CN"/>
        </w:rPr>
        <w:t>（单位）</w:t>
      </w:r>
      <w:r>
        <w:rPr>
          <w:rFonts w:hint="default" w:ascii="Times New Roman" w:hAnsi="Times New Roman" w:eastAsia="方正黑体_GBK" w:cs="Times New Roman"/>
          <w:sz w:val="33"/>
          <w:szCs w:val="33"/>
        </w:rPr>
        <w:t>财政资金收支情况</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rPr>
        <w:t>（一）部门</w:t>
      </w:r>
      <w:r>
        <w:rPr>
          <w:rFonts w:hint="default" w:ascii="Times New Roman" w:hAnsi="Times New Roman" w:eastAsia="方正楷体_GBK" w:cs="Times New Roman"/>
          <w:b/>
          <w:bCs w:val="0"/>
          <w:sz w:val="33"/>
          <w:szCs w:val="33"/>
          <w:lang w:val="en-US" w:eastAsia="zh-CN"/>
        </w:rPr>
        <w:t>（单位）</w:t>
      </w:r>
      <w:r>
        <w:rPr>
          <w:rFonts w:hint="default" w:ascii="Times New Roman" w:hAnsi="Times New Roman" w:eastAsia="方正楷体_GBK" w:cs="Times New Roman"/>
          <w:b/>
          <w:bCs w:val="0"/>
          <w:sz w:val="33"/>
          <w:szCs w:val="33"/>
        </w:rPr>
        <w:t>财政资金收入情况</w:t>
      </w:r>
    </w:p>
    <w:p>
      <w:pPr>
        <w:pStyle w:val="6"/>
        <w:keepNext w:val="0"/>
        <w:keepLines w:val="0"/>
        <w:pageBreakBefore w:val="0"/>
        <w:widowControl w:val="0"/>
        <w:kinsoku/>
        <w:wordWrap/>
        <w:overflowPunct/>
        <w:topLinePunct w:val="0"/>
        <w:autoSpaceDE/>
        <w:autoSpaceDN/>
        <w:bidi w:val="0"/>
        <w:adjustRightInd/>
        <w:snapToGrid/>
        <w:spacing w:beforeAutospacing="0" w:line="590" w:lineRule="exact"/>
        <w:textAlignment w:val="auto"/>
        <w:rPr>
          <w:rFonts w:hint="default" w:ascii="Times New Roman" w:hAnsi="Times New Roman" w:eastAsia="方正仿宋简体" w:cs="Times New Roman"/>
          <w:color w:val="000000"/>
          <w:kern w:val="2"/>
          <w:sz w:val="33"/>
          <w:szCs w:val="33"/>
          <w:lang w:val="en-US" w:eastAsia="zh-CN" w:bidi="ar-SA"/>
        </w:rPr>
      </w:pPr>
      <w:r>
        <w:rPr>
          <w:rFonts w:hint="default" w:ascii="Times New Roman" w:hAnsi="Times New Roman" w:eastAsia="仿宋" w:cs="Times New Roman"/>
          <w:sz w:val="33"/>
          <w:szCs w:val="33"/>
          <w:lang w:val="en-US" w:eastAsia="zh-CN"/>
        </w:rPr>
        <w:t>2022年，本单位</w:t>
      </w:r>
      <w:r>
        <w:rPr>
          <w:rFonts w:hint="default" w:ascii="Times New Roman" w:hAnsi="Times New Roman" w:eastAsia="方正仿宋简体" w:cs="Times New Roman"/>
          <w:color w:val="000000"/>
          <w:kern w:val="2"/>
          <w:sz w:val="33"/>
          <w:szCs w:val="33"/>
          <w:lang w:val="en-US" w:eastAsia="zh-CN" w:bidi="ar-SA"/>
        </w:rPr>
        <w:t>财政拨款收入总额52.43万元（其中基本收入41.38万元，项目收入11.05万元）。</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line="590" w:lineRule="exact"/>
        <w:ind w:left="-13" w:leftChars="0" w:firstLine="643" w:firstLineChars="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rPr>
        <w:t>部门</w:t>
      </w:r>
      <w:r>
        <w:rPr>
          <w:rFonts w:hint="default" w:ascii="Times New Roman" w:hAnsi="Times New Roman" w:eastAsia="方正楷体_GBK" w:cs="Times New Roman"/>
          <w:b/>
          <w:bCs w:val="0"/>
          <w:sz w:val="33"/>
          <w:szCs w:val="33"/>
          <w:lang w:val="en-US" w:eastAsia="zh-CN"/>
        </w:rPr>
        <w:t>（单位）财政</w:t>
      </w:r>
      <w:r>
        <w:rPr>
          <w:rFonts w:hint="default" w:ascii="Times New Roman" w:hAnsi="Times New Roman" w:eastAsia="方正楷体_GBK" w:cs="Times New Roman"/>
          <w:b/>
          <w:bCs w:val="0"/>
          <w:sz w:val="33"/>
          <w:szCs w:val="33"/>
        </w:rPr>
        <w:t>资金支出情况</w:t>
      </w:r>
    </w:p>
    <w:p>
      <w:pPr>
        <w:pStyle w:val="6"/>
        <w:keepNext w:val="0"/>
        <w:keepLines w:val="0"/>
        <w:pageBreakBefore w:val="0"/>
        <w:widowControl w:val="0"/>
        <w:kinsoku/>
        <w:wordWrap/>
        <w:overflowPunct/>
        <w:topLinePunct w:val="0"/>
        <w:autoSpaceDE/>
        <w:autoSpaceDN/>
        <w:bidi w:val="0"/>
        <w:adjustRightInd/>
        <w:snapToGrid/>
        <w:spacing w:beforeAutospacing="0" w:line="590" w:lineRule="exact"/>
        <w:textAlignment w:val="auto"/>
        <w:rPr>
          <w:rFonts w:hint="default" w:ascii="Times New Roman" w:hAnsi="Times New Roman" w:cs="Times New Roman"/>
          <w:sz w:val="33"/>
          <w:szCs w:val="33"/>
        </w:rPr>
      </w:pPr>
      <w:r>
        <w:rPr>
          <w:rFonts w:hint="default" w:ascii="Times New Roman" w:hAnsi="Times New Roman" w:eastAsia="仿宋" w:cs="Times New Roman"/>
          <w:sz w:val="33"/>
          <w:szCs w:val="33"/>
          <w:lang w:val="en-US" w:eastAsia="zh-CN"/>
        </w:rPr>
        <w:t>2022年，本单位</w:t>
      </w:r>
      <w:r>
        <w:rPr>
          <w:rFonts w:hint="default" w:ascii="Times New Roman" w:hAnsi="Times New Roman" w:eastAsia="方正仿宋简体" w:cs="Times New Roman"/>
          <w:color w:val="000000"/>
          <w:kern w:val="2"/>
          <w:sz w:val="33"/>
          <w:szCs w:val="33"/>
          <w:lang w:val="en-US" w:eastAsia="zh-CN" w:bidi="ar-SA"/>
        </w:rPr>
        <w:t>财政拨款支出总额52.43万元（其中基本支出41.38万元，项目支出11.05万元）。</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三、评价工作开展情况</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rPr>
        <w:t>（一）自评工作组织领导</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color w:val="000000"/>
          <w:kern w:val="0"/>
          <w:sz w:val="33"/>
          <w:szCs w:val="33"/>
          <w:lang w:eastAsia="zh-CN"/>
        </w:rPr>
      </w:pPr>
      <w:r>
        <w:rPr>
          <w:rFonts w:hint="default" w:ascii="Times New Roman" w:hAnsi="Times New Roman" w:eastAsia="方正仿宋简体" w:cs="Times New Roman"/>
          <w:snapToGrid w:val="0"/>
          <w:color w:val="auto"/>
          <w:kern w:val="0"/>
          <w:sz w:val="33"/>
          <w:szCs w:val="33"/>
          <w:lang w:val="en-US" w:eastAsia="zh-CN"/>
        </w:rPr>
        <w:t>本单位</w:t>
      </w:r>
      <w:r>
        <w:rPr>
          <w:rFonts w:hint="default" w:ascii="Times New Roman" w:hAnsi="Times New Roman" w:eastAsia="方正仿宋简体" w:cs="Times New Roman"/>
          <w:b w:val="0"/>
          <w:bCs w:val="0"/>
          <w:color w:val="000000"/>
          <w:kern w:val="0"/>
          <w:sz w:val="33"/>
          <w:szCs w:val="33"/>
          <w:lang w:val="en-US" w:eastAsia="zh-CN"/>
        </w:rPr>
        <w:t>预算绩效</w:t>
      </w:r>
      <w:r>
        <w:rPr>
          <w:rFonts w:hint="default" w:ascii="Times New Roman" w:hAnsi="Times New Roman" w:eastAsia="方正仿宋简体" w:cs="Times New Roman"/>
          <w:b w:val="0"/>
          <w:bCs w:val="0"/>
          <w:color w:val="000000"/>
          <w:kern w:val="0"/>
          <w:sz w:val="33"/>
          <w:szCs w:val="33"/>
          <w:lang w:eastAsia="zh-CN"/>
        </w:rPr>
        <w:t>领导小组，组员名单如下：</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rPr>
      </w:pPr>
      <w:r>
        <w:rPr>
          <w:rFonts w:hint="default" w:ascii="Times New Roman" w:hAnsi="Times New Roman" w:eastAsia="方正仿宋简体" w:cs="Times New Roman"/>
          <w:snapToGrid w:val="0"/>
          <w:color w:val="000000"/>
          <w:kern w:val="0"/>
          <w:sz w:val="33"/>
          <w:szCs w:val="33"/>
          <w:lang w:val="en-US" w:eastAsia="zh-CN"/>
        </w:rPr>
        <w:t>组  长：容乙丹  常务副会长</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rPr>
      </w:pPr>
      <w:r>
        <w:rPr>
          <w:rFonts w:hint="default" w:ascii="Times New Roman" w:hAnsi="Times New Roman" w:eastAsia="方正仿宋简体" w:cs="Times New Roman"/>
          <w:snapToGrid w:val="0"/>
          <w:color w:val="000000"/>
          <w:kern w:val="0"/>
          <w:sz w:val="33"/>
          <w:szCs w:val="33"/>
          <w:lang w:val="en-US" w:eastAsia="zh-CN"/>
        </w:rPr>
        <w:t>副组长：万  琴  副监事长、赈济股股长</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rPr>
      </w:pPr>
      <w:r>
        <w:rPr>
          <w:rFonts w:hint="default" w:ascii="Times New Roman" w:hAnsi="Times New Roman" w:eastAsia="方正仿宋简体" w:cs="Times New Roman"/>
          <w:snapToGrid w:val="0"/>
          <w:color w:val="000000"/>
          <w:kern w:val="0"/>
          <w:sz w:val="33"/>
          <w:szCs w:val="33"/>
          <w:lang w:val="en-US" w:eastAsia="zh-CN"/>
        </w:rPr>
        <w:t>成  员：段春蓉  杨雅岚  陈瑶（会计）  朱燕（出纳）</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rPr>
      </w:pPr>
      <w:r>
        <w:rPr>
          <w:rFonts w:hint="default" w:ascii="Times New Roman" w:hAnsi="Times New Roman" w:eastAsia="方正仿宋简体" w:cs="Times New Roman"/>
          <w:snapToGrid w:val="0"/>
          <w:color w:val="000000"/>
          <w:kern w:val="0"/>
          <w:sz w:val="33"/>
          <w:szCs w:val="33"/>
          <w:lang w:val="en-US" w:eastAsia="zh-CN"/>
        </w:rPr>
        <w:t>领导小组下设办公室，由万琴负责牵头协调，由陈瑶、朱燕负责具体工作。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90" w:lineRule="exact"/>
        <w:ind w:left="630" w:leftChars="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lang w:eastAsia="zh-CN"/>
        </w:rPr>
        <w:t>（二）</w:t>
      </w:r>
      <w:r>
        <w:rPr>
          <w:rFonts w:hint="default" w:ascii="Times New Roman" w:hAnsi="Times New Roman" w:eastAsia="方正楷体_GBK" w:cs="Times New Roman"/>
          <w:b/>
          <w:bCs w:val="0"/>
          <w:sz w:val="33"/>
          <w:szCs w:val="33"/>
        </w:rPr>
        <w:t>自评方式、方法、重点等</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仿宋简体" w:cs="Times New Roman"/>
          <w:b/>
          <w:bCs/>
          <w:snapToGrid w:val="0"/>
          <w:color w:val="000000"/>
          <w:kern w:val="0"/>
          <w:sz w:val="33"/>
          <w:szCs w:val="33"/>
          <w:lang w:eastAsia="zh-CN"/>
        </w:rPr>
      </w:pPr>
      <w:r>
        <w:rPr>
          <w:rFonts w:hint="default" w:ascii="Times New Roman" w:hAnsi="Times New Roman" w:eastAsia="方正仿宋简体" w:cs="Times New Roman"/>
          <w:b/>
          <w:bCs/>
          <w:snapToGrid w:val="0"/>
          <w:color w:val="000000"/>
          <w:kern w:val="0"/>
          <w:sz w:val="33"/>
          <w:szCs w:val="33"/>
          <w:lang w:eastAsia="zh-CN"/>
        </w:rPr>
        <w:t>1.绩效评价标准及方法</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eastAsia="zh-CN"/>
        </w:rPr>
      </w:pPr>
      <w:r>
        <w:rPr>
          <w:rFonts w:hint="default" w:ascii="Times New Roman" w:hAnsi="Times New Roman" w:eastAsia="方正仿宋简体" w:cs="Times New Roman"/>
          <w:snapToGrid w:val="0"/>
          <w:color w:val="000000"/>
          <w:kern w:val="0"/>
          <w:sz w:val="33"/>
          <w:szCs w:val="33"/>
          <w:lang w:eastAsia="zh-CN"/>
        </w:rPr>
        <w:t>由赈济股负责收集项目实施资料，掌握项目立项决策、项目资金落实、项目实施管理、财务管理全过程；收集项目完成情况与立项时绩效目标开展对比；并通过发放问卷，对受益对象开展满意度问卷调查。对项目绩效差异通过因素分析，分析内、外部因素，并提出改进措施及建议。</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eastAsia="zh-CN"/>
        </w:rPr>
      </w:pPr>
      <w:r>
        <w:rPr>
          <w:rFonts w:hint="default" w:ascii="Times New Roman" w:hAnsi="Times New Roman" w:eastAsia="方正仿宋简体" w:cs="Times New Roman"/>
          <w:snapToGrid w:val="0"/>
          <w:color w:val="000000"/>
          <w:kern w:val="0"/>
          <w:sz w:val="33"/>
          <w:szCs w:val="33"/>
          <w:lang w:eastAsia="zh-CN"/>
        </w:rPr>
        <w:t>办公室负责收集单位“三定方案”、单位制定的中长期实施规划、单位实际在职人数、基本支出和项目支出明细账；负责收集单位的各项管理制度并抽查业务科室对管理制度的执行情况；负责收集预决算信息公开材料；负责收集实际政府采购项目、金额及计划政府采购项目、金额数据；负责收集资产管理制度、并抽查业务科室对管理制度的执行情况；负责收集并提供资产管理的全过程档案资料；固定资产利用情况。</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仿宋简体" w:cs="Times New Roman"/>
          <w:b/>
          <w:bCs/>
          <w:snapToGrid w:val="0"/>
          <w:color w:val="000000"/>
          <w:kern w:val="0"/>
          <w:sz w:val="33"/>
          <w:szCs w:val="33"/>
          <w:lang w:val="en-US" w:eastAsia="zh-CN" w:bidi="ar-SA"/>
        </w:rPr>
      </w:pPr>
      <w:r>
        <w:rPr>
          <w:rFonts w:hint="default" w:ascii="Times New Roman" w:hAnsi="Times New Roman" w:eastAsia="方正仿宋简体" w:cs="Times New Roman"/>
          <w:b/>
          <w:bCs/>
          <w:snapToGrid w:val="0"/>
          <w:color w:val="000000"/>
          <w:kern w:val="0"/>
          <w:sz w:val="33"/>
          <w:szCs w:val="33"/>
          <w:lang w:val="en-US" w:eastAsia="zh-CN" w:bidi="ar-SA"/>
        </w:rPr>
        <w:t>2.绩效评价指标体系及重点</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bidi="ar-SA"/>
        </w:rPr>
      </w:pPr>
      <w:r>
        <w:rPr>
          <w:rFonts w:hint="default" w:ascii="Times New Roman" w:hAnsi="Times New Roman" w:eastAsia="方正仿宋简体" w:cs="Times New Roman"/>
          <w:snapToGrid w:val="0"/>
          <w:color w:val="000000"/>
          <w:kern w:val="0"/>
          <w:sz w:val="33"/>
          <w:szCs w:val="33"/>
          <w:lang w:val="en-US" w:eastAsia="zh-CN" w:bidi="ar-SA"/>
        </w:rPr>
        <w:t>本单位绩效评价指标分为“投入”、“过程”、“产出”、“效益”四大类。指标数据来源于政府文件、相关业务科室项目资料、单位财务明细账、预决算数据、实地调研、问卷调查等。</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bidi="ar-SA"/>
        </w:rPr>
      </w:pPr>
      <w:r>
        <w:rPr>
          <w:rFonts w:hint="default" w:ascii="Times New Roman" w:hAnsi="Times New Roman" w:eastAsia="方正仿宋简体" w:cs="Times New Roman"/>
          <w:snapToGrid w:val="0"/>
          <w:color w:val="000000"/>
          <w:kern w:val="0"/>
          <w:sz w:val="33"/>
          <w:szCs w:val="33"/>
          <w:lang w:val="en-US" w:eastAsia="zh-CN" w:bidi="ar-SA"/>
        </w:rPr>
        <w:t>“投入”指标关注重点：根据《资阳市雁江区红十字事业发展规划（2021-2025年）》以及2022年度重点任务、绩效指标明确性、在职人员等是否存在超编情况、重点支出是否与本单位履职和发展密切相关、重点支出是否具有明显社会和经济影响、重点支出是否是</w:t>
      </w:r>
      <w:r>
        <w:rPr>
          <w:rFonts w:hint="eastAsia" w:eastAsia="方正仿宋简体" w:cs="Times New Roman"/>
          <w:snapToGrid w:val="0"/>
          <w:color w:val="000000"/>
          <w:kern w:val="0"/>
          <w:sz w:val="33"/>
          <w:szCs w:val="33"/>
          <w:lang w:val="en-US" w:eastAsia="zh-CN" w:bidi="ar-SA"/>
        </w:rPr>
        <w:t>党委、政府</w:t>
      </w:r>
      <w:r>
        <w:rPr>
          <w:rFonts w:hint="default" w:ascii="Times New Roman" w:hAnsi="Times New Roman" w:eastAsia="方正仿宋简体" w:cs="Times New Roman"/>
          <w:snapToGrid w:val="0"/>
          <w:color w:val="000000"/>
          <w:kern w:val="0"/>
          <w:sz w:val="33"/>
          <w:szCs w:val="33"/>
          <w:lang w:val="en-US" w:eastAsia="zh-CN" w:bidi="ar-SA"/>
        </w:rPr>
        <w:t>关心或社会比较关注的支出。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bidi="ar-SA"/>
        </w:rPr>
      </w:pPr>
      <w:r>
        <w:rPr>
          <w:rFonts w:hint="default" w:ascii="Times New Roman" w:hAnsi="Times New Roman" w:eastAsia="方正仿宋简体" w:cs="Times New Roman"/>
          <w:snapToGrid w:val="0"/>
          <w:color w:val="000000"/>
          <w:kern w:val="0"/>
          <w:sz w:val="33"/>
          <w:szCs w:val="33"/>
          <w:lang w:val="en-US" w:eastAsia="zh-CN" w:bidi="ar-SA"/>
        </w:rPr>
        <w:t>“过程”指标关注重点：预算调整是否较大、支付进度是否达标、结转结余是否在合理范围内、政府采购执行是否良好；单位管理制度是否健全、制度</w:t>
      </w:r>
      <w:r>
        <w:rPr>
          <w:rFonts w:hint="eastAsia" w:ascii="Times New Roman" w:eastAsia="方正仿宋简体" w:cs="Times New Roman"/>
          <w:snapToGrid w:val="0"/>
          <w:color w:val="000000"/>
          <w:kern w:val="0"/>
          <w:sz w:val="33"/>
          <w:szCs w:val="33"/>
          <w:lang w:val="en-US" w:eastAsia="zh-CN" w:bidi="ar-SA"/>
        </w:rPr>
        <w:t>执行</w:t>
      </w:r>
      <w:r>
        <w:rPr>
          <w:rFonts w:hint="default" w:ascii="Times New Roman" w:hAnsi="Times New Roman" w:eastAsia="方正仿宋简体" w:cs="Times New Roman"/>
          <w:snapToGrid w:val="0"/>
          <w:color w:val="000000"/>
          <w:kern w:val="0"/>
          <w:sz w:val="33"/>
          <w:szCs w:val="33"/>
          <w:lang w:val="en-US" w:eastAsia="zh-CN" w:bidi="ar-SA"/>
        </w:rPr>
        <w:t>是否效性、资金使用是否合规性、财务监控是否有效性；单位资产是否保存完整、使用合规、配置合理、处置规范、收入及时足额上缴；固定资产利用情况是否良好。</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snapToGrid w:val="0"/>
          <w:color w:val="000000"/>
          <w:kern w:val="0"/>
          <w:sz w:val="33"/>
          <w:szCs w:val="33"/>
          <w:lang w:val="en-US" w:eastAsia="zh-CN" w:bidi="ar-SA"/>
        </w:rPr>
      </w:pPr>
      <w:r>
        <w:rPr>
          <w:rFonts w:hint="default" w:ascii="Times New Roman" w:hAnsi="Times New Roman" w:eastAsia="方正仿宋简体" w:cs="Times New Roman"/>
          <w:snapToGrid w:val="0"/>
          <w:color w:val="000000"/>
          <w:kern w:val="0"/>
          <w:sz w:val="33"/>
          <w:szCs w:val="33"/>
          <w:lang w:val="en-US" w:eastAsia="zh-CN" w:bidi="ar-SA"/>
        </w:rPr>
        <w:t>“产出”指标关注重点：与红十字职能职责和发展密切相关、具有明显社会和经济影响、</w:t>
      </w:r>
      <w:r>
        <w:rPr>
          <w:rFonts w:hint="eastAsia" w:eastAsia="方正仿宋简体" w:cs="Times New Roman"/>
          <w:snapToGrid w:val="0"/>
          <w:color w:val="000000"/>
          <w:kern w:val="0"/>
          <w:sz w:val="33"/>
          <w:szCs w:val="33"/>
          <w:lang w:val="en-US" w:eastAsia="zh-CN" w:bidi="ar-SA"/>
        </w:rPr>
        <w:t>党委、政府</w:t>
      </w:r>
      <w:r>
        <w:rPr>
          <w:rFonts w:hint="default" w:ascii="Times New Roman" w:hAnsi="Times New Roman" w:eastAsia="方正仿宋简体" w:cs="Times New Roman"/>
          <w:snapToGrid w:val="0"/>
          <w:color w:val="000000"/>
          <w:kern w:val="0"/>
          <w:sz w:val="33"/>
          <w:szCs w:val="33"/>
          <w:lang w:val="en-US" w:eastAsia="zh-CN" w:bidi="ar-SA"/>
        </w:rPr>
        <w:t>关心或社会比较关注的重点支出的产出指标完成情况。</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cs="Times New Roman"/>
          <w:sz w:val="33"/>
          <w:szCs w:val="33"/>
          <w:lang w:eastAsia="zh-CN"/>
        </w:rPr>
      </w:pPr>
      <w:r>
        <w:rPr>
          <w:rFonts w:hint="default" w:ascii="Times New Roman" w:hAnsi="Times New Roman" w:eastAsia="方正仿宋简体" w:cs="Times New Roman"/>
          <w:snapToGrid w:val="0"/>
          <w:color w:val="000000"/>
          <w:kern w:val="0"/>
          <w:sz w:val="33"/>
          <w:szCs w:val="33"/>
          <w:lang w:val="en-US" w:eastAsia="zh-CN" w:bidi="ar-SA"/>
        </w:rPr>
        <w:t>“效益”指标关注重点：与红十字职能职责和发展密切相关、具有明显社会和经济影响、</w:t>
      </w:r>
      <w:r>
        <w:rPr>
          <w:rFonts w:hint="eastAsia" w:ascii="Times New Roman" w:eastAsia="方正仿宋简体" w:cs="Times New Roman"/>
          <w:snapToGrid w:val="0"/>
          <w:color w:val="000000"/>
          <w:kern w:val="0"/>
          <w:sz w:val="33"/>
          <w:szCs w:val="33"/>
          <w:lang w:val="en-US" w:eastAsia="zh-CN" w:bidi="ar-SA"/>
        </w:rPr>
        <w:t>党委、政府</w:t>
      </w:r>
      <w:r>
        <w:rPr>
          <w:rFonts w:hint="default" w:ascii="Times New Roman" w:hAnsi="Times New Roman" w:eastAsia="方正仿宋简体" w:cs="Times New Roman"/>
          <w:snapToGrid w:val="0"/>
          <w:color w:val="000000"/>
          <w:kern w:val="0"/>
          <w:sz w:val="33"/>
          <w:szCs w:val="33"/>
          <w:lang w:val="en-US" w:eastAsia="zh-CN" w:bidi="ar-SA"/>
        </w:rPr>
        <w:t>关心或社会比较关注的重点支出的效益指标实现情况；以及服务对象满意度。</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四、评价结论</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kern w:val="0"/>
          <w:sz w:val="33"/>
          <w:szCs w:val="33"/>
          <w:lang w:val="en-US" w:eastAsia="zh-CN" w:bidi="ar-SA"/>
        </w:rPr>
      </w:pPr>
      <w:r>
        <w:rPr>
          <w:rFonts w:hint="default" w:ascii="Times New Roman" w:hAnsi="Times New Roman" w:eastAsia="方正仿宋简体" w:cs="Times New Roman"/>
          <w:kern w:val="0"/>
          <w:sz w:val="33"/>
          <w:szCs w:val="33"/>
          <w:lang w:val="en-US" w:eastAsia="zh-CN" w:bidi="ar-SA"/>
        </w:rPr>
        <w:t>总体而言，本单位年度重点任务完成好、在职人员控制好、无“三公经费”使用；预算调整率2%、支付进度率100%、政府采购执行率73.5%；单位管理制度健全、制度</w:t>
      </w:r>
      <w:r>
        <w:rPr>
          <w:rFonts w:hint="eastAsia" w:ascii="Times New Roman" w:eastAsia="方正仿宋简体" w:cs="Times New Roman"/>
          <w:kern w:val="0"/>
          <w:sz w:val="33"/>
          <w:szCs w:val="33"/>
          <w:lang w:val="en-US" w:eastAsia="zh-CN" w:bidi="ar-SA"/>
        </w:rPr>
        <w:t>执行</w:t>
      </w:r>
      <w:r>
        <w:rPr>
          <w:rFonts w:hint="default" w:ascii="Times New Roman" w:hAnsi="Times New Roman" w:eastAsia="方正仿宋简体" w:cs="Times New Roman"/>
          <w:kern w:val="0"/>
          <w:sz w:val="33"/>
          <w:szCs w:val="33"/>
          <w:lang w:val="en-US" w:eastAsia="zh-CN" w:bidi="ar-SA"/>
        </w:rPr>
        <w:t>效性、资金使用合规性；单位资产保存完整、使用合规、配置合理，固定资产利用率83.3%。完成单位开办，实现独立办公，聘请红十字工作经验丰富的业务人员1名，充实干部队伍，纵深推进红十字改革各项工作，圆满完成区委、区政府以及市红十字会交办的各项任务。自评级得分94分，等级为优。</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五、绩效分析</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rPr>
        <w:t>（一）指标分析</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1.目标设定（5分）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绩效目标合理性（2分）。①本单位绩效目标符合中央、省、市、区关于红十字会改革方案，单位“三定方案以及《资阳市雁江区红十字事业发展规划（2021-2025年）》中完善体制机制、充实专业人员等要求。此项得5分。</w:t>
      </w:r>
    </w:p>
    <w:p>
      <w:pPr>
        <w:pStyle w:val="17"/>
        <w:keepNext w:val="0"/>
        <w:keepLines w:val="0"/>
        <w:pageBreakBefore w:val="0"/>
        <w:widowControl w:val="0"/>
        <w:kinsoku/>
        <w:wordWrap/>
        <w:overflowPunct/>
        <w:topLinePunct w:val="0"/>
        <w:autoSpaceDE/>
        <w:autoSpaceDN/>
        <w:bidi w:val="0"/>
        <w:adjustRightInd/>
        <w:snapToGrid/>
        <w:spacing w:before="0" w:beforeAutospacing="0" w:after="0" w:line="590" w:lineRule="exact"/>
        <w:ind w:firstLine="660" w:firstLineChars="200"/>
        <w:jc w:val="left"/>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绩效指标明确性（3分）。①单位整体的绩效目标为:深化雁江区红十字会改革，完善治理结构和运行机制，实现独立办公；充实专业人员，强化干部队伍；依法开展应急救护培训、人道救助、公益宣传等与红十字职能工作。②单位整体的绩效目标均量化为绩效指标，从数量、质量、成本、效益、可持续、满意度6个方面设置了17条具体指标，绩效指标均量化、清晰，可衡量。③指标中大病儿童救助、应急救护培训、造血干细胞捐献等均与单位年度任务相对应。④因单位为2022年新独立单位，本年度财政预算资金主要用于单位运行和体制建设，与市红十字会下达的具体工作任务项目不完全匹配。综上，扣除0.5分，此项得2.5分。</w:t>
      </w:r>
    </w:p>
    <w:p>
      <w:pPr>
        <w:pStyle w:val="17"/>
        <w:keepNext w:val="0"/>
        <w:keepLines w:val="0"/>
        <w:pageBreakBefore w:val="0"/>
        <w:widowControl w:val="0"/>
        <w:kinsoku/>
        <w:wordWrap/>
        <w:overflowPunct/>
        <w:topLinePunct w:val="0"/>
        <w:autoSpaceDE/>
        <w:autoSpaceDN/>
        <w:bidi w:val="0"/>
        <w:adjustRightInd/>
        <w:snapToGrid/>
        <w:spacing w:before="0" w:beforeAutospacing="0" w:after="0" w:line="590" w:lineRule="exact"/>
        <w:ind w:firstLine="660" w:firstLineChars="200"/>
        <w:jc w:val="left"/>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2.预算配置（15分）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（1）在职人员控制率（5分）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本单位在职人员控制率66.7%。截止2022年底，实有编制4人，机构编制部门核定批复的单位的人员编制数6人。在职人员控制率66.7%小于100%。此项得5分。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（2）“三公经费”变动率（5分）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“三公经费”变动0%。本年度“三公经费”决算数为0元，因为新成立单位，无2021年相关数据，“三公经费”变动0%。此项得5分。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（3）重点支出安排率（5分）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重点支出安排率100%（如30%）。2022年度本单位项目共2个，开办经费项目和临聘人员工资项目均为保障单位正常运行，推进红十字改革工作，更好地履行职能职责，属年度重点项目，重点支出安排率为100%。此项得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3.预算执行（20分）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（1）预算完成率（4分）。预算完成率100%。此项得4分。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（2）预算调整率（2分）。预算调整率2%。临聘人员工资项目因合同签订时间较人社批复同意聘用时间晚3个月，项目追减1.05万元。此项扣除0.5分，得1.5分。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（3）支付进度率（2分）。支付进度率100%。此项得2分。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（4）结转结余率（2分）。</w:t>
      </w:r>
      <w:bookmarkStart w:id="110" w:name="_Hlk134791824"/>
      <w:r>
        <w:rPr>
          <w:rFonts w:hint="default" w:ascii="Times New Roman" w:hAnsi="Times New Roman" w:eastAsia="方正仿宋简体" w:cs="Times New Roman"/>
          <w:b w:val="0"/>
          <w:bCs w:val="0"/>
          <w:kern w:val="0"/>
          <w:sz w:val="33"/>
          <w:szCs w:val="33"/>
          <w:lang w:val="en-US" w:eastAsia="zh-CN" w:bidi="ar-SA"/>
        </w:rPr>
        <w:t>结转结余率0%</w:t>
      </w:r>
      <w:bookmarkEnd w:id="110"/>
      <w:r>
        <w:rPr>
          <w:rFonts w:hint="default" w:ascii="Times New Roman" w:hAnsi="Times New Roman" w:eastAsia="方正仿宋简体" w:cs="Times New Roman"/>
          <w:b w:val="0"/>
          <w:bCs w:val="0"/>
          <w:kern w:val="0"/>
          <w:sz w:val="33"/>
          <w:szCs w:val="33"/>
          <w:lang w:val="en-US" w:eastAsia="zh-CN" w:bidi="ar-SA"/>
        </w:rPr>
        <w:t>。此项得2分。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（5）结转结余变动率（2分）。结转结余变动率0%。本年度财政预算资金无结转结余，因为新成立单位，无2021年数据。结转结余变动率为0%。此项得2分。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（6）公用经费控制率（2分）。公用经费控制率100%。2022年度，本单位公用经费预算为2.98万元，实际支出2.98元，支出数在年初预算控制数内，公用</w:t>
      </w:r>
      <w:r>
        <w:rPr>
          <w:rFonts w:hint="eastAsia" w:ascii="Times New Roman" w:eastAsia="方正仿宋简体" w:cs="Times New Roman"/>
          <w:b w:val="0"/>
          <w:bCs w:val="0"/>
          <w:kern w:val="0"/>
          <w:sz w:val="33"/>
          <w:szCs w:val="33"/>
          <w:lang w:val="en-US" w:eastAsia="zh-CN" w:bidi="ar-SA"/>
        </w:rPr>
        <w:t>经费</w:t>
      </w:r>
      <w:r>
        <w:rPr>
          <w:rFonts w:hint="default" w:ascii="Times New Roman" w:hAnsi="Times New Roman" w:eastAsia="方正仿宋简体" w:cs="Times New Roman"/>
          <w:b w:val="0"/>
          <w:bCs w:val="0"/>
          <w:kern w:val="0"/>
          <w:sz w:val="33"/>
          <w:szCs w:val="33"/>
          <w:lang w:val="en-US" w:eastAsia="zh-CN" w:bidi="ar-SA"/>
        </w:rPr>
        <w:t>控制率100%。此项得2分。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（7）“三公经费”控制率（2分）。“三公经费”控制率100%。2022年度，本单位“三公经费”无年初预算，实际支出0元，支出数在年初预算控制数内，“三公经费”控制率100%。此项得2分。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（8）政府采购执行率（4分）。政府采购执行率73.5%。未达到预期目标值。此项扣除4分，得0分。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4.预算管理（5分）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（1）管理制度健全性（2分）</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本单位管理制度健全、执行有效。本单位制定了《财务管理办法》、《三重一大决策制度》、《预算管理制度》、《采购管理制度》、《收入管理制度》、《支出管理制度》、《合同管理制度》、《固定资产管理制度》、《会计档案管理制度》等，从“三重一大”决策、预算管理、财务管理、固定资产管理、合同管理、政府采购等方面进行了规范，内控制度基本建立；单位内部控制按照上述制度执行，内控执行有效。此项得2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（2）资金使用合规性（1分）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资金使用合规。本项目按照资阳市雁江区红十字会《收入管理制度》、《支出管理制度》等规定使用资金，资金使用符合项目预算批复及合同规定的用途，资金拨付审批程序和手续完整，不存在截留、挤占、挪用、虚列支出等情况。此项得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（3）预决算信息公开性（1分）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预决算信息公开及时、完整。本单位按照要求，于2023年1月29日通过雁江区人民政府网站公开《资阳市雁江区红十字会2023年部门预算编制说明》，公开在规定时间之内，含部门预算说明及全部附表。此项得1分。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（4）基础信息完善性（1分）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单位基础信息完整，基础数据信息和会计信息资料是完整、准确、真实。此项得1分。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5.资产管理分析（5分）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（1）管理制度健全性（2分）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管理制度健全、执行较好。本单位根据《事业单位国有资产管理暂行办法》（财政部令第36号）制定了本单位的《固定资产管理制度》，制度对资产的购置、使用及报废作了相应的规定，并按照上述办法进行资产管理，资产管理制度执行有效。此项得2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（2）资产管理安全性（2分）</w:t>
      </w:r>
      <w:r>
        <w:rPr>
          <w:rFonts w:hint="default" w:ascii="Times New Roman" w:hAnsi="Times New Roman" w:eastAsia="方正仿宋简体" w:cs="Times New Roman"/>
          <w:b w:val="0"/>
          <w:bCs w:val="0"/>
          <w:kern w:val="0"/>
          <w:sz w:val="33"/>
          <w:szCs w:val="33"/>
          <w:lang w:val="en-US" w:eastAsia="zh-CN" w:bidi="ar-SA"/>
        </w:rPr>
        <w:tab/>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①本单位全面清点固定资产，针对每一项固定资产进行盘点，并张贴标签，梳理全局资产遗留问题，保持了较好资产使用管理状况，资产保存完整。②现有固定资产未超过规定配置标准。③本单位未进行资产处置。④截至2022年12月31日，资产账面原值为41.62万元，盘点实际在用资产账面原值为41.62万元。⑤本单位无资产有偿使用现象。此项得2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简体" w:cs="Times New Roman"/>
          <w:b w:val="0"/>
          <w:bCs w:val="0"/>
          <w:kern w:val="0"/>
          <w:sz w:val="33"/>
          <w:szCs w:val="33"/>
          <w:lang w:val="en-US" w:eastAsia="zh-CN" w:bidi="ar-SA"/>
        </w:rPr>
      </w:pPr>
      <w:r>
        <w:rPr>
          <w:rFonts w:hint="default" w:ascii="Times New Roman" w:hAnsi="Times New Roman" w:eastAsia="方正仿宋简体" w:cs="Times New Roman"/>
          <w:b w:val="0"/>
          <w:bCs w:val="0"/>
          <w:kern w:val="0"/>
          <w:sz w:val="33"/>
          <w:szCs w:val="33"/>
          <w:lang w:val="en-US" w:eastAsia="zh-CN" w:bidi="ar-SA"/>
        </w:rPr>
        <w:t>（3）固定资产利用率（1分）。固定资产利用率83.3%。截止2022年12月31日，本单位实际在用固定资产总额34.67万元，所有固定资产总额41.62万元。此项得0分。</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jc w:val="left"/>
        <w:textAlignment w:val="auto"/>
        <w:rPr>
          <w:rFonts w:hint="default" w:ascii="Times New Roman" w:hAnsi="Times New Roman" w:eastAsia="方正楷体_GBK" w:cs="Times New Roman"/>
          <w:b/>
          <w:bCs w:val="0"/>
          <w:sz w:val="33"/>
          <w:szCs w:val="33"/>
        </w:rPr>
      </w:pPr>
      <w:r>
        <w:rPr>
          <w:rFonts w:hint="default" w:ascii="Times New Roman" w:hAnsi="Times New Roman" w:eastAsia="方正楷体_GBK" w:cs="Times New Roman"/>
          <w:b/>
          <w:bCs w:val="0"/>
          <w:sz w:val="33"/>
          <w:szCs w:val="33"/>
        </w:rPr>
        <w:t>（二）综合绩效分析</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3" w:firstLineChars="200"/>
        <w:textAlignment w:val="auto"/>
        <w:rPr>
          <w:rFonts w:hint="default" w:ascii="Times New Roman" w:hAnsi="Times New Roman" w:eastAsia="方正仿宋_GBK" w:cs="Times New Roman"/>
          <w:sz w:val="33"/>
          <w:szCs w:val="33"/>
        </w:rPr>
      </w:pPr>
      <w:r>
        <w:rPr>
          <w:rFonts w:hint="default" w:ascii="Times New Roman" w:hAnsi="Times New Roman" w:eastAsia="宋体" w:cs="Times New Roman"/>
          <w:b/>
          <w:sz w:val="33"/>
          <w:szCs w:val="33"/>
        </w:rPr>
        <w:t>1</w:t>
      </w:r>
      <w:r>
        <w:rPr>
          <w:rFonts w:hint="default" w:ascii="Times New Roman" w:hAnsi="Times New Roman" w:eastAsia="方正仿宋_GBK" w:cs="Times New Roman"/>
          <w:b/>
          <w:sz w:val="33"/>
          <w:szCs w:val="33"/>
        </w:rPr>
        <w:t>．部门</w:t>
      </w:r>
      <w:r>
        <w:rPr>
          <w:rFonts w:hint="default" w:ascii="Times New Roman" w:hAnsi="Times New Roman" w:eastAsia="方正仿宋_GBK" w:cs="Times New Roman"/>
          <w:b/>
          <w:sz w:val="33"/>
          <w:szCs w:val="33"/>
          <w:lang w:eastAsia="zh-CN"/>
        </w:rPr>
        <w:t>（单位）</w:t>
      </w:r>
      <w:r>
        <w:rPr>
          <w:rFonts w:hint="default" w:ascii="Times New Roman" w:hAnsi="Times New Roman" w:eastAsia="方正仿宋_GBK" w:cs="Times New Roman"/>
          <w:b/>
          <w:sz w:val="33"/>
          <w:szCs w:val="33"/>
        </w:rPr>
        <w:t>职能履行情况。</w:t>
      </w:r>
      <w:r>
        <w:rPr>
          <w:rFonts w:hint="default" w:ascii="Times New Roman" w:hAnsi="Times New Roman" w:eastAsia="方正仿宋简体" w:cs="Times New Roman"/>
          <w:sz w:val="33"/>
          <w:szCs w:val="33"/>
          <w:lang w:val="en-US" w:eastAsia="zh-CN"/>
        </w:rPr>
        <w:t>2022</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val="en-US" w:eastAsia="zh-CN"/>
        </w:rPr>
        <w:t>我</w:t>
      </w:r>
      <w:r>
        <w:rPr>
          <w:rFonts w:hint="default" w:ascii="Times New Roman" w:hAnsi="Times New Roman" w:eastAsia="方正仿宋简体" w:cs="Times New Roman"/>
          <w:sz w:val="33"/>
          <w:szCs w:val="33"/>
        </w:rPr>
        <w:t>会紧紧围绕中心，服务大局，</w:t>
      </w:r>
      <w:r>
        <w:rPr>
          <w:rFonts w:hint="default" w:ascii="Times New Roman" w:hAnsi="Times New Roman" w:eastAsia="方正仿宋简体" w:cs="Times New Roman"/>
          <w:sz w:val="33"/>
          <w:szCs w:val="33"/>
          <w:lang w:val="en-US" w:eastAsia="zh-CN"/>
        </w:rPr>
        <w:t>在全区22个镇（街道）、57个区级部门按照“五有”标准全覆盖建立红十字会基层组织；完成持证救护员培训976人，</w:t>
      </w:r>
      <w:r>
        <w:rPr>
          <w:rFonts w:hint="default" w:ascii="Times New Roman" w:hAnsi="Times New Roman" w:eastAsia="方正仿宋简体" w:cs="Times New Roman"/>
          <w:sz w:val="33"/>
          <w:szCs w:val="33"/>
          <w:lang w:eastAsia="zh-CN"/>
        </w:rPr>
        <w:t>急救普及培训</w:t>
      </w:r>
      <w:r>
        <w:rPr>
          <w:rFonts w:hint="default" w:ascii="Times New Roman" w:hAnsi="Times New Roman" w:eastAsia="方正仿宋简体" w:cs="Times New Roman"/>
          <w:sz w:val="33"/>
          <w:szCs w:val="33"/>
          <w:lang w:val="en-US" w:eastAsia="zh-CN"/>
        </w:rPr>
        <w:t>5801人；发动1.5万余人次参与无偿献血活动，献血总量达604万余毫升；750名志愿者完成人体器官捐献登记；92名志愿者参与造血干细胞血样集中采集活动；发放32136元慰问物资，免费义诊1000余人次，改善142户困难家庭生活境况；组织各类志愿服务活动20余场次，志愿服务活动</w:t>
      </w:r>
      <w:r>
        <w:rPr>
          <w:rFonts w:hint="default" w:ascii="Times New Roman" w:hAnsi="Times New Roman" w:eastAsia="方正仿宋简体" w:cs="Times New Roman"/>
          <w:kern w:val="0"/>
          <w:sz w:val="33"/>
          <w:szCs w:val="33"/>
          <w:lang w:val="en-US" w:eastAsia="zh-CN" w:bidi="ar-SA"/>
        </w:rPr>
        <w:t>时长累计超3400小时，圆满完成了上级安排的各项工作任务。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3" w:firstLineChars="200"/>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宋体" w:cs="Times New Roman"/>
          <w:b/>
          <w:sz w:val="33"/>
          <w:szCs w:val="33"/>
        </w:rPr>
        <w:t>2</w:t>
      </w:r>
      <w:r>
        <w:rPr>
          <w:rFonts w:hint="default" w:ascii="Times New Roman" w:hAnsi="Times New Roman" w:eastAsia="方正仿宋_GBK" w:cs="Times New Roman"/>
          <w:b/>
          <w:sz w:val="33"/>
          <w:szCs w:val="33"/>
        </w:rPr>
        <w:t>．部门</w:t>
      </w:r>
      <w:r>
        <w:rPr>
          <w:rFonts w:hint="default" w:ascii="Times New Roman" w:hAnsi="Times New Roman" w:eastAsia="方正仿宋_GBK" w:cs="Times New Roman"/>
          <w:b/>
          <w:sz w:val="33"/>
          <w:szCs w:val="33"/>
          <w:lang w:eastAsia="zh-CN"/>
        </w:rPr>
        <w:t>（单位）</w:t>
      </w:r>
      <w:r>
        <w:rPr>
          <w:rFonts w:hint="default" w:ascii="Times New Roman" w:hAnsi="Times New Roman" w:eastAsia="方正仿宋_GBK" w:cs="Times New Roman"/>
          <w:b/>
          <w:sz w:val="33"/>
          <w:szCs w:val="33"/>
        </w:rPr>
        <w:t>履职有效性。</w:t>
      </w:r>
      <w:r>
        <w:rPr>
          <w:rFonts w:hint="default" w:ascii="Times New Roman" w:hAnsi="Times New Roman" w:eastAsia="方正仿宋简体" w:cs="Times New Roman"/>
          <w:sz w:val="33"/>
          <w:szCs w:val="33"/>
          <w:lang w:val="en-US" w:eastAsia="zh-CN"/>
        </w:rPr>
        <w:t>我会按照设置的绩效目标，认真履行</w:t>
      </w:r>
      <w:r>
        <w:rPr>
          <w:rFonts w:hint="default" w:ascii="Times New Roman" w:hAnsi="Times New Roman" w:eastAsia="方正仿宋简体" w:cs="Times New Roman"/>
          <w:b w:val="0"/>
          <w:bCs w:val="0"/>
          <w:kern w:val="0"/>
          <w:sz w:val="33"/>
          <w:szCs w:val="33"/>
          <w:lang w:val="en-US" w:eastAsia="zh-CN" w:bidi="ar-SA"/>
        </w:rPr>
        <w:t>单位</w:t>
      </w:r>
      <w:r>
        <w:rPr>
          <w:rFonts w:hint="default" w:ascii="Times New Roman" w:hAnsi="Times New Roman" w:eastAsia="方正仿宋简体" w:cs="Times New Roman"/>
          <w:sz w:val="33"/>
          <w:szCs w:val="33"/>
          <w:lang w:val="en-US" w:eastAsia="zh-CN"/>
        </w:rPr>
        <w:t>主要职能职责，完成了以下效益：</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（1）经济效益方面：2022年面对雁江新冠疫情、泸定地震灾害等突发灾害，积极发动个人、企业、社会团体等献爱心，累计募捐款物超27.9万元，用于支持救灾事业、改善受灾群众生活境况。</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val="en-US" w:eastAsia="zh-CN"/>
        </w:rPr>
        <w:t>（2）社会效益方面：通过完善办公设施设备，充实干部队伍，在开展救灾、救助、救护，宣传无偿献血、捐献造血干细胞、捐献人体器官遗体等工作中更加有力，切实提升群众自救互救能力，改善易损人群生活水平。</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简体" w:cs="Times New Roman"/>
          <w:sz w:val="33"/>
          <w:szCs w:val="33"/>
          <w:lang w:val="en-US" w:eastAsia="zh-CN"/>
        </w:rPr>
        <w:t>（3）生态效益方面：组织干部职工和红十字系统志愿者参加文明城市创建、社区环境治理等志愿服务活动，累计服务约1300小时，为改善雁江生态环境工作提供人力保障。</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仿宋简体" w:cs="Times New Roman"/>
          <w:kern w:val="0"/>
          <w:sz w:val="33"/>
          <w:szCs w:val="33"/>
          <w:lang w:val="en-US" w:eastAsia="zh-CN" w:bidi="ar-SA"/>
        </w:rPr>
      </w:pPr>
      <w:r>
        <w:rPr>
          <w:rFonts w:hint="default" w:ascii="Times New Roman" w:hAnsi="Times New Roman" w:eastAsia="宋体" w:cs="Times New Roman"/>
          <w:b/>
          <w:bCs w:val="0"/>
          <w:sz w:val="33"/>
          <w:szCs w:val="33"/>
        </w:rPr>
        <w:t>3</w:t>
      </w:r>
      <w:r>
        <w:rPr>
          <w:rFonts w:hint="default" w:ascii="Times New Roman" w:hAnsi="Times New Roman" w:eastAsia="方正仿宋_GBK" w:cs="Times New Roman"/>
          <w:b/>
          <w:bCs w:val="0"/>
          <w:sz w:val="33"/>
          <w:szCs w:val="33"/>
        </w:rPr>
        <w:t>．部门</w:t>
      </w:r>
      <w:r>
        <w:rPr>
          <w:rFonts w:hint="default" w:ascii="Times New Roman" w:hAnsi="Times New Roman" w:eastAsia="方正仿宋_GBK" w:cs="Times New Roman"/>
          <w:b/>
          <w:sz w:val="33"/>
          <w:szCs w:val="33"/>
          <w:lang w:eastAsia="zh-CN"/>
        </w:rPr>
        <w:t>（单位）</w:t>
      </w:r>
      <w:r>
        <w:rPr>
          <w:rFonts w:hint="default" w:ascii="Times New Roman" w:hAnsi="Times New Roman" w:eastAsia="方正仿宋_GBK" w:cs="Times New Roman"/>
          <w:b/>
          <w:bCs w:val="0"/>
          <w:sz w:val="33"/>
          <w:szCs w:val="33"/>
        </w:rPr>
        <w:t>职能实现程度。</w:t>
      </w:r>
      <w:r>
        <w:rPr>
          <w:rFonts w:hint="default" w:ascii="Times New Roman" w:hAnsi="Times New Roman" w:eastAsia="方正仿宋简体" w:cs="Times New Roman"/>
          <w:kern w:val="0"/>
          <w:sz w:val="33"/>
          <w:szCs w:val="33"/>
          <w:lang w:val="en-US" w:eastAsia="zh-CN" w:bidi="ar-SA"/>
        </w:rPr>
        <w:t>2022年我会各项重点工作顺利推进，全面完成了既定目标，职责履行实际完成率、完成及时率、质量达标率、重点工作办结率均为100%，社会满意度稳步提升。</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六、问题分析</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楷体简体" w:cs="Times New Roman"/>
          <w:b/>
          <w:bCs/>
          <w:sz w:val="33"/>
          <w:szCs w:val="33"/>
          <w:lang w:eastAsia="zh-CN"/>
        </w:rPr>
      </w:pPr>
      <w:r>
        <w:rPr>
          <w:rFonts w:hint="default" w:ascii="Times New Roman" w:hAnsi="Times New Roman" w:eastAsia="方正楷体简体" w:cs="Times New Roman"/>
          <w:b/>
          <w:bCs/>
          <w:sz w:val="33"/>
          <w:szCs w:val="33"/>
          <w:lang w:eastAsia="zh-CN"/>
        </w:rPr>
        <w:t>（一）预算执行方面</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val="en-US" w:eastAsia="zh-CN"/>
        </w:rPr>
        <w:t>1.存在预算调整。单位为深化红十字改革工作，计划聘用1名业务人员，经区人社局、区财政局审批同意，按每月3500元标准从2022年7月起聘用业务人员1名，但实际操作中，因人员与前劳务公司合同未及时解除等原因，本单位劳动合同期限自2022年10月起，该项目资金追减1.05万元。</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_GBK" w:cs="Times New Roman"/>
          <w:sz w:val="33"/>
          <w:szCs w:val="33"/>
          <w:lang w:eastAsia="zh-CN"/>
        </w:rPr>
      </w:pPr>
      <w:r>
        <w:rPr>
          <w:rFonts w:hint="default" w:ascii="Times New Roman" w:hAnsi="Times New Roman" w:eastAsia="方正仿宋_GBK" w:cs="Times New Roman"/>
          <w:sz w:val="33"/>
          <w:szCs w:val="33"/>
          <w:lang w:val="en-US" w:eastAsia="zh-CN"/>
        </w:rPr>
        <w:t>2.</w:t>
      </w:r>
      <w:r>
        <w:rPr>
          <w:rFonts w:hint="default" w:ascii="Times New Roman" w:hAnsi="Times New Roman" w:eastAsia="方正仿宋_GBK" w:cs="Times New Roman"/>
          <w:sz w:val="33"/>
          <w:szCs w:val="33"/>
          <w:lang w:eastAsia="zh-CN"/>
        </w:rPr>
        <w:t>政府采购执行率</w:t>
      </w:r>
      <w:r>
        <w:rPr>
          <w:rFonts w:hint="default" w:ascii="Times New Roman" w:hAnsi="Times New Roman" w:eastAsia="方正仿宋_GBK" w:cs="Times New Roman"/>
          <w:sz w:val="33"/>
          <w:szCs w:val="33"/>
          <w:lang w:val="en-US" w:eastAsia="zh-CN"/>
        </w:rPr>
        <w:t>73.5%。因单位首次进行政府采购</w:t>
      </w:r>
      <w:r>
        <w:rPr>
          <w:rFonts w:hint="default" w:ascii="Times New Roman" w:hAnsi="Times New Roman" w:eastAsia="方正仿宋_GBK" w:cs="Times New Roman"/>
          <w:sz w:val="33"/>
          <w:szCs w:val="33"/>
        </w:rPr>
        <w:t>，</w:t>
      </w:r>
      <w:r>
        <w:rPr>
          <w:rFonts w:hint="default" w:ascii="Times New Roman" w:hAnsi="Times New Roman" w:eastAsia="方正仿宋_GBK" w:cs="Times New Roman"/>
          <w:sz w:val="33"/>
          <w:szCs w:val="33"/>
          <w:lang w:eastAsia="zh-CN"/>
        </w:rPr>
        <w:t>对采购设备（空调）具体技术参数指标和配置标准设置较低，实际采购金额与采购预算金额差距较大。</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楷体简体" w:cs="Times New Roman"/>
          <w:b/>
          <w:bCs/>
          <w:sz w:val="33"/>
          <w:szCs w:val="33"/>
          <w:lang w:eastAsia="zh-CN"/>
        </w:rPr>
      </w:pPr>
      <w:r>
        <w:rPr>
          <w:rFonts w:hint="default" w:ascii="Times New Roman" w:hAnsi="Times New Roman" w:eastAsia="方正楷体简体" w:cs="Times New Roman"/>
          <w:b/>
          <w:bCs/>
          <w:sz w:val="33"/>
          <w:szCs w:val="33"/>
          <w:lang w:eastAsia="zh-CN"/>
        </w:rPr>
        <w:t>（二）资产管理方面</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eastAsia="zh-CN"/>
        </w:rPr>
        <w:t>本单位现有一批闲置待处置资产，为</w:t>
      </w:r>
      <w:r>
        <w:rPr>
          <w:rFonts w:hint="default" w:ascii="Times New Roman" w:hAnsi="Times New Roman" w:eastAsia="方正仿宋_GBK" w:cs="Times New Roman"/>
          <w:sz w:val="33"/>
          <w:szCs w:val="33"/>
          <w:lang w:val="en-US" w:eastAsia="zh-CN"/>
        </w:rPr>
        <w:t>2012年博爱家园项目购置的通用设备以及2016年市红十字会调拨的专用设备，现</w:t>
      </w:r>
      <w:r>
        <w:rPr>
          <w:rFonts w:hint="default" w:ascii="Times New Roman" w:hAnsi="Times New Roman" w:eastAsia="方正仿宋_GBK" w:cs="Times New Roman"/>
          <w:sz w:val="33"/>
          <w:szCs w:val="33"/>
          <w:lang w:eastAsia="zh-CN"/>
        </w:rPr>
        <w:t>已超过使用年限且无法继续使用，但因资产均借给项目实施单位和医院使用，还未收回集中处置。单位固定资产利用率为</w:t>
      </w:r>
      <w:r>
        <w:rPr>
          <w:rFonts w:hint="default" w:ascii="Times New Roman" w:hAnsi="Times New Roman" w:eastAsia="方正仿宋_GBK" w:cs="Times New Roman"/>
          <w:sz w:val="33"/>
          <w:szCs w:val="33"/>
          <w:lang w:val="en-US" w:eastAsia="zh-CN"/>
        </w:rPr>
        <w:t>83.3%</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0" w:firstLineChars="200"/>
        <w:jc w:val="left"/>
        <w:textAlignment w:val="auto"/>
        <w:rPr>
          <w:rFonts w:hint="default" w:ascii="Times New Roman" w:hAnsi="Times New Roman" w:eastAsia="方正黑体_GBK" w:cs="Times New Roman"/>
          <w:sz w:val="33"/>
          <w:szCs w:val="33"/>
        </w:rPr>
      </w:pPr>
      <w:r>
        <w:rPr>
          <w:rFonts w:hint="default" w:ascii="Times New Roman" w:hAnsi="Times New Roman" w:eastAsia="方正黑体_GBK" w:cs="Times New Roman"/>
          <w:sz w:val="33"/>
          <w:szCs w:val="33"/>
        </w:rPr>
        <w:t>七、建议</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仿宋_GBK" w:cs="Times New Roman"/>
          <w:sz w:val="33"/>
          <w:szCs w:val="33"/>
          <w:lang w:val="en-US" w:eastAsia="zh-CN"/>
        </w:rPr>
      </w:pPr>
      <w:r>
        <w:rPr>
          <w:rFonts w:hint="default" w:ascii="Times New Roman" w:hAnsi="Times New Roman" w:eastAsia="方正楷体简体" w:cs="Times New Roman"/>
          <w:b/>
          <w:bCs/>
          <w:sz w:val="33"/>
          <w:szCs w:val="33"/>
          <w:lang w:val="en-US" w:eastAsia="zh-CN"/>
        </w:rPr>
        <w:t>（一）强化预算编制执行。</w:t>
      </w:r>
      <w:r>
        <w:rPr>
          <w:rFonts w:hint="default" w:ascii="Times New Roman" w:hAnsi="Times New Roman" w:eastAsia="方正仿宋_GBK" w:cs="Times New Roman"/>
          <w:sz w:val="33"/>
          <w:szCs w:val="33"/>
          <w:lang w:val="en-US" w:eastAsia="zh-CN"/>
        </w:rPr>
        <w:t>细化年初预算编制，具体到各明细项目，严格年度预算执行，严禁无预算、超预算拨付资金；规范预算指标调剂，严格按照批复的预算科目、项目、单位等要素执行，原则上不进行调剂。</w:t>
      </w:r>
    </w:p>
    <w:p>
      <w:pPr>
        <w:keepNext w:val="0"/>
        <w:keepLines w:val="0"/>
        <w:pageBreakBefore w:val="0"/>
        <w:widowControl w:val="0"/>
        <w:kinsoku/>
        <w:wordWrap/>
        <w:overflowPunct/>
        <w:topLinePunct w:val="0"/>
        <w:autoSpaceDE/>
        <w:autoSpaceDN/>
        <w:bidi w:val="0"/>
        <w:adjustRightInd/>
        <w:snapToGrid/>
        <w:spacing w:beforeAutospacing="0" w:line="590" w:lineRule="exact"/>
        <w:ind w:firstLine="663" w:firstLineChars="200"/>
        <w:textAlignment w:val="auto"/>
        <w:rPr>
          <w:rFonts w:hint="default" w:ascii="Times New Roman" w:hAnsi="Times New Roman" w:eastAsia="方正仿宋_GBK" w:cs="Times New Roman"/>
          <w:sz w:val="33"/>
          <w:szCs w:val="33"/>
          <w:lang w:val="en-US" w:eastAsia="zh-CN"/>
        </w:rPr>
      </w:pPr>
      <w:r>
        <w:rPr>
          <w:rFonts w:hint="default" w:ascii="Times New Roman" w:hAnsi="Times New Roman" w:eastAsia="方正楷体简体" w:cs="Times New Roman"/>
          <w:b/>
          <w:bCs/>
          <w:sz w:val="33"/>
          <w:szCs w:val="33"/>
          <w:lang w:val="en-US" w:eastAsia="zh-CN"/>
        </w:rPr>
        <w:t>（二）加强政府采购管理。</w:t>
      </w:r>
      <w:r>
        <w:rPr>
          <w:rFonts w:hint="default" w:ascii="Times New Roman" w:hAnsi="Times New Roman" w:eastAsia="方正仿宋_GBK" w:cs="Times New Roman"/>
          <w:sz w:val="33"/>
          <w:szCs w:val="33"/>
          <w:lang w:val="en-US" w:eastAsia="zh-CN"/>
        </w:rPr>
        <w:t>做好预算编制与预算执行的衔接，做到政府采购信息系统与财务一体化系统的无缝对接，实现“无预算不采购”，提高采购执行效率。</w:t>
      </w:r>
    </w:p>
    <w:p>
      <w:pPr>
        <w:pageBreakBefore w:val="0"/>
        <w:widowControl w:val="0"/>
        <w:kinsoku/>
        <w:wordWrap/>
        <w:overflowPunct/>
        <w:topLinePunct w:val="0"/>
        <w:bidi w:val="0"/>
        <w:spacing w:beforeAutospacing="0" w:line="590" w:lineRule="exact"/>
        <w:textAlignment w:val="auto"/>
        <w:rPr>
          <w:rFonts w:hint="default" w:ascii="Times New Roman" w:hAnsi="Times New Roman" w:eastAsia="方正仿宋_GBK" w:cs="Times New Roman"/>
          <w:sz w:val="33"/>
          <w:szCs w:val="33"/>
          <w:lang w:val="en-US" w:eastAsia="zh-CN"/>
        </w:rPr>
      </w:pPr>
      <w:r>
        <w:rPr>
          <w:rFonts w:hint="default" w:ascii="Times New Roman" w:hAnsi="Times New Roman" w:eastAsia="方正楷体简体" w:cs="Times New Roman"/>
          <w:b/>
          <w:bCs/>
          <w:sz w:val="33"/>
          <w:szCs w:val="33"/>
          <w:lang w:val="en-US" w:eastAsia="zh-CN"/>
        </w:rPr>
        <w:t>（三）加强固定资产管理。</w:t>
      </w:r>
      <w:r>
        <w:rPr>
          <w:rFonts w:hint="default" w:ascii="Times New Roman" w:hAnsi="Times New Roman" w:eastAsia="方正仿宋_GBK" w:cs="Times New Roman"/>
          <w:sz w:val="33"/>
          <w:szCs w:val="33"/>
          <w:lang w:val="en-US" w:eastAsia="zh-CN"/>
        </w:rPr>
        <w:t>及时提出资产处置申请，规范履行处置审批程序，完成资产处置、完善账务，进一步落实对国有资产的管理主体责任，完善资产处置程序，增加资产处置透明度，实现国有资产处置效益最大化。</w:t>
      </w: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11"/>
        <w:pageBreakBefore w:val="0"/>
        <w:widowControl w:val="0"/>
        <w:kinsoku/>
        <w:wordWrap/>
        <w:overflowPunct/>
        <w:topLinePunct w:val="0"/>
        <w:bidi w:val="0"/>
        <w:spacing w:before="0" w:beforeAutospacing="0" w:after="0" w:line="590" w:lineRule="exact"/>
        <w:ind w:left="0" w:leftChars="0" w:firstLine="0" w:firstLineChars="0"/>
        <w:textAlignment w:val="auto"/>
        <w:rPr>
          <w:rFonts w:hint="default" w:ascii="Times New Roman" w:hAnsi="Times New Roman" w:eastAsia="方正仿宋_GBK" w:cs="Times New Roman"/>
          <w:sz w:val="33"/>
          <w:szCs w:val="33"/>
          <w:lang w:val="en-US" w:eastAsia="zh-CN"/>
        </w:rPr>
      </w:pPr>
    </w:p>
    <w:p>
      <w:pPr>
        <w:pStyle w:val="3"/>
        <w:pageBreakBefore w:val="0"/>
        <w:widowControl w:val="0"/>
        <w:kinsoku/>
        <w:wordWrap/>
        <w:overflowPunct/>
        <w:topLinePunct w:val="0"/>
        <w:bidi w:val="0"/>
        <w:spacing w:before="0" w:beforeAutospacing="0" w:after="0" w:line="590" w:lineRule="exact"/>
        <w:jc w:val="center"/>
        <w:textAlignment w:val="auto"/>
        <w:rPr>
          <w:rFonts w:hint="default" w:ascii="Times New Roman" w:hAnsi="Times New Roman" w:eastAsia="方正小标宋简体" w:cs="Times New Roman"/>
          <w:b w:val="0"/>
        </w:rPr>
      </w:pPr>
      <w:r>
        <w:rPr>
          <w:rFonts w:hint="eastAsia" w:eastAsia="方正小标宋简体" w:cs="Times New Roman"/>
          <w:b w:val="0"/>
          <w:lang w:eastAsia="zh-CN"/>
        </w:rPr>
        <w:t>第五部分</w:t>
      </w:r>
      <w:r>
        <w:rPr>
          <w:rFonts w:hint="eastAsia" w:eastAsia="方正小标宋简体" w:cs="Times New Roman"/>
          <w:b w:val="0"/>
          <w:lang w:val="en-US" w:eastAsia="zh-CN"/>
        </w:rPr>
        <w:t xml:space="preserve">  </w:t>
      </w:r>
      <w:r>
        <w:rPr>
          <w:rFonts w:hint="default" w:ascii="Times New Roman" w:hAnsi="Times New Roman" w:eastAsia="方正小标宋简体" w:cs="Times New Roman"/>
          <w:b w:val="0"/>
        </w:rPr>
        <w:t>附表</w:t>
      </w:r>
    </w:p>
    <w:p>
      <w:pPr>
        <w:pStyle w:val="11"/>
        <w:rPr>
          <w:rFonts w:hint="default"/>
        </w:rPr>
      </w:pP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一、收入支出决算总表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二、收入决算表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三、支出决算表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四、财政拨款收入支出决算总表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五、财政拨款支出决算明细表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六、一般公共预算财政拨款支出决算表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七、一般公共预算财政拨款支出决算明细表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八、一般公共预算财政拨款基本支出决算</w:t>
      </w:r>
      <w:r>
        <w:rPr>
          <w:rStyle w:val="13"/>
          <w:rFonts w:hint="default" w:ascii="Times New Roman" w:hAnsi="Times New Roman" w:eastAsia="仿宋" w:cs="Times New Roman"/>
          <w:b w:val="0"/>
          <w:bCs w:val="0"/>
          <w:lang w:eastAsia="zh-CN"/>
        </w:rPr>
        <w:t>明细</w:t>
      </w:r>
      <w:r>
        <w:rPr>
          <w:rStyle w:val="13"/>
          <w:rFonts w:hint="default" w:ascii="Times New Roman" w:hAnsi="Times New Roman" w:eastAsia="仿宋" w:cs="Times New Roman"/>
          <w:b w:val="0"/>
          <w:bCs w:val="0"/>
        </w:rPr>
        <w:t>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九、一般公共预算财政拨款项目支出决算表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十、政府性基金预算财政拨款收入支出决算表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十一、国有资本经营预算财政拨款收入支出决算表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rPr>
      </w:pPr>
      <w:r>
        <w:rPr>
          <w:rStyle w:val="13"/>
          <w:rFonts w:hint="default" w:ascii="Times New Roman" w:hAnsi="Times New Roman" w:eastAsia="仿宋" w:cs="Times New Roman"/>
          <w:b w:val="0"/>
          <w:bCs w:val="0"/>
        </w:rPr>
        <w:t>十二、</w:t>
      </w:r>
      <w:r>
        <w:rPr>
          <w:rStyle w:val="13"/>
          <w:rFonts w:hint="default" w:ascii="Times New Roman" w:hAnsi="Times New Roman" w:eastAsia="仿宋" w:cs="Times New Roman"/>
          <w:b w:val="0"/>
          <w:bCs w:val="0"/>
          <w:lang w:val="en-US" w:eastAsia="zh-CN"/>
        </w:rPr>
        <w:t>国有资本经营预算财政拨款支出决算表</w:t>
      </w:r>
    </w:p>
    <w:p>
      <w:pPr>
        <w:pStyle w:val="4"/>
        <w:pageBreakBefore w:val="0"/>
        <w:widowControl w:val="0"/>
        <w:kinsoku/>
        <w:wordWrap/>
        <w:overflowPunct/>
        <w:topLinePunct w:val="0"/>
        <w:bidi w:val="0"/>
        <w:spacing w:before="0" w:beforeAutospacing="0" w:after="0" w:line="590" w:lineRule="exact"/>
        <w:textAlignment w:val="auto"/>
        <w:rPr>
          <w:rStyle w:val="13"/>
          <w:rFonts w:hint="default" w:ascii="Times New Roman" w:hAnsi="Times New Roman" w:eastAsia="仿宋" w:cs="Times New Roman"/>
          <w:b w:val="0"/>
          <w:bCs w:val="0"/>
          <w:lang w:val="en-US" w:eastAsia="zh-CN"/>
        </w:rPr>
      </w:pPr>
      <w:r>
        <w:rPr>
          <w:rStyle w:val="13"/>
          <w:rFonts w:hint="default" w:ascii="Times New Roman" w:hAnsi="Times New Roman" w:eastAsia="仿宋" w:cs="Times New Roman"/>
          <w:b w:val="0"/>
          <w:bCs w:val="0"/>
        </w:rPr>
        <w:t>十三、财政拨款“三公”经费支出决算表</w:t>
      </w:r>
    </w:p>
    <w:sectPr>
      <w:pgSz w:w="11906" w:h="16838"/>
      <w:pgMar w:top="1984"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84EFA69"/>
    <w:multiLevelType w:val="singleLevel"/>
    <w:tmpl w:val="E84EFA69"/>
    <w:lvl w:ilvl="0" w:tentative="0">
      <w:start w:val="2"/>
      <w:numFmt w:val="chineseCounting"/>
      <w:suff w:val="nothing"/>
      <w:lvlText w:val="（%1）"/>
      <w:lvlJc w:val="left"/>
      <w:pPr>
        <w:ind w:left="-13"/>
      </w:pPr>
      <w:rPr>
        <w:rFonts w:hint="eastAsia"/>
      </w:rPr>
    </w:lvl>
  </w:abstractNum>
  <w:abstractNum w:abstractNumId="2">
    <w:nsid w:val="0CC51E39"/>
    <w:multiLevelType w:val="singleLevel"/>
    <w:tmpl w:val="0CC51E39"/>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ODRiNDA4MThiNzNiNGZlNWRhNmQ1OWNmZjU3OWIifQ=="/>
  </w:docVars>
  <w:rsids>
    <w:rsidRoot w:val="56E746F2"/>
    <w:rsid w:val="17974266"/>
    <w:rsid w:val="33432758"/>
    <w:rsid w:val="5344498B"/>
    <w:rsid w:val="56E7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93" w:beforeLines="30"/>
    </w:pPr>
    <w:rPr>
      <w:rFonts w:ascii="仿宋_GB2312" w:eastAsia="仿宋_GB2312"/>
      <w:kern w:val="0"/>
      <w:sz w:val="30"/>
    </w:rPr>
  </w:style>
  <w:style w:type="paragraph" w:styleId="5">
    <w:name w:val="index 8"/>
    <w:basedOn w:val="1"/>
    <w:next w:val="1"/>
    <w:semiHidden/>
    <w:qFormat/>
    <w:uiPriority w:val="99"/>
    <w:pPr>
      <w:ind w:left="2940"/>
    </w:pPr>
  </w:style>
  <w:style w:type="paragraph" w:styleId="6">
    <w:name w:val="Normal Indent"/>
    <w:basedOn w:val="1"/>
    <w:qFormat/>
    <w:uiPriority w:val="99"/>
    <w:pPr>
      <w:ind w:firstLine="420" w:firstLineChars="200"/>
    </w:pPr>
  </w:style>
  <w:style w:type="paragraph" w:styleId="7">
    <w:name w:val="toc 2"/>
    <w:basedOn w:val="1"/>
    <w:next w:val="1"/>
    <w:unhideWhenUsed/>
    <w:qFormat/>
    <w:uiPriority w:val="39"/>
    <w:pPr>
      <w:tabs>
        <w:tab w:val="right" w:leader="dot" w:pos="8296"/>
      </w:tabs>
      <w:ind w:left="420" w:leftChars="200"/>
    </w:pPr>
  </w:style>
  <w:style w:type="character" w:styleId="10">
    <w:name w:val="Strong"/>
    <w:basedOn w:val="9"/>
    <w:qFormat/>
    <w:uiPriority w:val="99"/>
    <w:rPr>
      <w:b/>
    </w:rPr>
  </w:style>
  <w:style w:type="paragraph" w:customStyle="1" w:styleId="11">
    <w:name w:val="BodyText1I2"/>
    <w:basedOn w:val="1"/>
    <w:qFormat/>
    <w:uiPriority w:val="0"/>
    <w:pPr>
      <w:spacing w:before="100" w:beforeAutospacing="1" w:after="120"/>
      <w:ind w:left="200" w:leftChars="200" w:firstLine="200" w:firstLineChars="200"/>
    </w:pPr>
    <w:rPr>
      <w:color w:val="000000"/>
    </w:rPr>
  </w:style>
  <w:style w:type="character" w:customStyle="1" w:styleId="12">
    <w:name w:val="标题 1 Char"/>
    <w:basedOn w:val="9"/>
    <w:link w:val="3"/>
    <w:qFormat/>
    <w:uiPriority w:val="9"/>
    <w:rPr>
      <w:b/>
      <w:bCs/>
      <w:kern w:val="44"/>
      <w:sz w:val="44"/>
      <w:szCs w:val="44"/>
    </w:rPr>
  </w:style>
  <w:style w:type="character" w:customStyle="1" w:styleId="13">
    <w:name w:val="标题 2 Char"/>
    <w:basedOn w:val="9"/>
    <w:link w:val="4"/>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style>
  <w:style w:type="paragraph" w:customStyle="1" w:styleId="15">
    <w:name w:val="正文1"/>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7">
    <w:name w:val="闻政图表名"/>
    <w:basedOn w:val="1"/>
    <w:qFormat/>
    <w:uiPriority w:val="4"/>
    <w:pPr>
      <w:spacing w:before="60" w:after="60"/>
      <w:jc w:val="center"/>
    </w:pPr>
    <w:rPr>
      <w:rFonts w:eastAsia="仿宋_GB2312"/>
      <w:b/>
      <w:kern w:val="0"/>
      <w:sz w:val="24"/>
      <w:szCs w:val="28"/>
    </w:rPr>
  </w:style>
  <w:style w:type="paragraph" w:customStyle="1" w:styleId="18">
    <w:name w:val="WPSOffice手动目录 1"/>
    <w:qFormat/>
    <w:uiPriority w:val="0"/>
    <w:pPr>
      <w:ind w:leftChars="0"/>
    </w:pPr>
    <w:rPr>
      <w:rFonts w:ascii="Calibri" w:hAnsi="Calibri" w:eastAsia="宋体" w:cs="Times New Roman"/>
      <w:sz w:val="20"/>
      <w:szCs w:val="20"/>
    </w:rPr>
  </w:style>
  <w:style w:type="paragraph" w:customStyle="1" w:styleId="19">
    <w:name w:val="WPSOffice手动目录 2"/>
    <w:qFormat/>
    <w:uiPriority w:val="0"/>
    <w:pPr>
      <w:ind w:leftChars="200"/>
    </w:pPr>
    <w:rPr>
      <w:rFonts w:ascii="Calibri" w:hAnsi="Calibri" w:eastAsia="宋体" w:cs="Times New Roman"/>
      <w:sz w:val="20"/>
      <w:szCs w:val="20"/>
    </w:rPr>
  </w:style>
  <w:style w:type="paragraph" w:customStyle="1" w:styleId="20">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Sheet1!$A$2:$A$5</c:f>
              <c:strCache>
                <c:ptCount val="4"/>
                <c:pt idx="0">
                  <c:v>一般公共预算财政拨款</c:v>
                </c:pt>
                <c:pt idx="1">
                  <c:v>其他收入</c:v>
                </c:pt>
              </c:strCache>
            </c:strRef>
          </c:cat>
          <c:val>
            <c:numRef>
              <c:f>Sheet1!$B$2:$B$5</c:f>
              <c:numCache>
                <c:formatCode>General</c:formatCode>
                <c:ptCount val="4"/>
                <c:pt idx="0">
                  <c:v>52.43</c:v>
                </c:pt>
                <c:pt idx="1">
                  <c:v>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48.87</c:v>
                </c:pt>
                <c:pt idx="1">
                  <c:v>11.05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一般公共预算财政拨款支出结构</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elete val="1"/>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47.53</c:v>
                </c:pt>
                <c:pt idx="1">
                  <c:v>1.42</c:v>
                </c:pt>
                <c:pt idx="2">
                  <c:v>3.48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2023-08-16T01:45:00Z</dcterms:created>
  <dc:creator>陈瑶</dc:creator>
  <cp:lastModifiedBy>隔壁小王</cp:lastModifiedBy>
  <dcterms:modified xsi:type="dcterms:W3CDTF">2023-08-21T07:38:01Z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33927B856BE74D0083A6AE577C212889_11</vt:lpwstr>
  </property>
</Properties>
</file>