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475"/>
      <w:bookmarkStart w:id="3" w:name="_Toc15396597"/>
      <w:bookmarkStart w:id="4" w:name="_Toc15377425"/>
      <w:bookmarkStart w:id="5" w:name="_Toc15378441"/>
      <w:bookmarkStart w:id="6" w:name="_Toc17103546"/>
      <w:r>
        <w:rPr>
          <w:rFonts w:hint="eastAsia" w:ascii="黑体" w:hAnsi="黑体" w:eastAsia="黑体"/>
          <w:color w:val="000000"/>
          <w:sz w:val="72"/>
          <w:szCs w:val="72"/>
          <w:lang w:eastAsia="zh-CN"/>
        </w:rPr>
        <w:t>2022</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7103547"/>
      <w:bookmarkStart w:id="8" w:name="_Toc15396476"/>
      <w:bookmarkStart w:id="9" w:name="_Toc15377194"/>
      <w:bookmarkStart w:id="10" w:name="_Toc15377426"/>
      <w:bookmarkStart w:id="11" w:name="_Toc15396598"/>
      <w:bookmarkStart w:id="12" w:name="_Toc15378442"/>
      <w:bookmarkStart w:id="13" w:name="_Toc15306268"/>
      <w:r>
        <w:rPr>
          <w:rFonts w:hint="eastAsia" w:ascii="方正小标宋简体" w:hAnsi="宋体" w:eastAsia="方正小标宋简体"/>
          <w:color w:val="000000"/>
          <w:sz w:val="72"/>
          <w:szCs w:val="72"/>
        </w:rPr>
        <w:t>资阳市雁江区城乡居民养老保险局</w:t>
      </w:r>
      <w:r>
        <w:rPr>
          <w:rFonts w:hint="eastAsia" w:ascii="方正小标宋简体" w:hAnsi="宋体" w:eastAsia="方正小标宋简体"/>
          <w:color w:val="000000"/>
          <w:sz w:val="72"/>
          <w:szCs w:val="72"/>
          <w:lang w:eastAsia="zh-CN"/>
        </w:rPr>
        <w:t>部门</w:t>
      </w:r>
      <w:r>
        <w:rPr>
          <w:rFonts w:hint="eastAsia" w:ascii="方正小标宋简体" w:hAnsi="宋体" w:eastAsia="方正小标宋简体"/>
          <w:color w:val="000000"/>
          <w:sz w:val="72"/>
          <w:szCs w:val="72"/>
        </w:rPr>
        <w:t>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14"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rPr>
          <w:rFonts w:hint="eastAsia"/>
          <w:color w:val="FF0000"/>
          <w:lang w:eastAsia="zh-CN"/>
        </w:rPr>
        <w:t>202</w:t>
      </w:r>
      <w:r>
        <w:rPr>
          <w:rFonts w:hint="eastAsia"/>
          <w:color w:val="FF0000"/>
          <w:lang w:val="en-US" w:eastAsia="zh-CN"/>
        </w:rPr>
        <w:t>3</w:t>
      </w:r>
      <w:r>
        <w:rPr>
          <w:rFonts w:hint="eastAsia"/>
          <w:color w:val="FF0000"/>
        </w:rPr>
        <w:t>年</w:t>
      </w:r>
      <w:r>
        <w:rPr>
          <w:rFonts w:hint="eastAsia"/>
          <w:color w:val="FF0000"/>
          <w:lang w:val="en-US" w:eastAsia="zh-CN"/>
        </w:rPr>
        <w:t>8</w:t>
      </w:r>
      <w:r>
        <w:rPr>
          <w:rFonts w:hint="eastAsia"/>
          <w:color w:val="FF0000"/>
        </w:rPr>
        <w:t>月</w:t>
      </w:r>
      <w:r>
        <w:rPr>
          <w:rFonts w:hint="eastAsia"/>
          <w:color w:val="FF0000"/>
          <w:lang w:val="en-US" w:eastAsia="zh-CN"/>
        </w:rPr>
        <w:t>22</w:t>
      </w:r>
      <w:r>
        <w:rPr>
          <w:rFonts w:hint="eastAsia"/>
          <w:color w:val="FF0000"/>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ind w:left="0" w:leftChars="0"/>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w:t>
      </w:r>
      <w:r>
        <w:rPr>
          <w:rStyle w:val="15"/>
          <w:rFonts w:hint="eastAsia"/>
          <w:lang w:eastAsia="zh-CN"/>
        </w:rPr>
        <w:t>2022</w:t>
      </w:r>
      <w:r>
        <w:rPr>
          <w:rStyle w:val="15"/>
          <w:rFonts w:hint="eastAsia"/>
        </w:rPr>
        <w:t>年度部门决算情况说明</w:t>
      </w:r>
      <w:r>
        <w:tab/>
      </w:r>
      <w:r>
        <w:rPr>
          <w:rFonts w:hint="eastAsia"/>
          <w:lang w:val="en-US" w:eastAsia="zh-CN"/>
        </w:rPr>
        <w:t>5</w:t>
      </w:r>
      <w:r>
        <w:fldChar w:fldCharType="end"/>
      </w:r>
    </w:p>
    <w:p>
      <w:pPr>
        <w:pStyle w:val="11"/>
        <w:ind w:left="0" w:leftChars="0"/>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5</w:t>
      </w:r>
      <w:r>
        <w:rPr>
          <w:rFonts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5</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5</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5</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7</w:t>
      </w:r>
      <w:r>
        <w:rPr>
          <w:rFonts w:hint="eastAsia" w:ascii="仿宋" w:hAnsi="仿宋" w:eastAsia="仿宋"/>
          <w:sz w:val="28"/>
          <w:szCs w:val="28"/>
        </w:rPr>
        <w:fldChar w:fldCharType="end"/>
      </w:r>
    </w:p>
    <w:p>
      <w:pPr>
        <w:pStyle w:val="11"/>
        <w:ind w:left="0" w:leftChars="0"/>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8</w:t>
      </w:r>
      <w:r>
        <w:rPr>
          <w:rFonts w:hint="eastAsia" w:ascii="仿宋" w:hAnsi="仿宋" w:eastAsia="仿宋"/>
          <w:sz w:val="28"/>
          <w:szCs w:val="28"/>
        </w:rPr>
        <w:fldChar w:fldCharType="end"/>
      </w:r>
    </w:p>
    <w:p>
      <w:pPr>
        <w:pStyle w:val="11"/>
        <w:ind w:left="0" w:leftChars="0"/>
        <w:rPr>
          <w:rFonts w:hint="eastAsia" w:ascii="仿宋" w:hAnsi="仿宋" w:eastAsia="仿宋" w:cstheme="minorBidi"/>
          <w:sz w:val="28"/>
          <w:szCs w:val="28"/>
          <w:lang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9</w:t>
      </w:r>
      <w:r>
        <w:rPr>
          <w:rFonts w:hint="eastAsia" w:ascii="仿宋" w:hAnsi="仿宋" w:eastAsia="仿宋"/>
          <w:sz w:val="28"/>
          <w:szCs w:val="28"/>
        </w:rPr>
        <w:fldChar w:fldCharType="end"/>
      </w:r>
    </w:p>
    <w:p>
      <w:pPr>
        <w:pStyle w:val="11"/>
        <w:ind w:left="0" w:leftChars="0"/>
        <w:rPr>
          <w:rFonts w:hint="eastAsia" w:eastAsia="仿宋"/>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9</w:t>
      </w:r>
      <w:r>
        <w:rPr>
          <w:rFonts w:ascii="仿宋" w:hAnsi="仿宋" w:eastAsia="仿宋"/>
          <w:sz w:val="28"/>
          <w:szCs w:val="28"/>
        </w:rPr>
        <w:fldChar w:fldCharType="end"/>
      </w:r>
    </w:p>
    <w:p>
      <w:pPr>
        <w:pStyle w:val="11"/>
        <w:ind w:left="0" w:leftChars="0"/>
        <w:rPr>
          <w:rFonts w:hint="eastAsia" w:ascii="仿宋" w:hAnsi="仿宋" w:eastAsia="仿宋"/>
          <w:color w:val="0000FF" w:themeColor="hyperlink"/>
          <w:sz w:val="28"/>
          <w:szCs w:val="28"/>
          <w:u w:val="single"/>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预算绩效情况说明</w:t>
      </w:r>
      <w:r>
        <w:rPr>
          <w:rFonts w:ascii="仿宋" w:hAnsi="仿宋" w:eastAsia="仿宋"/>
          <w:sz w:val="28"/>
          <w:szCs w:val="28"/>
        </w:rPr>
        <w:tab/>
      </w:r>
      <w:r>
        <w:rPr>
          <w:rFonts w:hint="eastAsia" w:ascii="仿宋" w:hAnsi="仿宋" w:eastAsia="仿宋"/>
          <w:sz w:val="28"/>
          <w:szCs w:val="28"/>
          <w:lang w:val="en-US" w:eastAsia="zh-CN"/>
        </w:rPr>
        <w:t>9</w:t>
      </w:r>
      <w:r>
        <w:rPr>
          <w:rFonts w:ascii="仿宋" w:hAnsi="仿宋" w:eastAsia="仿宋"/>
          <w:sz w:val="28"/>
          <w:szCs w:val="28"/>
        </w:rPr>
        <w:fldChar w:fldCharType="end"/>
      </w:r>
    </w:p>
    <w:p>
      <w:pPr>
        <w:pStyle w:val="11"/>
        <w:ind w:left="0" w:leftChars="0"/>
        <w:rPr>
          <w:rFonts w:hint="eastAsia" w:ascii="仿宋" w:hAnsi="仿宋" w:eastAsia="仿宋" w:cstheme="minorBidi"/>
          <w:sz w:val="28"/>
          <w:szCs w:val="28"/>
          <w:lang w:eastAsia="zh-CN"/>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0"/>
        <w:rPr>
          <w:rFonts w:hint="eastAsia" w:eastAsia="仿宋" w:cstheme="minorBidi"/>
          <w:lang w:val="en-US" w:eastAsia="zh-CN"/>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lang w:val="en-US" w:eastAsia="zh-CN"/>
        </w:rPr>
        <w:t>1</w:t>
      </w:r>
      <w:r>
        <w:fldChar w:fldCharType="end"/>
      </w:r>
      <w:r>
        <w:rPr>
          <w:rFonts w:hint="eastAsia"/>
          <w:lang w:val="en-US" w:eastAsia="zh-CN"/>
        </w:rPr>
        <w:t>3</w:t>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lang w:val="en-US" w:eastAsia="zh-CN"/>
        </w:rPr>
        <w:t>1</w:t>
      </w:r>
      <w:r>
        <w:fldChar w:fldCharType="end"/>
      </w:r>
      <w:r>
        <w:rPr>
          <w:rFonts w:hint="eastAsia"/>
          <w:lang w:val="en-US" w:eastAsia="zh-CN"/>
        </w:rPr>
        <w:t>7</w:t>
      </w:r>
    </w:p>
    <w:p>
      <w:pPr>
        <w:pStyle w:val="11"/>
        <w:ind w:left="0" w:leftChars="0"/>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ind w:left="0" w:leftChars="0"/>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0"/>
        <w:rPr>
          <w:rFonts w:hint="eastAsia" w:eastAsia="仿宋" w:cstheme="minorBidi"/>
          <w:lang w:val="en-US" w:eastAsia="zh-CN"/>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lang w:val="en-US" w:eastAsia="zh-CN"/>
        </w:rPr>
        <w:t>2</w:t>
      </w:r>
      <w:r>
        <w:fldChar w:fldCharType="end"/>
      </w:r>
      <w:r>
        <w:rPr>
          <w:rFonts w:hint="eastAsia"/>
          <w:lang w:val="en-US" w:eastAsia="zh-CN"/>
        </w:rPr>
        <w:t>5</w:t>
      </w:r>
    </w:p>
    <w:p>
      <w:pPr>
        <w:pStyle w:val="11"/>
        <w:ind w:left="0" w:leftChars="0"/>
        <w:rPr>
          <w:rFonts w:hint="eastAsia" w:ascii="仿宋" w:hAnsi="仿宋" w:eastAsia="仿宋"/>
          <w:sz w:val="28"/>
          <w:szCs w:val="28"/>
          <w:lang w:val="en-US" w:eastAsia="zh-CN"/>
        </w:rPr>
      </w:pPr>
      <w:r>
        <w:rPr>
          <w:rFonts w:hint="eastAsia" w:ascii="仿宋" w:hAnsi="仿宋" w:eastAsia="仿宋"/>
          <w:sz w:val="28"/>
          <w:szCs w:val="28"/>
        </w:rPr>
        <w:t>一、收入支出决算总表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eastAsia" w:ascii="仿宋" w:hAnsi="仿宋" w:eastAsia="仿宋"/>
          <w:sz w:val="28"/>
          <w:szCs w:val="28"/>
          <w:lang w:val="en-US" w:eastAsia="zh-CN"/>
        </w:rPr>
      </w:pPr>
      <w:r>
        <w:rPr>
          <w:rFonts w:hint="eastAsia" w:ascii="仿宋" w:hAnsi="仿宋" w:eastAsia="仿宋"/>
          <w:sz w:val="28"/>
          <w:szCs w:val="28"/>
        </w:rPr>
        <w:t>二、收入决算表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三、支出决算表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四、财政拨款收入支出决算总表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eastAsia" w:ascii="仿宋" w:hAnsi="仿宋" w:eastAsia="仿宋"/>
          <w:sz w:val="28"/>
          <w:szCs w:val="28"/>
          <w:lang w:val="en-US" w:eastAsia="zh-CN"/>
        </w:rPr>
      </w:pPr>
      <w:r>
        <w:rPr>
          <w:rFonts w:hint="eastAsia" w:ascii="仿宋" w:hAnsi="仿宋" w:eastAsia="仿宋"/>
          <w:sz w:val="28"/>
          <w:szCs w:val="28"/>
        </w:rPr>
        <w:t>五、财政拨款支出决算明细表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六、一般公共预算财政拨款支出决算表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七、一般公共预算财政拨款支出决算明细表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八、一般公共预算财政拨款基本支出决算表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九、一般公共预算财政拨款项目支出决算表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default" w:ascii="仿宋" w:hAnsi="仿宋" w:eastAsia="仿宋"/>
          <w:sz w:val="28"/>
          <w:szCs w:val="28"/>
          <w:lang w:val="en-US" w:eastAsia="zh-CN"/>
        </w:rPr>
      </w:pPr>
      <w:r>
        <w:rPr>
          <w:rFonts w:hint="eastAsia" w:ascii="仿宋" w:hAnsi="仿宋" w:eastAsia="仿宋"/>
          <w:sz w:val="28"/>
          <w:szCs w:val="28"/>
        </w:rPr>
        <w:t>十、一般公共预算财政拨款“三公”经费支出决算表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eastAsia" w:ascii="仿宋" w:hAnsi="仿宋" w:eastAsia="仿宋"/>
          <w:sz w:val="28"/>
          <w:szCs w:val="28"/>
          <w:lang w:val="en-US" w:eastAsia="zh-CN"/>
        </w:rPr>
      </w:pPr>
      <w:r>
        <w:rPr>
          <w:rFonts w:hint="eastAsia" w:ascii="仿宋" w:hAnsi="仿宋" w:eastAsia="仿宋"/>
          <w:sz w:val="28"/>
          <w:szCs w:val="28"/>
        </w:rPr>
        <w:t>十一、政府性基金预算财政拨款收入支出决算表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eastAsia" w:ascii="仿宋" w:hAnsi="仿宋" w:eastAsia="仿宋"/>
          <w:sz w:val="28"/>
          <w:szCs w:val="28"/>
          <w:lang w:val="en-US" w:eastAsia="zh-CN"/>
        </w:rPr>
      </w:pPr>
      <w:r>
        <w:rPr>
          <w:rFonts w:hint="eastAsia" w:ascii="仿宋" w:hAnsi="仿宋" w:eastAsia="仿宋"/>
          <w:sz w:val="28"/>
          <w:szCs w:val="28"/>
        </w:rPr>
        <w:t>十二、政府性基金预算财政拨款“三公”经费支出决算表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eastAsia" w:ascii="仿宋" w:hAnsi="仿宋" w:eastAsia="仿宋"/>
          <w:sz w:val="28"/>
          <w:szCs w:val="28"/>
          <w:lang w:val="en-US" w:eastAsia="zh-CN"/>
        </w:rPr>
      </w:pPr>
      <w:r>
        <w:rPr>
          <w:rFonts w:hint="eastAsia" w:ascii="仿宋" w:hAnsi="仿宋" w:eastAsia="仿宋"/>
          <w:sz w:val="28"/>
          <w:szCs w:val="28"/>
        </w:rPr>
        <w:t>十三、国有资本经营预算财政拨款收入支出决算表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pStyle w:val="11"/>
        <w:ind w:left="0" w:leftChars="0"/>
        <w:rPr>
          <w:rFonts w:hint="default" w:ascii="仿宋" w:hAnsi="仿宋" w:eastAsia="仿宋" w:cstheme="minorBidi"/>
          <w:sz w:val="28"/>
          <w:szCs w:val="28"/>
          <w:lang w:val="en-US" w:eastAsia="zh-CN"/>
        </w:rPr>
      </w:pPr>
      <w:r>
        <w:rPr>
          <w:rFonts w:hint="eastAsia" w:ascii="仿宋" w:hAnsi="仿宋" w:eastAsia="仿宋"/>
          <w:sz w:val="28"/>
          <w:szCs w:val="28"/>
        </w:rPr>
        <w:t>十四、国有资本经营预算财政拨款支出决算表</w:t>
      </w:r>
      <w:r>
        <w:rPr>
          <w:rFonts w:hint="eastAsia" w:ascii="仿宋" w:hAnsi="仿宋" w:eastAsia="仿宋"/>
          <w:sz w:val="28"/>
          <w:szCs w:val="28"/>
        </w:rPr>
        <w:tab/>
      </w:r>
      <w:r>
        <w:rPr>
          <w:rFonts w:hint="eastAsia" w:ascii="仿宋" w:hAnsi="仿宋" w:eastAsia="仿宋"/>
          <w:sz w:val="28"/>
          <w:szCs w:val="28"/>
          <w:lang w:val="en-US" w:eastAsia="zh-CN"/>
        </w:rPr>
        <w:t>25</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
        </w:rPr>
      </w:pPr>
      <w:r>
        <w:rPr>
          <w:rFonts w:ascii="黑体" w:hAnsi="黑体" w:eastAsia="黑体"/>
          <w:b/>
        </w:rPr>
        <w:br w:type="page"/>
      </w:r>
    </w:p>
    <w:p>
      <w:pPr>
        <w:jc w:val="left"/>
      </w:pPr>
    </w:p>
    <w:p>
      <w:pPr>
        <w:pStyle w:val="3"/>
        <w:jc w:val="center"/>
        <w:rPr>
          <w:rFonts w:ascii="黑体" w:hAnsi="黑体" w:eastAsia="黑体"/>
          <w:bCs w:val="0"/>
        </w:rPr>
      </w:pPr>
      <w:bookmarkStart w:id="15" w:name="_Toc17103549"/>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p>
    <w:p>
      <w:pPr>
        <w:pStyle w:val="4"/>
        <w:rPr>
          <w:rStyle w:val="25"/>
          <w:rFonts w:ascii="仿宋" w:hAnsi="仿宋" w:eastAsia="仿宋"/>
          <w:b w:val="0"/>
          <w:bCs w:val="0"/>
        </w:rPr>
      </w:pPr>
      <w:bookmarkStart w:id="16" w:name="_Toc17103550"/>
      <w:bookmarkStart w:id="17"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p>
    <w:p>
      <w:pPr>
        <w:pStyle w:val="2"/>
        <w:adjustRightInd w:val="0"/>
        <w:snapToGrid w:val="0"/>
        <w:spacing w:before="93" w:line="600" w:lineRule="exact"/>
        <w:ind w:firstLine="643" w:firstLineChars="200"/>
        <w:rPr>
          <w:rFonts w:hint="eastAsia" w:ascii="仿宋_GB2312" w:hAnsi="仿宋_GB2312" w:eastAsia="仿宋_GB2312" w:cs="仿宋_GB2312"/>
          <w:b/>
          <w:bCs w:val="0"/>
          <w:color w:val="000000"/>
          <w:sz w:val="32"/>
          <w:szCs w:val="32"/>
        </w:rPr>
      </w:pPr>
      <w:bookmarkStart w:id="18" w:name="_Toc15377200"/>
      <w:bookmarkStart w:id="19" w:name="_Toc17103551"/>
      <w:r>
        <w:rPr>
          <w:rFonts w:hint="eastAsia" w:hAnsi="仿宋_GB2312" w:cs="仿宋_GB2312"/>
          <w:b/>
          <w:bCs w:val="0"/>
          <w:color w:val="000000"/>
          <w:sz w:val="32"/>
          <w:szCs w:val="32"/>
          <w:lang w:val="en-US" w:eastAsia="zh-CN"/>
        </w:rPr>
        <w:t>(一）</w:t>
      </w:r>
      <w:r>
        <w:rPr>
          <w:rFonts w:hint="eastAsia" w:ascii="仿宋_GB2312" w:hAnsi="仿宋_GB2312" w:eastAsia="仿宋_GB2312" w:cs="仿宋_GB2312"/>
          <w:b/>
          <w:bCs w:val="0"/>
          <w:color w:val="000000"/>
          <w:sz w:val="32"/>
          <w:szCs w:val="32"/>
        </w:rPr>
        <w:t>主要职能</w:t>
      </w:r>
    </w:p>
    <w:p>
      <w:pPr>
        <w:ind w:firstLine="566" w:firstLineChars="177"/>
        <w:rPr>
          <w:rFonts w:ascii="仿宋_GB2312" w:hAnsi="仿宋" w:eastAsia="仿宋_GB2312"/>
          <w:sz w:val="32"/>
          <w:szCs w:val="32"/>
        </w:rPr>
      </w:pPr>
      <w:r>
        <w:rPr>
          <w:rFonts w:hint="eastAsia" w:ascii="仿宋_GB2312" w:hAnsi="仿宋" w:eastAsia="仿宋_GB2312"/>
          <w:sz w:val="32"/>
          <w:szCs w:val="32"/>
        </w:rPr>
        <w:t>我局隶属于雁江区人力资源和社会保障局管理的参公事业单位，负责做好国家、省、市、区颁布的城乡居民养老保险政策的宣传、贯彻、执行等工作。</w:t>
      </w:r>
    </w:p>
    <w:p>
      <w:pPr>
        <w:ind w:firstLine="569" w:firstLineChars="177"/>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000000"/>
          <w:sz w:val="32"/>
          <w:szCs w:val="32"/>
        </w:rPr>
        <w:t>（二）</w:t>
      </w:r>
      <w:r>
        <w:rPr>
          <w:rFonts w:hint="eastAsia" w:ascii="仿宋_GB2312" w:hAnsi="仿宋_GB2312" w:eastAsia="仿宋_GB2312" w:cs="仿宋_GB2312"/>
          <w:b/>
          <w:bCs w:val="0"/>
          <w:color w:val="000000"/>
          <w:sz w:val="32"/>
          <w:szCs w:val="32"/>
          <w:lang w:eastAsia="zh-CN"/>
        </w:rPr>
        <w:t>2022</w:t>
      </w:r>
      <w:r>
        <w:rPr>
          <w:rFonts w:hint="eastAsia" w:ascii="仿宋_GB2312" w:hAnsi="仿宋_GB2312" w:eastAsia="仿宋_GB2312" w:cs="仿宋_GB2312"/>
          <w:b/>
          <w:bCs w:val="0"/>
          <w:color w:val="000000"/>
          <w:sz w:val="32"/>
          <w:szCs w:val="32"/>
        </w:rPr>
        <w:t>年重点工作完成情况</w:t>
      </w:r>
    </w:p>
    <w:p>
      <w:pPr>
        <w:ind w:firstLine="566" w:firstLineChars="177"/>
        <w:rPr>
          <w:rFonts w:hint="eastAsia" w:ascii="仿宋_GB2312" w:hAnsi="仿宋" w:eastAsia="仿宋_GB2312"/>
          <w:sz w:val="32"/>
          <w:szCs w:val="32"/>
        </w:rPr>
      </w:pPr>
      <w:r>
        <w:rPr>
          <w:rFonts w:hint="eastAsia" w:ascii="仿宋_GB2312" w:hAnsi="仿宋" w:eastAsia="仿宋_GB2312"/>
          <w:sz w:val="32"/>
          <w:szCs w:val="32"/>
          <w:lang w:eastAsia="zh-CN"/>
        </w:rPr>
        <w:t>2022</w:t>
      </w:r>
      <w:r>
        <w:rPr>
          <w:rFonts w:hint="eastAsia" w:ascii="仿宋_GB2312" w:hAnsi="仿宋" w:eastAsia="仿宋_GB2312"/>
          <w:sz w:val="32"/>
          <w:szCs w:val="32"/>
        </w:rPr>
        <w:t>年，我区城乡居民养老保险工作在区委、区政府的正确领导下，在市区两级主管部门和各镇乡党政的重视支持下，始终坚持“民生为本，效能优先”的工作理念，深入贯彻落实党的</w:t>
      </w:r>
      <w:r>
        <w:rPr>
          <w:rFonts w:hint="eastAsia" w:ascii="仿宋_GB2312" w:hAnsi="仿宋" w:eastAsia="仿宋_GB2312"/>
          <w:sz w:val="32"/>
          <w:szCs w:val="32"/>
          <w:lang w:eastAsia="zh-CN"/>
        </w:rPr>
        <w:t>二十</w:t>
      </w:r>
      <w:r>
        <w:rPr>
          <w:rFonts w:hint="eastAsia" w:ascii="仿宋_GB2312" w:hAnsi="仿宋" w:eastAsia="仿宋_GB2312"/>
          <w:sz w:val="32"/>
          <w:szCs w:val="32"/>
        </w:rPr>
        <w:t>大精神及中央、省市区城乡居民养老保险政策，突出“参保扩面、续保缴费、待遇发放”工作重点，狠抓政策宣传，强化目标责任，促进扩面征缴，夯实基础管理，提升队伍素质，扎实推进城乡居民养老保险各项工作，城乡一体化社会保障体系建设取得明显成效。</w:t>
      </w:r>
    </w:p>
    <w:p>
      <w:pPr>
        <w:ind w:firstLine="569" w:firstLineChars="177"/>
        <w:rPr>
          <w:rStyle w:val="25"/>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二、机</w:t>
      </w:r>
      <w:r>
        <w:rPr>
          <w:rStyle w:val="25"/>
          <w:rFonts w:hint="eastAsia" w:ascii="仿宋_GB2312" w:hAnsi="仿宋_GB2312" w:eastAsia="仿宋_GB2312" w:cs="仿宋_GB2312"/>
          <w:b/>
          <w:bCs/>
          <w:sz w:val="32"/>
          <w:szCs w:val="32"/>
        </w:rPr>
        <w:t>构设置</w:t>
      </w:r>
      <w:bookmarkEnd w:id="18"/>
      <w:bookmarkEnd w:id="19"/>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我局隶属于雁江区人力资源和社会保障局管理的参公事业单位，我局下属二级单位0个，下设六股一室，分别为办公室、财务股、征集股、退管股、政策法规股、稽核股、信息股。</w:t>
      </w:r>
    </w:p>
    <w:p>
      <w:pPr>
        <w:pStyle w:val="3"/>
        <w:ind w:right="440"/>
        <w:jc w:val="right"/>
        <w:rPr>
          <w:rStyle w:val="24"/>
          <w:rFonts w:ascii="黑体" w:hAnsi="黑体" w:eastAsia="黑体"/>
          <w:b w:val="0"/>
          <w:bCs w:val="0"/>
        </w:rPr>
      </w:pPr>
      <w:bookmarkStart w:id="20" w:name="_Toc17103552"/>
      <w:bookmarkStart w:id="2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lang w:eastAsia="zh-CN"/>
        </w:rPr>
        <w:t>2022</w:t>
      </w:r>
      <w:r>
        <w:rPr>
          <w:rStyle w:val="24"/>
          <w:rFonts w:hint="eastAsia" w:ascii="黑体" w:hAnsi="黑体" w:eastAsia="黑体"/>
          <w:b w:val="0"/>
          <w:bCs w:val="0"/>
        </w:rPr>
        <w:t>年度部门决算情况说明</w:t>
      </w:r>
      <w:bookmarkEnd w:id="20"/>
      <w:bookmarkEnd w:id="21"/>
    </w:p>
    <w:p>
      <w:pPr>
        <w:pStyle w:val="23"/>
        <w:ind w:firstLine="640"/>
        <w:outlineLvl w:val="1"/>
        <w:rPr>
          <w:rStyle w:val="25"/>
          <w:rFonts w:hint="eastAsia" w:ascii="仿宋_GB2312" w:hAnsi="仿宋_GB2312" w:eastAsia="仿宋_GB2312" w:cs="仿宋_GB2312"/>
          <w:b w:val="0"/>
        </w:rPr>
      </w:pPr>
      <w:bookmarkStart w:id="22" w:name="_Toc17103553"/>
      <w:bookmarkStart w:id="23" w:name="_Toc15377205"/>
      <w:r>
        <w:rPr>
          <w:rFonts w:hint="eastAsia" w:ascii="仿宋_GB2312" w:hAnsi="仿宋_GB2312" w:eastAsia="仿宋_GB2312" w:cs="仿宋_GB2312"/>
          <w:color w:val="000000"/>
          <w:sz w:val="32"/>
          <w:szCs w:val="32"/>
        </w:rPr>
        <w:t>一、收</w:t>
      </w:r>
      <w:r>
        <w:rPr>
          <w:rStyle w:val="25"/>
          <w:rFonts w:hint="eastAsia" w:ascii="仿宋_GB2312" w:hAnsi="仿宋_GB2312" w:eastAsia="仿宋_GB2312" w:cs="仿宋_GB2312"/>
          <w:b w:val="0"/>
        </w:rPr>
        <w:t>入支出决算总体情况说明</w:t>
      </w:r>
      <w:bookmarkEnd w:id="22"/>
      <w:bookmarkEnd w:id="23"/>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年本年收入</w:t>
      </w:r>
      <w:r>
        <w:rPr>
          <w:rFonts w:hint="eastAsia" w:ascii="仿宋_GB2312" w:hAnsi="仿宋_GB2312" w:eastAsia="仿宋_GB2312" w:cs="仿宋_GB2312"/>
          <w:sz w:val="32"/>
          <w:szCs w:val="32"/>
          <w:lang w:val="en-US" w:eastAsia="zh-CN"/>
        </w:rPr>
        <w:t>278.58</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年本年支出</w:t>
      </w:r>
      <w:r>
        <w:rPr>
          <w:rFonts w:hint="eastAsia" w:ascii="仿宋_GB2312" w:hAnsi="仿宋_GB2312" w:eastAsia="仿宋_GB2312" w:cs="仿宋_GB2312"/>
          <w:color w:val="000000"/>
          <w:sz w:val="32"/>
          <w:szCs w:val="32"/>
          <w:lang w:val="en-US" w:eastAsia="zh-CN"/>
        </w:rPr>
        <w:t>278.58</w:t>
      </w:r>
      <w:r>
        <w:rPr>
          <w:rFonts w:hint="eastAsia" w:ascii="仿宋_GB2312" w:hAnsi="仿宋_GB2312" w:eastAsia="仿宋_GB2312" w:cs="仿宋_GB2312"/>
          <w:color w:val="000000"/>
          <w:sz w:val="32"/>
          <w:szCs w:val="32"/>
        </w:rPr>
        <w:t>万元，年末</w:t>
      </w:r>
      <w:r>
        <w:rPr>
          <w:rFonts w:hint="eastAsia" w:ascii="仿宋_GB2312" w:hAnsi="仿宋_GB2312" w:eastAsia="仿宋_GB2312" w:cs="仿宋_GB2312"/>
          <w:color w:val="000000"/>
          <w:sz w:val="32"/>
          <w:szCs w:val="32"/>
          <w:lang w:eastAsia="zh-CN"/>
        </w:rPr>
        <w:t>无结转</w:t>
      </w:r>
      <w:r>
        <w:rPr>
          <w:rFonts w:hint="eastAsia" w:ascii="仿宋_GB2312" w:hAnsi="仿宋_GB2312" w:eastAsia="仿宋_GB2312" w:cs="仿宋_GB2312"/>
          <w:color w:val="000000"/>
          <w:sz w:val="32"/>
          <w:szCs w:val="32"/>
        </w:rPr>
        <w:t>。与20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年相比，收入</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220.4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44.17</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220.4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44.17</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财政代缴</w:t>
      </w:r>
      <w:r>
        <w:rPr>
          <w:rFonts w:hint="eastAsia" w:ascii="仿宋_GB2312" w:hAnsi="仿宋_GB2312" w:eastAsia="仿宋_GB2312" w:cs="仿宋_GB2312"/>
          <w:color w:val="000000"/>
          <w:sz w:val="32"/>
          <w:szCs w:val="32"/>
        </w:rPr>
        <w:t>城乡居民基本养老保险</w:t>
      </w:r>
      <w:r>
        <w:rPr>
          <w:rFonts w:hint="eastAsia" w:ascii="仿宋_GB2312" w:hAnsi="仿宋_GB2312" w:eastAsia="仿宋_GB2312" w:cs="仿宋_GB2312"/>
          <w:color w:val="000000"/>
          <w:sz w:val="32"/>
          <w:szCs w:val="32"/>
          <w:lang w:eastAsia="zh-CN"/>
        </w:rPr>
        <w:t>费</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sz w:val="32"/>
          <w:szCs w:val="32"/>
          <w:lang w:eastAsia="zh-CN"/>
        </w:rPr>
        <w:t>属于社保基金不再纳入部门决算</w:t>
      </w:r>
      <w:r>
        <w:rPr>
          <w:rFonts w:hint="eastAsia" w:ascii="仿宋_GB2312" w:hAnsi="仿宋_GB2312" w:eastAsia="仿宋_GB2312" w:cs="仿宋_GB2312"/>
          <w:sz w:val="32"/>
          <w:szCs w:val="32"/>
        </w:rPr>
        <w:t>。</w:t>
      </w:r>
    </w:p>
    <w:p>
      <w:pPr>
        <w:pStyle w:val="23"/>
        <w:spacing w:line="600" w:lineRule="exact"/>
        <w:ind w:firstLine="640"/>
        <w:outlineLvl w:val="1"/>
        <w:rPr>
          <w:rStyle w:val="25"/>
          <w:rFonts w:ascii="黑体" w:hAnsi="黑体" w:eastAsia="黑体"/>
          <w:b w:val="0"/>
        </w:rPr>
      </w:pPr>
      <w:bookmarkStart w:id="24" w:name="_Toc15377206"/>
      <w:bookmarkStart w:id="25" w:name="_Toc17103554"/>
      <w:r>
        <w:rPr>
          <w:rFonts w:hint="eastAsia" w:ascii="黑体" w:hAnsi="黑体" w:eastAsia="黑体"/>
          <w:color w:val="000000"/>
          <w:sz w:val="32"/>
          <w:szCs w:val="32"/>
        </w:rPr>
        <w:t>二、收</w:t>
      </w:r>
      <w:r>
        <w:rPr>
          <w:rStyle w:val="25"/>
          <w:rFonts w:hint="eastAsia" w:ascii="黑体" w:hAnsi="黑体" w:eastAsia="黑体"/>
          <w:b w:val="0"/>
        </w:rPr>
        <w:t>入决算情况说明</w:t>
      </w:r>
      <w:bookmarkEnd w:id="24"/>
      <w:bookmarkEnd w:id="25"/>
    </w:p>
    <w:p>
      <w:pPr>
        <w:spacing w:line="600" w:lineRule="exact"/>
        <w:ind w:firstLine="640" w:firstLineChars="200"/>
        <w:outlineLvl w:val="1"/>
        <w:rPr>
          <w:rFonts w:hint="eastAsia" w:ascii="仿宋_GB2312" w:hAnsi="仿宋_GB2312" w:eastAsia="仿宋_GB2312" w:cs="仿宋_GB2312"/>
          <w:color w:val="000000"/>
          <w:sz w:val="32"/>
          <w:szCs w:val="32"/>
        </w:rPr>
      </w:pPr>
      <w:bookmarkStart w:id="26" w:name="_Toc17103555"/>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278.58</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278.58</w:t>
      </w:r>
      <w:r>
        <w:rPr>
          <w:rFonts w:hint="eastAsia" w:ascii="仿宋_GB2312" w:hAnsi="仿宋_GB2312" w:eastAsia="仿宋_GB2312" w:cs="仿宋_GB2312"/>
          <w:color w:val="000000"/>
          <w:sz w:val="32"/>
          <w:szCs w:val="32"/>
        </w:rPr>
        <w:t>万元，占100%。</w:t>
      </w:r>
      <w:bookmarkEnd w:id="26"/>
    </w:p>
    <w:p>
      <w:pPr>
        <w:spacing w:line="600" w:lineRule="exact"/>
        <w:ind w:firstLine="640" w:firstLineChars="200"/>
        <w:rPr>
          <w:rStyle w:val="25"/>
          <w:rFonts w:ascii="黑体" w:hAnsi="黑体" w:eastAsia="黑体"/>
          <w:b w:val="0"/>
        </w:rPr>
      </w:pPr>
      <w:bookmarkStart w:id="27" w:name="_Toc17103556"/>
      <w:bookmarkStart w:id="28" w:name="_Toc15377207"/>
      <w:r>
        <w:rPr>
          <w:rFonts w:hint="eastAsia" w:ascii="黑体" w:hAnsi="黑体" w:eastAsia="黑体"/>
          <w:color w:val="000000"/>
          <w:sz w:val="32"/>
          <w:szCs w:val="32"/>
        </w:rPr>
        <w:t>三、支</w:t>
      </w:r>
      <w:r>
        <w:rPr>
          <w:rStyle w:val="25"/>
          <w:rFonts w:hint="eastAsia" w:ascii="黑体" w:hAnsi="黑体" w:eastAsia="黑体"/>
          <w:b w:val="0"/>
        </w:rPr>
        <w:t>出决算情况说明</w:t>
      </w:r>
      <w:bookmarkEnd w:id="27"/>
      <w:bookmarkEnd w:id="28"/>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278.58</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230.09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82.59</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48.49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17.41</w:t>
      </w:r>
      <w:r>
        <w:rPr>
          <w:rFonts w:hint="eastAsia" w:ascii="仿宋_GB2312" w:hAnsi="仿宋_GB2312" w:eastAsia="仿宋_GB2312" w:cs="仿宋_GB2312"/>
          <w:color w:val="000000"/>
          <w:sz w:val="32"/>
          <w:szCs w:val="32"/>
        </w:rPr>
        <w:t>%。</w:t>
      </w:r>
    </w:p>
    <w:p>
      <w:pPr>
        <w:spacing w:line="600" w:lineRule="exact"/>
        <w:ind w:firstLine="640" w:firstLineChars="200"/>
        <w:outlineLvl w:val="1"/>
        <w:rPr>
          <w:rStyle w:val="25"/>
          <w:rFonts w:ascii="黑体" w:hAnsi="黑体" w:eastAsia="黑体"/>
          <w:b w:val="0"/>
        </w:rPr>
      </w:pPr>
      <w:bookmarkStart w:id="29" w:name="_Toc15377208"/>
      <w:bookmarkStart w:id="30" w:name="_Toc17103557"/>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9"/>
      <w:bookmarkEnd w:id="30"/>
    </w:p>
    <w:p>
      <w:pPr>
        <w:spacing w:line="600" w:lineRule="exact"/>
        <w:ind w:firstLine="640" w:firstLineChars="200"/>
        <w:rPr>
          <w:rFonts w:hint="eastAsia" w:ascii="仿宋_GB2312" w:hAnsi="仿宋_GB2312" w:eastAsia="仿宋_GB2312" w:cs="仿宋_GB2312"/>
          <w:sz w:val="32"/>
          <w:szCs w:val="32"/>
        </w:rPr>
      </w:pPr>
      <w:bookmarkStart w:id="31" w:name="_Toc15377209"/>
      <w:bookmarkStart w:id="32" w:name="_Toc17103558"/>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年财政拨款收入</w:t>
      </w:r>
      <w:r>
        <w:rPr>
          <w:rFonts w:hint="eastAsia" w:ascii="仿宋_GB2312" w:hAnsi="仿宋_GB2312" w:eastAsia="仿宋_GB2312" w:cs="仿宋_GB2312"/>
          <w:color w:val="000000"/>
          <w:sz w:val="32"/>
          <w:szCs w:val="32"/>
          <w:lang w:eastAsia="zh-CN"/>
        </w:rPr>
        <w:t>总收入</w:t>
      </w:r>
      <w:r>
        <w:rPr>
          <w:rFonts w:hint="eastAsia" w:ascii="仿宋_GB2312" w:hAnsi="仿宋_GB2312" w:eastAsia="仿宋_GB2312" w:cs="仿宋_GB2312"/>
          <w:color w:val="000000"/>
          <w:sz w:val="32"/>
          <w:szCs w:val="32"/>
          <w:lang w:val="en-US" w:eastAsia="zh-CN"/>
        </w:rPr>
        <w:t>278.58万元，</w:t>
      </w: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年财政拨款支出</w:t>
      </w:r>
      <w:r>
        <w:rPr>
          <w:rFonts w:hint="eastAsia" w:ascii="仿宋_GB2312" w:hAnsi="仿宋_GB2312" w:eastAsia="仿宋_GB2312" w:cs="仿宋_GB2312"/>
          <w:color w:val="000000"/>
          <w:sz w:val="32"/>
          <w:szCs w:val="32"/>
          <w:lang w:val="en-US" w:eastAsia="zh-CN"/>
        </w:rPr>
        <w:t>278.58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年末</w:t>
      </w:r>
      <w:r>
        <w:rPr>
          <w:rFonts w:hint="eastAsia" w:ascii="仿宋_GB2312" w:hAnsi="仿宋_GB2312" w:eastAsia="仿宋_GB2312" w:cs="仿宋_GB2312"/>
          <w:color w:val="000000"/>
          <w:sz w:val="32"/>
          <w:szCs w:val="32"/>
          <w:lang w:eastAsia="zh-CN"/>
        </w:rPr>
        <w:t>无结转</w:t>
      </w:r>
      <w:r>
        <w:rPr>
          <w:rFonts w:hint="eastAsia" w:ascii="仿宋_GB2312" w:hAnsi="仿宋_GB2312" w:eastAsia="仿宋_GB2312" w:cs="仿宋_GB2312"/>
          <w:color w:val="000000"/>
          <w:sz w:val="32"/>
          <w:szCs w:val="32"/>
        </w:rPr>
        <w:t>。与20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年相比，财政拨款收入</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220.4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44.17</w:t>
      </w:r>
      <w:r>
        <w:rPr>
          <w:rFonts w:hint="eastAsia" w:ascii="仿宋_GB2312" w:hAnsi="仿宋_GB2312" w:eastAsia="仿宋_GB2312" w:cs="仿宋_GB2312"/>
          <w:color w:val="000000"/>
          <w:sz w:val="32"/>
          <w:szCs w:val="32"/>
        </w:rPr>
        <w:t>%；财政拨款支出</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220.4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44.17</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财政代缴</w:t>
      </w:r>
      <w:r>
        <w:rPr>
          <w:rFonts w:hint="eastAsia" w:ascii="仿宋_GB2312" w:hAnsi="仿宋_GB2312" w:eastAsia="仿宋_GB2312" w:cs="仿宋_GB2312"/>
          <w:color w:val="000000"/>
          <w:sz w:val="32"/>
          <w:szCs w:val="32"/>
        </w:rPr>
        <w:t>城乡居民基本养老保险</w:t>
      </w:r>
      <w:r>
        <w:rPr>
          <w:rFonts w:hint="eastAsia" w:ascii="仿宋_GB2312" w:hAnsi="仿宋_GB2312" w:eastAsia="仿宋_GB2312" w:cs="仿宋_GB2312"/>
          <w:color w:val="000000"/>
          <w:sz w:val="32"/>
          <w:szCs w:val="32"/>
          <w:lang w:eastAsia="zh-CN"/>
        </w:rPr>
        <w:t>费</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sz w:val="32"/>
          <w:szCs w:val="32"/>
          <w:lang w:eastAsia="zh-CN"/>
        </w:rPr>
        <w:t>属于社保基金不再纳入部门决算</w:t>
      </w:r>
      <w:r>
        <w:rPr>
          <w:rFonts w:hint="eastAsia" w:ascii="仿宋_GB2312" w:hAnsi="仿宋_GB2312" w:eastAsia="仿宋_GB2312" w:cs="仿宋_GB2312"/>
          <w:sz w:val="32"/>
          <w:szCs w:val="32"/>
        </w:rPr>
        <w:t>。</w:t>
      </w: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278.58</w:t>
      </w:r>
      <w:r>
        <w:rPr>
          <w:rFonts w:hint="eastAsia" w:ascii="仿宋_GB2312" w:hAnsi="仿宋_GB2312" w:eastAsia="仿宋_GB2312" w:cs="仿宋_GB2312"/>
          <w:color w:val="000000"/>
          <w:sz w:val="32"/>
          <w:szCs w:val="32"/>
        </w:rPr>
        <w:t>万元，占本年支出合计的100%。与20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年相比，支出</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220.4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44.17</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财政代缴</w:t>
      </w:r>
      <w:r>
        <w:rPr>
          <w:rFonts w:hint="eastAsia" w:ascii="仿宋_GB2312" w:hAnsi="仿宋_GB2312" w:eastAsia="仿宋_GB2312" w:cs="仿宋_GB2312"/>
          <w:color w:val="000000"/>
          <w:sz w:val="32"/>
          <w:szCs w:val="32"/>
        </w:rPr>
        <w:t>城乡居民基本养老保险</w:t>
      </w:r>
      <w:r>
        <w:rPr>
          <w:rFonts w:hint="eastAsia" w:ascii="仿宋_GB2312" w:hAnsi="仿宋_GB2312" w:eastAsia="仿宋_GB2312" w:cs="仿宋_GB2312"/>
          <w:color w:val="000000"/>
          <w:sz w:val="32"/>
          <w:szCs w:val="32"/>
          <w:lang w:eastAsia="zh-CN"/>
        </w:rPr>
        <w:t>费</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sz w:val="32"/>
          <w:szCs w:val="32"/>
          <w:lang w:eastAsia="zh-CN"/>
        </w:rPr>
        <w:t>属于社保基金不再纳入部门决算</w:t>
      </w:r>
      <w:r>
        <w:rPr>
          <w:rFonts w:hint="eastAsia" w:ascii="仿宋_GB2312" w:hAnsi="仿宋_GB2312" w:eastAsia="仿宋_GB2312" w:cs="仿宋_GB2312"/>
          <w:sz w:val="32"/>
          <w:szCs w:val="32"/>
        </w:rPr>
        <w:t>。</w:t>
      </w:r>
    </w:p>
    <w:p>
      <w:pPr>
        <w:spacing w:line="600" w:lineRule="exact"/>
        <w:ind w:firstLine="643" w:firstLineChars="200"/>
        <w:outlineLvl w:val="2"/>
        <w:rPr>
          <w:rFonts w:ascii="仿宋" w:hAnsi="仿宋" w:eastAsia="仿宋"/>
          <w:b/>
          <w:color w:val="000000"/>
          <w:sz w:val="32"/>
          <w:szCs w:val="32"/>
        </w:rPr>
      </w:pPr>
      <w:bookmarkStart w:id="34" w:name="_Toc15377211"/>
      <w:r>
        <w:rPr>
          <w:rFonts w:hint="eastAsia" w:ascii="仿宋" w:hAnsi="仿宋" w:eastAsia="仿宋"/>
          <w:b/>
          <w:color w:val="000000"/>
          <w:sz w:val="32"/>
          <w:szCs w:val="32"/>
        </w:rPr>
        <w:t>（二）一般公共预算财政拨款支出决算结构情况</w:t>
      </w:r>
      <w:bookmarkEnd w:id="34"/>
    </w:p>
    <w:p>
      <w:pPr>
        <w:spacing w:line="600" w:lineRule="exact"/>
        <w:ind w:firstLine="640"/>
        <w:rPr>
          <w:rFonts w:ascii="仿宋" w:hAnsi="仿宋" w:eastAsia="仿宋"/>
          <w:color w:val="000000" w:themeColor="text1"/>
          <w:sz w:val="32"/>
          <w:szCs w:val="32"/>
        </w:rPr>
      </w:pP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年一般公共预算财</w:t>
      </w:r>
      <w:r>
        <w:rPr>
          <w:rFonts w:hint="eastAsia" w:ascii="仿宋_GB2312" w:hAnsi="仿宋_GB2312" w:eastAsia="仿宋_GB2312" w:cs="仿宋_GB2312"/>
          <w:color w:val="000000" w:themeColor="text1"/>
          <w:sz w:val="32"/>
          <w:szCs w:val="32"/>
        </w:rPr>
        <w:t>政拨款支出</w:t>
      </w:r>
      <w:r>
        <w:rPr>
          <w:rFonts w:hint="eastAsia" w:ascii="仿宋_GB2312" w:hAnsi="仿宋_GB2312" w:eastAsia="仿宋_GB2312" w:cs="仿宋_GB2312"/>
          <w:color w:val="000000" w:themeColor="text1"/>
          <w:sz w:val="32"/>
          <w:szCs w:val="32"/>
          <w:lang w:val="en-US" w:eastAsia="zh-CN"/>
        </w:rPr>
        <w:t>278.58</w:t>
      </w:r>
      <w:r>
        <w:rPr>
          <w:rFonts w:hint="eastAsia" w:ascii="仿宋_GB2312" w:hAnsi="仿宋_GB2312" w:eastAsia="仿宋_GB2312" w:cs="仿宋_GB2312"/>
          <w:color w:val="000000" w:themeColor="text1"/>
          <w:sz w:val="32"/>
          <w:szCs w:val="32"/>
        </w:rPr>
        <w:t>万元，主要用于以下方面:</w:t>
      </w:r>
      <w:r>
        <w:rPr>
          <w:rFonts w:hint="eastAsia" w:ascii="仿宋_GB2312" w:hAnsi="仿宋_GB2312" w:eastAsia="仿宋_GB2312" w:cs="仿宋_GB2312"/>
          <w:bCs/>
          <w:color w:val="000000" w:themeColor="text1"/>
          <w:sz w:val="32"/>
          <w:szCs w:val="32"/>
        </w:rPr>
        <w:t>社会保障和就业</w:t>
      </w:r>
      <w:r>
        <w:rPr>
          <w:rFonts w:hint="eastAsia" w:ascii="仿宋_GB2312" w:hAnsi="仿宋_GB2312" w:eastAsia="仿宋_GB2312" w:cs="仿宋_GB2312"/>
          <w:color w:val="000000" w:themeColor="text1"/>
          <w:sz w:val="32"/>
          <w:szCs w:val="32"/>
        </w:rPr>
        <w:t>支出</w:t>
      </w:r>
      <w:r>
        <w:rPr>
          <w:rFonts w:hint="eastAsia" w:ascii="仿宋_GB2312" w:hAnsi="仿宋_GB2312" w:eastAsia="仿宋_GB2312" w:cs="仿宋_GB2312"/>
          <w:sz w:val="32"/>
          <w:szCs w:val="32"/>
          <w:lang w:val="en-US" w:eastAsia="zh-CN"/>
        </w:rPr>
        <w:t>255.41</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91.68</w:t>
      </w:r>
      <w:r>
        <w:rPr>
          <w:rFonts w:hint="eastAsia" w:ascii="仿宋_GB2312" w:hAnsi="仿宋_GB2312" w:eastAsia="仿宋_GB2312" w:cs="仿宋_GB2312"/>
          <w:color w:val="000000" w:themeColor="text1"/>
          <w:sz w:val="32"/>
          <w:szCs w:val="32"/>
        </w:rPr>
        <w:t>%；卫生健康支出</w:t>
      </w:r>
      <w:r>
        <w:rPr>
          <w:rFonts w:hint="eastAsia" w:ascii="仿宋_GB2312" w:hAnsi="仿宋_GB2312" w:eastAsia="仿宋_GB2312" w:cs="仿宋_GB2312"/>
          <w:color w:val="000000" w:themeColor="text1"/>
          <w:sz w:val="32"/>
          <w:szCs w:val="32"/>
          <w:lang w:val="en-US" w:eastAsia="zh-CN"/>
        </w:rPr>
        <w:t>9.31</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3.34</w:t>
      </w:r>
      <w:r>
        <w:rPr>
          <w:rFonts w:hint="eastAsia" w:ascii="仿宋_GB2312" w:hAnsi="仿宋_GB2312" w:eastAsia="仿宋_GB2312" w:cs="仿宋_GB2312"/>
          <w:color w:val="000000" w:themeColor="text1"/>
          <w:sz w:val="32"/>
          <w:szCs w:val="32"/>
        </w:rPr>
        <w:t>%；住房保障支出</w:t>
      </w:r>
      <w:r>
        <w:rPr>
          <w:rFonts w:hint="eastAsia" w:ascii="仿宋_GB2312" w:hAnsi="仿宋_GB2312" w:eastAsia="仿宋_GB2312" w:cs="仿宋_GB2312"/>
          <w:color w:val="000000" w:themeColor="text1"/>
          <w:sz w:val="32"/>
          <w:szCs w:val="32"/>
          <w:lang w:val="en-US" w:eastAsia="zh-CN"/>
        </w:rPr>
        <w:t>13.86</w:t>
      </w:r>
      <w:r>
        <w:rPr>
          <w:rFonts w:hint="eastAsia" w:ascii="仿宋_GB2312" w:hAnsi="仿宋_GB2312" w:eastAsia="仿宋_GB2312" w:cs="仿宋_GB2312"/>
          <w:color w:val="000000" w:themeColor="text1"/>
          <w:sz w:val="32"/>
          <w:szCs w:val="32"/>
        </w:rPr>
        <w:t>万元，占</w:t>
      </w:r>
      <w:r>
        <w:rPr>
          <w:rFonts w:hint="eastAsia" w:ascii="仿宋_GB2312" w:hAnsi="仿宋_GB2312" w:eastAsia="仿宋_GB2312" w:cs="仿宋_GB2312"/>
          <w:color w:val="000000" w:themeColor="text1"/>
          <w:sz w:val="32"/>
          <w:szCs w:val="32"/>
          <w:lang w:val="en-US" w:eastAsia="zh-CN"/>
        </w:rPr>
        <w:t>4.98</w:t>
      </w:r>
      <w:r>
        <w:rPr>
          <w:rFonts w:hint="eastAsia" w:ascii="仿宋_GB2312" w:hAnsi="仿宋_GB2312" w:eastAsia="仿宋_GB2312" w:cs="仿宋_GB2312"/>
          <w:color w:val="000000" w:themeColor="text1"/>
          <w:sz w:val="32"/>
          <w:szCs w:val="32"/>
        </w:rPr>
        <w:t>%。</w:t>
      </w:r>
    </w:p>
    <w:p>
      <w:pPr>
        <w:spacing w:line="600" w:lineRule="exact"/>
        <w:ind w:firstLine="321" w:firstLineChars="100"/>
        <w:outlineLvl w:val="2"/>
        <w:rPr>
          <w:rFonts w:ascii="仿宋" w:hAnsi="仿宋" w:eastAsia="仿宋"/>
          <w:b/>
          <w:color w:val="000000"/>
          <w:sz w:val="32"/>
          <w:szCs w:val="32"/>
        </w:rPr>
      </w:pPr>
      <w:bookmarkStart w:id="35" w:name="_Toc15377212"/>
      <w:r>
        <w:rPr>
          <w:rFonts w:hint="eastAsia" w:ascii="仿宋" w:hAnsi="仿宋" w:eastAsia="仿宋"/>
          <w:b/>
          <w:color w:val="000000"/>
          <w:sz w:val="32"/>
          <w:szCs w:val="32"/>
        </w:rPr>
        <w:t>（三）一般公共预算财政拨款支出决算具体情况</w:t>
      </w:r>
      <w:bookmarkEnd w:id="35"/>
    </w:p>
    <w:p>
      <w:pPr>
        <w:spacing w:line="600" w:lineRule="exact"/>
        <w:ind w:firstLine="640" w:firstLineChars="200"/>
        <w:outlineLvl w:val="2"/>
        <w:rPr>
          <w:rFonts w:hint="eastAsia" w:ascii="仿宋_GB2312" w:hAnsi="仿宋_GB2312" w:eastAsia="仿宋_GB2312" w:cs="仿宋_GB2312"/>
          <w:color w:val="FF0000"/>
          <w:sz w:val="32"/>
          <w:szCs w:val="32"/>
        </w:rPr>
      </w:pPr>
      <w:bookmarkStart w:id="36" w:name="_Toc15377444"/>
      <w:bookmarkStart w:id="37" w:name="_Toc15378460"/>
      <w:bookmarkStart w:id="38" w:name="_Toc15377213"/>
      <w:r>
        <w:rPr>
          <w:rFonts w:hint="eastAsia" w:ascii="仿宋_GB2312" w:hAnsi="仿宋_GB2312" w:eastAsia="仿宋_GB2312" w:cs="仿宋_GB2312"/>
          <w:bCs/>
          <w:color w:val="000000" w:themeColor="text1"/>
          <w:sz w:val="32"/>
          <w:szCs w:val="32"/>
          <w:lang w:eastAsia="zh-CN"/>
        </w:rPr>
        <w:t>2022</w:t>
      </w:r>
      <w:r>
        <w:rPr>
          <w:rFonts w:hint="eastAsia" w:ascii="仿宋_GB2312" w:hAnsi="仿宋_GB2312" w:eastAsia="仿宋_GB2312" w:cs="仿宋_GB2312"/>
          <w:bCs/>
          <w:color w:val="000000" w:themeColor="text1"/>
          <w:sz w:val="32"/>
          <w:szCs w:val="32"/>
        </w:rPr>
        <w:t>年般公共预算支出决算数为</w:t>
      </w:r>
      <w:r>
        <w:rPr>
          <w:rFonts w:hint="eastAsia" w:ascii="仿宋_GB2312" w:hAnsi="仿宋_GB2312" w:eastAsia="仿宋_GB2312" w:cs="仿宋_GB2312"/>
          <w:bCs/>
          <w:color w:val="000000" w:themeColor="text1"/>
          <w:sz w:val="32"/>
          <w:szCs w:val="32"/>
          <w:lang w:val="en-US" w:eastAsia="zh-CN"/>
        </w:rPr>
        <w:t>278.58</w:t>
      </w:r>
      <w:r>
        <w:rPr>
          <w:rFonts w:hint="eastAsia" w:ascii="仿宋_GB2312" w:hAnsi="仿宋_GB2312" w:eastAsia="仿宋_GB2312" w:cs="仿宋_GB2312"/>
          <w:bCs/>
          <w:color w:val="000000" w:themeColor="text1"/>
          <w:sz w:val="32"/>
          <w:szCs w:val="32"/>
        </w:rPr>
        <w:t>万元，</w:t>
      </w:r>
      <w:r>
        <w:rPr>
          <w:rStyle w:val="14"/>
          <w:rFonts w:hint="eastAsia" w:ascii="仿宋_GB2312" w:hAnsi="仿宋_GB2312" w:eastAsia="仿宋_GB2312" w:cs="仿宋_GB2312"/>
          <w:b w:val="0"/>
          <w:bCs/>
          <w:color w:val="000000" w:themeColor="text1"/>
          <w:sz w:val="32"/>
          <w:szCs w:val="32"/>
        </w:rPr>
        <w:t>完成</w:t>
      </w:r>
      <w:r>
        <w:rPr>
          <w:rStyle w:val="14"/>
          <w:rFonts w:hint="eastAsia" w:ascii="仿宋_GB2312" w:hAnsi="仿宋_GB2312" w:eastAsia="仿宋_GB2312" w:cs="仿宋_GB2312"/>
          <w:b w:val="0"/>
          <w:bCs/>
          <w:color w:val="000000"/>
          <w:sz w:val="32"/>
          <w:szCs w:val="32"/>
        </w:rPr>
        <w:t>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。其中：</w:t>
      </w:r>
      <w:bookmarkEnd w:id="36"/>
      <w:bookmarkEnd w:id="37"/>
      <w:bookmarkEnd w:id="38"/>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 社会保障和就业（类）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（1）社会保障和就业（类）人力资源和社会保</w:t>
      </w:r>
      <w:r>
        <w:rPr>
          <w:rFonts w:hint="eastAsia" w:ascii="仿宋_GB2312" w:eastAsia="仿宋_GB2312"/>
          <w:sz w:val="32"/>
          <w:szCs w:val="32"/>
          <w:lang w:eastAsia="zh-CN"/>
        </w:rPr>
        <w:t>障</w:t>
      </w:r>
      <w:r>
        <w:rPr>
          <w:rFonts w:hint="eastAsia" w:ascii="仿宋_GB2312" w:eastAsia="仿宋_GB2312"/>
          <w:sz w:val="32"/>
          <w:szCs w:val="32"/>
        </w:rPr>
        <w:t>管理事务（款）行政运行（项）:</w:t>
      </w:r>
      <w:r>
        <w:rPr>
          <w:rFonts w:hint="eastAsia" w:ascii="仿宋_GB2312" w:eastAsia="仿宋_GB2312"/>
          <w:sz w:val="32"/>
          <w:szCs w:val="32"/>
          <w:lang w:eastAsia="zh-CN"/>
        </w:rPr>
        <w:t>2022</w:t>
      </w:r>
      <w:r>
        <w:rPr>
          <w:rFonts w:hint="eastAsia" w:ascii="仿宋_GB2312" w:eastAsia="仿宋_GB2312"/>
          <w:sz w:val="32"/>
          <w:szCs w:val="32"/>
        </w:rPr>
        <w:t>年决算数为</w:t>
      </w:r>
      <w:r>
        <w:rPr>
          <w:rFonts w:hint="eastAsia" w:ascii="仿宋_GB2312" w:eastAsia="仿宋_GB2312"/>
          <w:sz w:val="32"/>
          <w:szCs w:val="32"/>
          <w:lang w:val="en-US" w:eastAsia="zh-CN"/>
        </w:rPr>
        <w:t>185.15</w:t>
      </w:r>
      <w:r>
        <w:rPr>
          <w:rFonts w:hint="eastAsia" w:ascii="仿宋_GB2312" w:eastAsia="仿宋_GB2312"/>
          <w:sz w:val="32"/>
          <w:szCs w:val="32"/>
        </w:rPr>
        <w:t>万元，完成预算</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（2）社会保障和就业（类）人力资源和社会保</w:t>
      </w:r>
      <w:r>
        <w:rPr>
          <w:rFonts w:hint="eastAsia" w:ascii="仿宋_GB2312" w:eastAsia="仿宋_GB2312"/>
          <w:color w:val="000000"/>
          <w:sz w:val="32"/>
          <w:szCs w:val="32"/>
          <w:lang w:eastAsia="zh-CN"/>
        </w:rPr>
        <w:t>障</w:t>
      </w:r>
      <w:r>
        <w:rPr>
          <w:rFonts w:hint="eastAsia" w:ascii="仿宋_GB2312" w:eastAsia="仿宋_GB2312"/>
          <w:color w:val="000000"/>
          <w:sz w:val="32"/>
          <w:szCs w:val="32"/>
        </w:rPr>
        <w:t>管理事务（款）社会保险经办机构（项）:</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48.14</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）社会保障和就业（类）人力资源和社会保</w:t>
      </w:r>
      <w:r>
        <w:rPr>
          <w:rFonts w:hint="eastAsia" w:ascii="仿宋_GB2312" w:eastAsia="仿宋_GB2312"/>
          <w:color w:val="000000"/>
          <w:sz w:val="32"/>
          <w:szCs w:val="32"/>
          <w:lang w:eastAsia="zh-CN"/>
        </w:rPr>
        <w:t>障</w:t>
      </w:r>
      <w:r>
        <w:rPr>
          <w:rFonts w:hint="eastAsia" w:ascii="仿宋_GB2312" w:eastAsia="仿宋_GB2312"/>
          <w:color w:val="000000"/>
          <w:sz w:val="32"/>
          <w:szCs w:val="32"/>
        </w:rPr>
        <w:t>管理事务（款）</w:t>
      </w:r>
      <w:r>
        <w:rPr>
          <w:rFonts w:hint="eastAsia" w:ascii="仿宋_GB2312" w:eastAsia="仿宋_GB2312"/>
          <w:color w:val="000000"/>
          <w:sz w:val="32"/>
          <w:szCs w:val="32"/>
          <w:lang w:eastAsia="zh-CN"/>
        </w:rPr>
        <w:t>一般行政管理事务</w:t>
      </w:r>
      <w:r>
        <w:rPr>
          <w:rFonts w:hint="eastAsia" w:ascii="仿宋_GB2312" w:eastAsia="仿宋_GB2312"/>
          <w:color w:val="000000"/>
          <w:sz w:val="32"/>
          <w:szCs w:val="32"/>
        </w:rPr>
        <w:t>（项）:</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0.35</w:t>
      </w:r>
    </w:p>
    <w:p>
      <w:pPr>
        <w:spacing w:line="600" w:lineRule="exact"/>
        <w:rPr>
          <w:rFonts w:hint="eastAsia" w:ascii="仿宋_GB2312" w:eastAsia="仿宋_GB2312"/>
          <w:color w:val="000000"/>
          <w:sz w:val="32"/>
          <w:szCs w:val="32"/>
        </w:rPr>
      </w:pP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）社会保障和就业（类）行政事业单位</w:t>
      </w:r>
      <w:r>
        <w:rPr>
          <w:rFonts w:hint="eastAsia" w:ascii="仿宋_GB2312" w:eastAsia="仿宋_GB2312"/>
          <w:color w:val="000000"/>
          <w:sz w:val="32"/>
          <w:szCs w:val="32"/>
          <w:lang w:eastAsia="zh-CN"/>
        </w:rPr>
        <w:t>养老支出</w:t>
      </w:r>
      <w:r>
        <w:rPr>
          <w:rFonts w:hint="eastAsia" w:ascii="仿宋_GB2312" w:eastAsia="仿宋_GB2312"/>
          <w:color w:val="000000"/>
          <w:sz w:val="32"/>
          <w:szCs w:val="32"/>
        </w:rPr>
        <w:t>（款）机关事业单位基本养老保险缴费支出（项）:</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年决算数为1</w:t>
      </w:r>
      <w:r>
        <w:rPr>
          <w:rFonts w:hint="eastAsia" w:ascii="仿宋_GB2312" w:eastAsia="仿宋_GB2312"/>
          <w:color w:val="000000"/>
          <w:sz w:val="32"/>
          <w:szCs w:val="32"/>
          <w:lang w:val="en-US" w:eastAsia="zh-CN"/>
        </w:rPr>
        <w:t>8.16</w:t>
      </w:r>
      <w:r>
        <w:rPr>
          <w:rFonts w:hint="eastAsia" w:ascii="仿宋_GB2312" w:eastAsia="仿宋_GB2312"/>
          <w:color w:val="000000"/>
          <w:sz w:val="32"/>
          <w:szCs w:val="32"/>
        </w:rPr>
        <w:t>万元，完成预算100%。</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）社会保障和就业（类）行政事业单位</w:t>
      </w:r>
      <w:r>
        <w:rPr>
          <w:rFonts w:hint="eastAsia" w:ascii="仿宋_GB2312" w:eastAsia="仿宋_GB2312"/>
          <w:color w:val="000000"/>
          <w:sz w:val="32"/>
          <w:szCs w:val="32"/>
          <w:lang w:eastAsia="zh-CN"/>
        </w:rPr>
        <w:t>养老支出</w:t>
      </w:r>
      <w:r>
        <w:rPr>
          <w:rFonts w:hint="eastAsia" w:ascii="仿宋_GB2312" w:eastAsia="仿宋_GB2312"/>
          <w:color w:val="000000"/>
          <w:sz w:val="32"/>
          <w:szCs w:val="32"/>
        </w:rPr>
        <w:t>（款）事业单位离退休（项）:</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3.42</w:t>
      </w:r>
      <w:r>
        <w:rPr>
          <w:rFonts w:hint="eastAsia" w:ascii="仿宋_GB2312" w:eastAsia="仿宋_GB2312"/>
          <w:color w:val="000000"/>
          <w:sz w:val="32"/>
          <w:szCs w:val="32"/>
        </w:rPr>
        <w:t>万元，完成预算100%。</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）社会保障和就业（类）其他社会保障和就业支出（款）其他社会保障和就业支出（项）:</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年决算数为0.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万元，完成预算100%。</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2. 住房保障支出（类）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住房保障支出（类）住房改革支出（款）住房公积金（项）:</w:t>
      </w:r>
      <w:r>
        <w:rPr>
          <w:rFonts w:hint="eastAsia" w:ascii="仿宋_GB2312" w:eastAsia="仿宋_GB2312"/>
          <w:sz w:val="32"/>
          <w:szCs w:val="32"/>
          <w:lang w:eastAsia="zh-CN"/>
        </w:rPr>
        <w:t>2022</w:t>
      </w:r>
      <w:r>
        <w:rPr>
          <w:rFonts w:hint="eastAsia" w:ascii="仿宋_GB2312" w:eastAsia="仿宋_GB2312"/>
          <w:sz w:val="32"/>
          <w:szCs w:val="32"/>
        </w:rPr>
        <w:t>年决算数为</w:t>
      </w:r>
      <w:r>
        <w:rPr>
          <w:rFonts w:hint="eastAsia" w:ascii="仿宋_GB2312" w:eastAsia="仿宋_GB2312"/>
          <w:sz w:val="32"/>
          <w:szCs w:val="32"/>
          <w:lang w:val="en-US" w:eastAsia="zh-CN"/>
        </w:rPr>
        <w:t>13.86</w:t>
      </w:r>
      <w:r>
        <w:rPr>
          <w:rFonts w:hint="eastAsia" w:ascii="仿宋_GB2312" w:eastAsia="仿宋_GB2312"/>
          <w:sz w:val="32"/>
          <w:szCs w:val="32"/>
        </w:rPr>
        <w:t>万元，完成预算</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600" w:lineRule="exact"/>
        <w:ind w:firstLine="640" w:firstLineChars="20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3.医疗卫生与计划生育（类）</w:t>
      </w:r>
    </w:p>
    <w:p>
      <w:pPr>
        <w:spacing w:line="600" w:lineRule="exact"/>
        <w:ind w:firstLine="640" w:firstLineChars="200"/>
        <w:rPr>
          <w:rFonts w:hint="eastAsia" w:ascii="仿宋_GB2312" w:eastAsia="仿宋_GB2312"/>
          <w:color w:val="000000"/>
          <w:sz w:val="32"/>
          <w:szCs w:val="32"/>
        </w:rPr>
      </w:pPr>
      <w:r>
        <w:rPr>
          <w:rStyle w:val="14"/>
          <w:rFonts w:hint="eastAsia" w:ascii="仿宋_GB2312" w:eastAsia="仿宋_GB2312"/>
          <w:b w:val="0"/>
          <w:color w:val="000000"/>
          <w:sz w:val="32"/>
          <w:szCs w:val="32"/>
        </w:rPr>
        <w:t>（1）医疗卫生与计划生育（类）行政事业单位医疗（款）事业单位医疗（项）:</w:t>
      </w:r>
      <w:r>
        <w:rPr>
          <w:rStyle w:val="14"/>
          <w:rFonts w:hint="eastAsia" w:ascii="仿宋_GB2312" w:eastAsia="仿宋_GB2312"/>
          <w:b w:val="0"/>
          <w:color w:val="000000"/>
          <w:sz w:val="32"/>
          <w:szCs w:val="32"/>
          <w:lang w:eastAsia="zh-CN"/>
        </w:rPr>
        <w:t>2022</w:t>
      </w:r>
      <w:r>
        <w:rPr>
          <w:rStyle w:val="14"/>
          <w:rFonts w:hint="eastAsia" w:ascii="仿宋_GB2312" w:eastAsia="仿宋_GB2312"/>
          <w:b w:val="0"/>
          <w:color w:val="000000"/>
          <w:sz w:val="32"/>
          <w:szCs w:val="32"/>
        </w:rPr>
        <w:t>年支出决算为</w:t>
      </w:r>
      <w:r>
        <w:rPr>
          <w:rStyle w:val="14"/>
          <w:rFonts w:hint="eastAsia" w:ascii="仿宋_GB2312" w:eastAsia="仿宋_GB2312"/>
          <w:b w:val="0"/>
          <w:color w:val="000000"/>
          <w:sz w:val="32"/>
          <w:szCs w:val="32"/>
          <w:lang w:val="en-US" w:eastAsia="zh-CN"/>
        </w:rPr>
        <w:t>8.09</w:t>
      </w:r>
      <w:r>
        <w:rPr>
          <w:rStyle w:val="14"/>
          <w:rFonts w:hint="eastAsia" w:ascii="仿宋_GB2312" w:eastAsia="仿宋_GB2312"/>
          <w:b w:val="0"/>
          <w:color w:val="000000"/>
          <w:sz w:val="32"/>
          <w:szCs w:val="32"/>
        </w:rPr>
        <w:t>万元，完成预算100%</w:t>
      </w:r>
      <w:r>
        <w:rPr>
          <w:rFonts w:hint="eastAsia" w:ascii="仿宋_GB2312" w:eastAsia="仿宋_GB2312"/>
          <w:color w:val="000000"/>
          <w:sz w:val="32"/>
          <w:szCs w:val="32"/>
        </w:rPr>
        <w:t>。</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_GB2312" w:eastAsia="仿宋_GB2312"/>
          <w:b w:val="0"/>
          <w:color w:val="000000"/>
          <w:sz w:val="32"/>
          <w:szCs w:val="32"/>
        </w:rPr>
        <w:t>（2）医疗卫生与计划生育（类）行政事业单位医疗（款）公务员医疗补助（项）:</w:t>
      </w:r>
      <w:r>
        <w:rPr>
          <w:rStyle w:val="14"/>
          <w:rFonts w:hint="eastAsia" w:ascii="仿宋_GB2312" w:eastAsia="仿宋_GB2312"/>
          <w:b w:val="0"/>
          <w:color w:val="000000"/>
          <w:sz w:val="32"/>
          <w:szCs w:val="32"/>
          <w:lang w:eastAsia="zh-CN"/>
        </w:rPr>
        <w:t>2022</w:t>
      </w:r>
      <w:r>
        <w:rPr>
          <w:rStyle w:val="14"/>
          <w:rFonts w:hint="eastAsia" w:ascii="仿宋_GB2312" w:eastAsia="仿宋_GB2312"/>
          <w:b w:val="0"/>
          <w:color w:val="000000"/>
          <w:sz w:val="32"/>
          <w:szCs w:val="32"/>
        </w:rPr>
        <w:t>年支出决算为1.</w:t>
      </w:r>
      <w:r>
        <w:rPr>
          <w:rStyle w:val="14"/>
          <w:rFonts w:hint="eastAsia" w:ascii="仿宋_GB2312" w:eastAsia="仿宋_GB2312"/>
          <w:b w:val="0"/>
          <w:color w:val="000000"/>
          <w:sz w:val="32"/>
          <w:szCs w:val="32"/>
          <w:lang w:val="en-US" w:eastAsia="zh-CN"/>
        </w:rPr>
        <w:t>22</w:t>
      </w:r>
      <w:r>
        <w:rPr>
          <w:rStyle w:val="14"/>
          <w:rFonts w:hint="eastAsia" w:ascii="仿宋_GB2312" w:eastAsia="仿宋_GB2312"/>
          <w:b w:val="0"/>
          <w:color w:val="000000"/>
          <w:sz w:val="32"/>
          <w:szCs w:val="32"/>
        </w:rPr>
        <w:t>万元，完成预算1</w:t>
      </w:r>
      <w:r>
        <w:rPr>
          <w:rStyle w:val="14"/>
          <w:rFonts w:hint="eastAsia" w:ascii="仿宋_GB2312" w:eastAsia="仿宋_GB2312"/>
          <w:b w:val="0"/>
          <w:color w:val="000000"/>
          <w:sz w:val="32"/>
          <w:szCs w:val="32"/>
          <w:lang w:val="en-US" w:eastAsia="zh-CN"/>
        </w:rPr>
        <w:t>00</w:t>
      </w:r>
      <w:r>
        <w:rPr>
          <w:rStyle w:val="14"/>
          <w:rFonts w:hint="eastAsia" w:ascii="仿宋_GB2312" w:eastAsia="仿宋_GB2312"/>
          <w:b w:val="0"/>
          <w:color w:val="000000"/>
          <w:sz w:val="32"/>
          <w:szCs w:val="32"/>
        </w:rPr>
        <w:t>%</w:t>
      </w:r>
      <w:r>
        <w:rPr>
          <w:rStyle w:val="14"/>
          <w:rFonts w:hint="eastAsia" w:ascii="仿宋" w:hAnsi="仿宋" w:eastAsia="仿宋"/>
          <w:b w:val="0"/>
          <w:bCs/>
          <w:color w:val="000000"/>
          <w:sz w:val="32"/>
          <w:szCs w:val="32"/>
        </w:rPr>
        <w:t>。</w:t>
      </w:r>
    </w:p>
    <w:p>
      <w:pPr>
        <w:rPr>
          <w:rFonts w:hint="default"/>
          <w:lang w:val="en-US" w:eastAsia="zh-CN"/>
        </w:rPr>
      </w:pPr>
    </w:p>
    <w:p>
      <w:pPr>
        <w:tabs>
          <w:tab w:val="right" w:pos="8306"/>
        </w:tabs>
        <w:spacing w:line="600" w:lineRule="exact"/>
        <w:ind w:firstLine="640" w:firstLineChars="200"/>
        <w:outlineLvl w:val="1"/>
        <w:rPr>
          <w:rStyle w:val="25"/>
        </w:rPr>
      </w:pPr>
      <w:bookmarkStart w:id="39" w:name="_Toc17103559"/>
      <w:bookmarkStart w:id="4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9"/>
      <w:bookmarkEnd w:id="40"/>
      <w:r>
        <w:rPr>
          <w:rStyle w:val="25"/>
          <w:rFonts w:ascii="黑体" w:hAnsi="黑体" w:eastAsia="黑体"/>
          <w:b w:val="0"/>
        </w:rPr>
        <w:tab/>
      </w:r>
    </w:p>
    <w:p>
      <w:pPr>
        <w:spacing w:line="600" w:lineRule="exact"/>
        <w:ind w:firstLine="645"/>
        <w:rPr>
          <w:rFonts w:ascii="仿宋_GB2312" w:eastAsia="仿宋_GB2312"/>
          <w:color w:val="000000"/>
          <w:sz w:val="32"/>
          <w:szCs w:val="32"/>
        </w:rPr>
      </w:pPr>
      <w:r>
        <w:rPr>
          <w:rFonts w:hint="eastAsia" w:ascii="仿宋" w:hAnsi="仿宋" w:eastAsia="仿宋"/>
          <w:color w:val="000000"/>
          <w:sz w:val="32"/>
          <w:szCs w:val="32"/>
          <w:lang w:eastAsia="zh-CN"/>
        </w:rPr>
        <w:t>2022</w:t>
      </w:r>
      <w:r>
        <w:rPr>
          <w:rFonts w:hint="eastAsia" w:ascii="仿宋" w:hAnsi="仿宋" w:eastAsia="仿宋"/>
          <w:color w:val="000000"/>
          <w:sz w:val="32"/>
          <w:szCs w:val="32"/>
        </w:rPr>
        <w:t>年</w:t>
      </w:r>
      <w:r>
        <w:rPr>
          <w:rFonts w:hint="eastAsia" w:ascii="仿宋_GB2312" w:eastAsia="仿宋_GB2312"/>
          <w:color w:val="000000"/>
          <w:sz w:val="32"/>
          <w:szCs w:val="32"/>
        </w:rPr>
        <w:t>年度一般公共预算财政拨款基本支出</w:t>
      </w:r>
      <w:r>
        <w:rPr>
          <w:rFonts w:hint="eastAsia" w:ascii="仿宋_GB2312" w:eastAsia="仿宋_GB2312"/>
          <w:color w:val="000000"/>
          <w:sz w:val="32"/>
          <w:szCs w:val="32"/>
          <w:lang w:val="en-US" w:eastAsia="zh-CN"/>
        </w:rPr>
        <w:t>230.09</w:t>
      </w:r>
      <w:r>
        <w:rPr>
          <w:rFonts w:hint="eastAsia" w:ascii="仿宋_GB2312" w:eastAsia="仿宋_GB2312"/>
          <w:color w:val="000000"/>
          <w:sz w:val="32"/>
          <w:szCs w:val="32"/>
        </w:rPr>
        <w:t>万元，其中：</w:t>
      </w:r>
    </w:p>
    <w:p>
      <w:pPr>
        <w:spacing w:line="600" w:lineRule="exact"/>
        <w:ind w:firstLine="645"/>
        <w:rPr>
          <w:rFonts w:hint="eastAsia" w:ascii="仿宋_GB2312" w:eastAsia="仿宋_GB2312"/>
          <w:color w:val="000000"/>
          <w:sz w:val="32"/>
          <w:szCs w:val="32"/>
          <w:lang w:eastAsia="zh-CN"/>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199.2</w:t>
      </w:r>
      <w:r>
        <w:rPr>
          <w:rFonts w:hint="eastAsia" w:ascii="仿宋_GB2312" w:eastAsia="仿宋_GB2312"/>
          <w:color w:val="000000"/>
          <w:sz w:val="32"/>
          <w:szCs w:val="32"/>
        </w:rPr>
        <w:t>万元，主要包括：基本工资</w:t>
      </w:r>
      <w:r>
        <w:rPr>
          <w:rFonts w:hint="eastAsia" w:ascii="仿宋_GB2312" w:eastAsia="仿宋_GB2312"/>
          <w:color w:val="000000"/>
          <w:sz w:val="32"/>
          <w:szCs w:val="32"/>
          <w:lang w:val="en-US" w:eastAsia="zh-CN"/>
        </w:rPr>
        <w:t>57.53</w:t>
      </w:r>
      <w:r>
        <w:rPr>
          <w:rFonts w:hint="eastAsia" w:ascii="仿宋_GB2312" w:eastAsia="仿宋_GB2312"/>
          <w:color w:val="000000"/>
          <w:sz w:val="32"/>
          <w:szCs w:val="32"/>
        </w:rPr>
        <w:t>万元、津贴补贴</w:t>
      </w:r>
      <w:r>
        <w:rPr>
          <w:rFonts w:hint="eastAsia" w:ascii="仿宋_GB2312" w:eastAsia="仿宋_GB2312"/>
          <w:color w:val="000000"/>
          <w:sz w:val="32"/>
          <w:szCs w:val="32"/>
          <w:lang w:val="en-US" w:eastAsia="zh-CN"/>
        </w:rPr>
        <w:t>37.54</w:t>
      </w:r>
      <w:r>
        <w:rPr>
          <w:rFonts w:hint="eastAsia" w:ascii="仿宋_GB2312" w:eastAsia="仿宋_GB2312"/>
          <w:color w:val="000000"/>
          <w:sz w:val="32"/>
          <w:szCs w:val="32"/>
        </w:rPr>
        <w:t>万元、奖金</w:t>
      </w:r>
      <w:r>
        <w:rPr>
          <w:rFonts w:hint="eastAsia" w:ascii="仿宋_GB2312" w:eastAsia="仿宋_GB2312"/>
          <w:color w:val="000000"/>
          <w:sz w:val="32"/>
          <w:szCs w:val="32"/>
          <w:lang w:val="en-US" w:eastAsia="zh-CN"/>
        </w:rPr>
        <w:t>59.15</w:t>
      </w:r>
      <w:r>
        <w:rPr>
          <w:rFonts w:hint="eastAsia" w:ascii="仿宋_GB2312" w:eastAsia="仿宋_GB2312"/>
          <w:color w:val="000000"/>
          <w:sz w:val="32"/>
          <w:szCs w:val="32"/>
        </w:rPr>
        <w:t>万元、机关事业单位基本养老保险缴费1</w:t>
      </w:r>
      <w:r>
        <w:rPr>
          <w:rFonts w:hint="eastAsia" w:ascii="仿宋_GB2312" w:eastAsia="仿宋_GB2312"/>
          <w:color w:val="000000"/>
          <w:sz w:val="32"/>
          <w:szCs w:val="32"/>
          <w:lang w:val="en-US" w:eastAsia="zh-CN"/>
        </w:rPr>
        <w:t>8.16</w:t>
      </w:r>
      <w:r>
        <w:rPr>
          <w:rFonts w:hint="eastAsia" w:ascii="仿宋_GB2312" w:eastAsia="仿宋_GB2312"/>
          <w:color w:val="000000"/>
          <w:sz w:val="32"/>
          <w:szCs w:val="32"/>
        </w:rPr>
        <w:t>万元、其他社会保障缴费0.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万元、职工基本医疗保险缴费</w:t>
      </w:r>
      <w:r>
        <w:rPr>
          <w:rFonts w:hint="eastAsia" w:ascii="仿宋_GB2312" w:eastAsia="仿宋_GB2312"/>
          <w:color w:val="000000"/>
          <w:sz w:val="32"/>
          <w:szCs w:val="32"/>
          <w:lang w:val="en-US" w:eastAsia="zh-CN"/>
        </w:rPr>
        <w:t>8.09</w:t>
      </w:r>
      <w:r>
        <w:rPr>
          <w:rFonts w:hint="eastAsia" w:ascii="仿宋_GB2312" w:eastAsia="仿宋_GB2312"/>
          <w:color w:val="000000"/>
          <w:sz w:val="32"/>
          <w:szCs w:val="32"/>
        </w:rPr>
        <w:t>万元、公务员医疗补助缴费1.</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生活补助</w:t>
      </w:r>
      <w:r>
        <w:rPr>
          <w:rFonts w:hint="eastAsia" w:ascii="仿宋_GB2312" w:eastAsia="仿宋_GB2312"/>
          <w:color w:val="000000"/>
          <w:sz w:val="32"/>
          <w:szCs w:val="32"/>
          <w:lang w:val="en-US" w:eastAsia="zh-CN"/>
        </w:rPr>
        <w:t>3.42</w:t>
      </w:r>
      <w:r>
        <w:rPr>
          <w:rFonts w:hint="eastAsia" w:ascii="仿宋_GB2312" w:eastAsia="仿宋_GB2312"/>
          <w:color w:val="000000"/>
          <w:sz w:val="32"/>
          <w:szCs w:val="32"/>
        </w:rPr>
        <w:t>万元、奖励金0.04万元、住房公积金</w:t>
      </w:r>
      <w:r>
        <w:rPr>
          <w:rFonts w:hint="eastAsia" w:ascii="仿宋_GB2312" w:eastAsia="仿宋_GB2312"/>
          <w:color w:val="000000"/>
          <w:sz w:val="32"/>
          <w:szCs w:val="32"/>
          <w:lang w:val="en-US" w:eastAsia="zh-CN"/>
        </w:rPr>
        <w:t>13.86</w:t>
      </w:r>
      <w:r>
        <w:rPr>
          <w:rFonts w:hint="eastAsia" w:ascii="仿宋_GB2312" w:eastAsia="仿宋_GB2312"/>
          <w:color w:val="000000"/>
          <w:sz w:val="32"/>
          <w:szCs w:val="32"/>
        </w:rPr>
        <w:t>万元。</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30.89</w:t>
      </w:r>
      <w:r>
        <w:rPr>
          <w:rFonts w:hint="eastAsia" w:ascii="仿宋_GB2312" w:eastAsia="仿宋_GB2312"/>
          <w:color w:val="000000"/>
          <w:sz w:val="32"/>
          <w:szCs w:val="32"/>
        </w:rPr>
        <w:t>万元，主要包括：</w:t>
      </w:r>
      <w:r>
        <w:rPr>
          <w:rFonts w:hint="eastAsia" w:ascii="仿宋_GB2312" w:eastAsia="仿宋_GB2312"/>
          <w:color w:val="000000"/>
          <w:sz w:val="32"/>
          <w:szCs w:val="32"/>
          <w:lang w:eastAsia="zh-CN"/>
        </w:rPr>
        <w:t>差旅费</w:t>
      </w:r>
      <w:r>
        <w:rPr>
          <w:rFonts w:hint="eastAsia" w:ascii="仿宋_GB2312" w:eastAsia="仿宋_GB2312"/>
          <w:color w:val="000000"/>
          <w:sz w:val="32"/>
          <w:szCs w:val="32"/>
          <w:lang w:val="en-US" w:eastAsia="zh-CN"/>
        </w:rPr>
        <w:t>9.24</w:t>
      </w:r>
      <w:r>
        <w:rPr>
          <w:rFonts w:hint="eastAsia" w:ascii="仿宋_GB2312" w:eastAsia="仿宋_GB2312"/>
          <w:color w:val="000000"/>
          <w:sz w:val="32"/>
          <w:szCs w:val="32"/>
        </w:rPr>
        <w:t>万元、公务接待费</w:t>
      </w:r>
      <w:r>
        <w:rPr>
          <w:rFonts w:hint="eastAsia" w:ascii="仿宋_GB2312" w:eastAsia="仿宋_GB2312"/>
          <w:color w:val="000000"/>
          <w:sz w:val="32"/>
          <w:szCs w:val="32"/>
          <w:lang w:val="en-US" w:eastAsia="zh-CN"/>
        </w:rPr>
        <w:t>0.45</w:t>
      </w:r>
      <w:r>
        <w:rPr>
          <w:rFonts w:hint="eastAsia" w:ascii="仿宋_GB2312" w:eastAsia="仿宋_GB2312"/>
          <w:color w:val="000000"/>
          <w:sz w:val="32"/>
          <w:szCs w:val="32"/>
        </w:rPr>
        <w:t>万元、工会经费</w:t>
      </w:r>
      <w:r>
        <w:rPr>
          <w:rFonts w:hint="eastAsia" w:ascii="仿宋_GB2312" w:eastAsia="仿宋_GB2312"/>
          <w:color w:val="000000"/>
          <w:sz w:val="32"/>
          <w:szCs w:val="32"/>
          <w:lang w:val="en-US" w:eastAsia="zh-CN"/>
        </w:rPr>
        <w:t>1.83</w:t>
      </w:r>
      <w:r>
        <w:rPr>
          <w:rFonts w:hint="eastAsia" w:ascii="仿宋_GB2312" w:eastAsia="仿宋_GB2312"/>
          <w:color w:val="000000"/>
          <w:sz w:val="32"/>
          <w:szCs w:val="32"/>
        </w:rPr>
        <w:t>万元、福利费</w:t>
      </w:r>
      <w:r>
        <w:rPr>
          <w:rFonts w:hint="eastAsia" w:ascii="仿宋_GB2312" w:eastAsia="仿宋_GB2312"/>
          <w:color w:val="000000"/>
          <w:sz w:val="32"/>
          <w:szCs w:val="32"/>
          <w:lang w:val="en-US" w:eastAsia="zh-CN"/>
        </w:rPr>
        <w:t>2.65</w:t>
      </w:r>
      <w:r>
        <w:rPr>
          <w:rFonts w:hint="eastAsia" w:ascii="仿宋_GB2312" w:eastAsia="仿宋_GB2312"/>
          <w:color w:val="000000"/>
          <w:sz w:val="32"/>
          <w:szCs w:val="32"/>
        </w:rPr>
        <w:t>万元、其他交通费</w:t>
      </w:r>
      <w:r>
        <w:rPr>
          <w:rFonts w:hint="eastAsia" w:ascii="仿宋_GB2312" w:eastAsia="仿宋_GB2312"/>
          <w:color w:val="000000"/>
          <w:sz w:val="32"/>
          <w:szCs w:val="32"/>
          <w:lang w:val="en-US" w:eastAsia="zh-CN"/>
        </w:rPr>
        <w:t>10.02</w:t>
      </w:r>
      <w:r>
        <w:rPr>
          <w:rFonts w:hint="eastAsia" w:ascii="仿宋_GB2312" w:eastAsia="仿宋_GB2312"/>
          <w:color w:val="000000"/>
          <w:sz w:val="32"/>
          <w:szCs w:val="32"/>
        </w:rPr>
        <w:t>万元、其他商品和服务支出</w:t>
      </w:r>
      <w:r>
        <w:rPr>
          <w:rFonts w:hint="eastAsia" w:ascii="仿宋_GB2312" w:eastAsia="仿宋_GB2312"/>
          <w:color w:val="000000"/>
          <w:sz w:val="32"/>
          <w:szCs w:val="32"/>
          <w:lang w:val="en-US" w:eastAsia="zh-CN"/>
        </w:rPr>
        <w:t>6.7</w:t>
      </w:r>
      <w:r>
        <w:rPr>
          <w:rFonts w:hint="eastAsia" w:ascii="仿宋_GB2312" w:eastAsia="仿宋_GB2312"/>
          <w:color w:val="000000"/>
          <w:sz w:val="32"/>
          <w:szCs w:val="32"/>
        </w:rPr>
        <w:t>万元。</w:t>
      </w:r>
    </w:p>
    <w:p>
      <w:pPr>
        <w:spacing w:line="600" w:lineRule="exact"/>
        <w:ind w:firstLine="640" w:firstLineChars="200"/>
        <w:outlineLvl w:val="1"/>
        <w:rPr>
          <w:rStyle w:val="25"/>
          <w:rFonts w:ascii="黑体" w:hAnsi="黑体" w:eastAsia="黑体"/>
          <w:b w:val="0"/>
        </w:rPr>
      </w:pPr>
      <w:bookmarkStart w:id="41" w:name="_Toc17103560"/>
      <w:bookmarkStart w:id="42"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年“三公”经费财政拨款支出决算为</w:t>
      </w:r>
      <w:r>
        <w:rPr>
          <w:rFonts w:hint="eastAsia" w:ascii="仿宋_GB2312" w:eastAsia="仿宋_GB2312"/>
          <w:color w:val="000000"/>
          <w:sz w:val="32"/>
          <w:szCs w:val="32"/>
          <w:lang w:val="en-US" w:eastAsia="zh-CN"/>
        </w:rPr>
        <w:t>0.45</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，决算数小于预算数的主要原因是遵守中央八项规定、厉行节俭。</w:t>
      </w:r>
    </w:p>
    <w:p>
      <w:pPr>
        <w:spacing w:line="600" w:lineRule="exact"/>
        <w:ind w:firstLine="64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年“三公”经费财政拨款支出决算中，因公出国（境）费支出决算0万元，占0%；公务用车购置及运行维护费支出决算0万元，占0%；公务接待费支出决算</w:t>
      </w:r>
      <w:r>
        <w:rPr>
          <w:rFonts w:hint="eastAsia" w:ascii="仿宋_GB2312" w:hAnsi="仿宋_GB2312" w:eastAsia="仿宋_GB2312" w:cs="仿宋_GB2312"/>
          <w:color w:val="000000"/>
          <w:sz w:val="32"/>
          <w:szCs w:val="32"/>
          <w:lang w:val="en-US" w:eastAsia="zh-CN"/>
        </w:rPr>
        <w:t>0.45</w:t>
      </w:r>
      <w:r>
        <w:rPr>
          <w:rFonts w:hint="eastAsia" w:ascii="仿宋_GB2312" w:hAnsi="仿宋_GB2312" w:eastAsia="仿宋_GB2312" w:cs="仿宋_GB2312"/>
          <w:color w:val="000000"/>
          <w:sz w:val="32"/>
          <w:szCs w:val="32"/>
        </w:rPr>
        <w:t>万元，占100%。具体情况如下：</w:t>
      </w:r>
    </w:p>
    <w:p>
      <w:pPr>
        <w:spacing w:line="6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rPr>
        <w:t>1.因公出国（境）经费支出0万元，</w:t>
      </w:r>
      <w:r>
        <w:rPr>
          <w:rStyle w:val="14"/>
          <w:rFonts w:hint="eastAsia" w:ascii="仿宋_GB2312" w:hAnsi="仿宋_GB2312" w:eastAsia="仿宋_GB2312" w:cs="仿宋_GB2312"/>
          <w:b w:val="0"/>
          <w:bCs/>
          <w:color w:val="000000"/>
          <w:sz w:val="32"/>
          <w:szCs w:val="32"/>
        </w:rPr>
        <w:t>完成预算100%。我单位</w:t>
      </w:r>
      <w:r>
        <w:rPr>
          <w:rFonts w:hint="eastAsia" w:ascii="仿宋_GB2312" w:hAnsi="仿宋_GB2312" w:eastAsia="仿宋_GB2312" w:cs="仿宋_GB2312"/>
          <w:b w:val="0"/>
          <w:bCs/>
          <w:sz w:val="32"/>
          <w:szCs w:val="32"/>
        </w:rPr>
        <w:t>无因公出国出（境），</w:t>
      </w:r>
      <w:r>
        <w:rPr>
          <w:rStyle w:val="14"/>
          <w:rFonts w:hint="eastAsia" w:ascii="仿宋_GB2312" w:hAnsi="仿宋_GB2312" w:eastAsia="仿宋_GB2312" w:cs="仿宋_GB2312"/>
          <w:b w:val="0"/>
          <w:bCs/>
          <w:color w:val="000000"/>
          <w:sz w:val="32"/>
          <w:szCs w:val="32"/>
        </w:rPr>
        <w:t>无此费用预算及支出</w:t>
      </w:r>
      <w:r>
        <w:rPr>
          <w:rFonts w:hint="eastAsia" w:ascii="仿宋_GB2312" w:hAnsi="仿宋_GB2312" w:eastAsia="仿宋_GB2312" w:cs="仿宋_GB2312"/>
          <w:b w:val="0"/>
          <w:bCs/>
          <w:sz w:val="32"/>
          <w:szCs w:val="32"/>
        </w:rPr>
        <w:t>。</w:t>
      </w:r>
    </w:p>
    <w:p>
      <w:pPr>
        <w:spacing w:line="600" w:lineRule="exact"/>
        <w:ind w:firstLine="64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2.公务用车购置及运行维护费支出0万元,</w:t>
      </w:r>
      <w:r>
        <w:rPr>
          <w:rStyle w:val="14"/>
          <w:rFonts w:hint="eastAsia" w:ascii="仿宋_GB2312" w:hAnsi="仿宋_GB2312" w:eastAsia="仿宋_GB2312" w:cs="仿宋_GB2312"/>
          <w:b w:val="0"/>
          <w:bCs/>
          <w:color w:val="000000"/>
          <w:sz w:val="32"/>
          <w:szCs w:val="32"/>
        </w:rPr>
        <w:t>完成预算100%。本单位无公务用车，无此费用预算及支出</w:t>
      </w:r>
      <w:r>
        <w:rPr>
          <w:rFonts w:hint="eastAsia" w:ascii="仿宋_GB2312" w:hAnsi="仿宋_GB2312" w:eastAsia="仿宋_GB2312" w:cs="仿宋_GB2312"/>
          <w:b w:val="0"/>
          <w:bCs/>
          <w:color w:val="000000"/>
          <w:sz w:val="32"/>
          <w:szCs w:val="32"/>
        </w:rPr>
        <w:t>。</w:t>
      </w:r>
    </w:p>
    <w:p>
      <w:pPr>
        <w:spacing w:line="600" w:lineRule="exact"/>
        <w:ind w:firstLine="640"/>
        <w:rPr>
          <w:rFonts w:ascii="仿宋_GB2312" w:eastAsia="仿宋_GB2312"/>
          <w:color w:val="000000"/>
          <w:sz w:val="32"/>
          <w:szCs w:val="32"/>
        </w:rPr>
      </w:pPr>
      <w:r>
        <w:rPr>
          <w:rFonts w:hint="eastAsia" w:ascii="仿宋_GB2312" w:hAnsi="仿宋_GB2312" w:eastAsia="仿宋_GB2312" w:cs="仿宋_GB2312"/>
          <w:b w:val="0"/>
          <w:bCs/>
          <w:color w:val="000000"/>
          <w:sz w:val="32"/>
          <w:szCs w:val="32"/>
        </w:rPr>
        <w:t>3.公务接待费支出</w:t>
      </w:r>
      <w:r>
        <w:rPr>
          <w:rFonts w:hint="eastAsia" w:ascii="仿宋_GB2312" w:hAnsi="仿宋_GB2312" w:eastAsia="仿宋_GB2312" w:cs="仿宋_GB2312"/>
          <w:color w:val="000000"/>
          <w:sz w:val="32"/>
          <w:szCs w:val="32"/>
          <w:lang w:val="en-US" w:eastAsia="zh-CN"/>
        </w:rPr>
        <w:t>0.45</w:t>
      </w:r>
      <w:r>
        <w:rPr>
          <w:rFonts w:hint="eastAsia" w:ascii="仿宋_GB2312" w:hAnsi="仿宋_GB2312" w:eastAsia="仿宋_GB2312" w:cs="仿宋_GB2312"/>
          <w:color w:val="000000"/>
          <w:sz w:val="32"/>
          <w:szCs w:val="32"/>
        </w:rPr>
        <w:t>万元，</w:t>
      </w:r>
      <w:r>
        <w:rPr>
          <w:rStyle w:val="14"/>
          <w:rFonts w:hint="eastAsia" w:ascii="仿宋_GB2312" w:hAnsi="仿宋_GB2312" w:eastAsia="仿宋_GB2312" w:cs="仿宋_GB2312"/>
          <w:b w:val="0"/>
          <w:bCs/>
          <w:color w:val="000000"/>
          <w:sz w:val="32"/>
          <w:szCs w:val="32"/>
        </w:rPr>
        <w:t>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公务接待费支出决算比20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0.79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63.7</w:t>
      </w:r>
      <w:r>
        <w:rPr>
          <w:rFonts w:hint="eastAsia" w:ascii="仿宋_GB2312" w:hAnsi="仿宋_GB2312" w:eastAsia="仿宋_GB2312" w:cs="仿宋_GB2312"/>
          <w:color w:val="000000"/>
          <w:sz w:val="32"/>
          <w:szCs w:val="32"/>
        </w:rPr>
        <w:t>%。主要</w:t>
      </w:r>
      <w:r>
        <w:rPr>
          <w:rFonts w:hint="eastAsia" w:ascii="仿宋_GB2312" w:eastAsia="仿宋_GB2312"/>
          <w:color w:val="000000"/>
          <w:sz w:val="32"/>
          <w:szCs w:val="32"/>
        </w:rPr>
        <w:t>原因是遵守中央八项规定、厉行节俭。</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58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0.45</w:t>
      </w:r>
      <w:r>
        <w:rPr>
          <w:rFonts w:hint="eastAsia" w:ascii="仿宋_GB2312" w:eastAsia="仿宋_GB2312"/>
          <w:color w:val="000000"/>
          <w:sz w:val="32"/>
          <w:szCs w:val="32"/>
        </w:rPr>
        <w:t>万元，</w:t>
      </w:r>
      <w:r>
        <w:rPr>
          <w:rFonts w:hint="eastAsia" w:ascii="仿宋_GB2312" w:eastAsia="仿宋_GB2312"/>
          <w:sz w:val="32"/>
          <w:szCs w:val="32"/>
        </w:rPr>
        <w:t>具体开支内容包括：目标任务考核、基金检查、其他县市交流学习、基层平台建设、镇乡来人经办业务等。</w:t>
      </w:r>
      <w:r>
        <w:rPr>
          <w:rFonts w:hint="eastAsia" w:ascii="仿宋_GB2312" w:eastAsia="仿宋_GB2312"/>
          <w:color w:val="000000"/>
          <w:sz w:val="32"/>
          <w:szCs w:val="32"/>
        </w:rPr>
        <w:t>其中：</w:t>
      </w:r>
    </w:p>
    <w:p>
      <w:pPr>
        <w:spacing w:line="600" w:lineRule="exact"/>
        <w:ind w:firstLine="640" w:firstLineChars="200"/>
        <w:rPr>
          <w:rFonts w:ascii="仿宋_GB2312" w:eastAsia="仿宋_GB2312"/>
          <w:b w:val="0"/>
          <w:bCs/>
          <w:color w:val="000000" w:themeColor="text1"/>
          <w:sz w:val="32"/>
          <w:szCs w:val="32"/>
        </w:rPr>
      </w:pPr>
      <w:r>
        <w:rPr>
          <w:rFonts w:hint="eastAsia" w:ascii="仿宋" w:hAnsi="仿宋" w:eastAsia="仿宋"/>
          <w:b w:val="0"/>
          <w:bCs/>
          <w:color w:val="000000"/>
          <w:sz w:val="32"/>
          <w:szCs w:val="32"/>
        </w:rPr>
        <w:t>外事接待支出0</w:t>
      </w:r>
      <w:r>
        <w:rPr>
          <w:rFonts w:hint="eastAsia" w:ascii="仿宋_GB2312" w:eastAsia="仿宋_GB2312"/>
          <w:b w:val="0"/>
          <w:bCs/>
          <w:color w:val="000000"/>
          <w:sz w:val="32"/>
          <w:szCs w:val="32"/>
        </w:rPr>
        <w:t>万元</w:t>
      </w:r>
      <w:r>
        <w:rPr>
          <w:rFonts w:hint="eastAsia" w:ascii="仿宋_GB2312" w:eastAsia="仿宋_GB2312"/>
          <w:b w:val="0"/>
          <w:bCs/>
          <w:color w:val="000000" w:themeColor="text1"/>
          <w:sz w:val="32"/>
          <w:szCs w:val="32"/>
        </w:rPr>
        <w:t>。</w:t>
      </w:r>
    </w:p>
    <w:p>
      <w:pPr>
        <w:spacing w:line="600" w:lineRule="exact"/>
        <w:ind w:firstLine="640"/>
        <w:rPr>
          <w:rFonts w:ascii="黑体" w:eastAsia="黑体"/>
          <w:color w:val="000000"/>
          <w:sz w:val="32"/>
          <w:szCs w:val="32"/>
        </w:rPr>
      </w:pPr>
      <w:r>
        <w:rPr>
          <w:rFonts w:hint="eastAsia" w:ascii="仿宋" w:hAnsi="仿宋" w:eastAsia="仿宋"/>
          <w:b w:val="0"/>
          <w:bCs/>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bookmarkStart w:id="45" w:name="_Toc15377218"/>
      <w:r>
        <w:rPr>
          <w:rFonts w:hint="eastAsia" w:ascii="仿宋_GB2312" w:eastAsia="仿宋_GB2312"/>
          <w:color w:val="000000" w:themeColor="text1"/>
          <w:sz w:val="32"/>
          <w:szCs w:val="32"/>
        </w:rPr>
        <w:t>。</w:t>
      </w:r>
    </w:p>
    <w:p>
      <w:pPr>
        <w:spacing w:line="600" w:lineRule="exact"/>
        <w:ind w:firstLine="640"/>
        <w:outlineLvl w:val="1"/>
        <w:rPr>
          <w:rStyle w:val="25"/>
          <w:rFonts w:ascii="黑体" w:hAnsi="黑体" w:eastAsia="黑体"/>
        </w:rPr>
      </w:pPr>
      <w:bookmarkStart w:id="46" w:name="_Toc17103561"/>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5"/>
      <w:bookmarkEnd w:id="46"/>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年政府性基金预算拨款支出0万元。</w:t>
      </w:r>
    </w:p>
    <w:p>
      <w:pPr>
        <w:spacing w:line="600" w:lineRule="exact"/>
        <w:ind w:firstLine="640" w:firstLineChars="200"/>
        <w:outlineLvl w:val="1"/>
        <w:rPr>
          <w:rStyle w:val="25"/>
          <w:rFonts w:ascii="黑体" w:hAnsi="黑体" w:eastAsia="黑体"/>
          <w:b w:val="0"/>
        </w:rPr>
      </w:pPr>
      <w:bookmarkStart w:id="47" w:name="_Toc15377219"/>
      <w:bookmarkStart w:id="48" w:name="_Toc17103562"/>
      <w:r>
        <w:rPr>
          <w:rStyle w:val="25"/>
          <w:rFonts w:hint="eastAsia" w:ascii="黑体" w:hAnsi="黑体" w:eastAsia="黑体"/>
          <w:b w:val="0"/>
        </w:rPr>
        <w:t>九、国有资本经营预算支出决算情况说明</w:t>
      </w:r>
      <w:bookmarkEnd w:id="47"/>
      <w:bookmarkEnd w:id="4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年国有资本经营预算拨款支出0万元。</w:t>
      </w:r>
    </w:p>
    <w:p>
      <w:pPr>
        <w:pStyle w:val="23"/>
        <w:numPr>
          <w:ilvl w:val="0"/>
          <w:numId w:val="1"/>
        </w:numPr>
        <w:spacing w:line="580" w:lineRule="exact"/>
        <w:ind w:firstLineChars="0"/>
        <w:rPr>
          <w:rStyle w:val="25"/>
          <w:rFonts w:ascii="黑体" w:hAnsi="黑体" w:eastAsia="黑体"/>
          <w:b w:val="0"/>
        </w:rPr>
      </w:pPr>
      <w:bookmarkStart w:id="49" w:name="_Toc17103563"/>
      <w:r>
        <w:rPr>
          <w:rStyle w:val="25"/>
          <w:rFonts w:hint="eastAsia" w:ascii="黑体" w:hAnsi="黑体" w:eastAsia="黑体"/>
          <w:b w:val="0"/>
        </w:rPr>
        <w:t>预算绩效情况说明</w:t>
      </w:r>
      <w:bookmarkEnd w:id="49"/>
    </w:p>
    <w:p>
      <w:pPr>
        <w:numPr>
          <w:ilvl w:val="0"/>
          <w:numId w:val="2"/>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根据预算绩效管理要求，本部门（单位）在年初预算编制阶段，组织对财政</w:t>
      </w:r>
      <w:r>
        <w:rPr>
          <w:rFonts w:hint="eastAsia" w:ascii="仿宋_GB2312" w:hAnsi="仿宋_GB2312" w:eastAsia="仿宋_GB2312" w:cs="仿宋_GB2312"/>
          <w:sz w:val="32"/>
          <w:szCs w:val="32"/>
          <w:lang w:eastAsia="zh-CN"/>
        </w:rPr>
        <w:t>代缴</w:t>
      </w:r>
      <w:r>
        <w:rPr>
          <w:rFonts w:hint="eastAsia" w:ascii="仿宋_GB2312" w:hAnsi="仿宋_GB2312" w:eastAsia="仿宋_GB2312" w:cs="仿宋_GB2312"/>
          <w:sz w:val="32"/>
          <w:szCs w:val="32"/>
        </w:rPr>
        <w:t>城乡居民基本养老保险</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rPr>
        <w:t>项目开展了预算事前绩效评估，对1个项目编制了绩效目标，预算执行过程中，选取1个项目开展绩效监控，年终执行完毕后，对1个项目开展了绩效目标完成情况梳理填报。</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年部门整体支出开展绩效自评，</w:t>
      </w:r>
      <w:r>
        <w:rPr>
          <w:rFonts w:hint="eastAsia" w:ascii="仿宋_GB2312" w:eastAsia="仿宋_GB2312"/>
          <w:color w:val="000000"/>
          <w:sz w:val="32"/>
          <w:szCs w:val="32"/>
        </w:rPr>
        <w:t>按照预算绩效管理要求，本部门对</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年整体支出开展绩效自评，自评得分9</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分，存在的问题：一是对绩效管理工作重视不够，工作缺乏主动性；二是绩效管理专业人员匮乏，规范管理有盲点。下一步改进措施：一是提高思想认识，真正建立广泛而统一的预算绩效管理理念，二是加强队伍建设，提高管理水平。</w:t>
      </w:r>
    </w:p>
    <w:p>
      <w:pPr>
        <w:numPr>
          <w:ilvl w:val="0"/>
          <w:numId w:val="2"/>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仿宋" w:hAnsi="仿宋" w:eastAsia="仿宋" w:cs="楷体_GB2312"/>
          <w:b/>
          <w:bCs/>
          <w:sz w:val="32"/>
          <w:szCs w:val="32"/>
          <w:lang w:val="en-US" w:eastAsia="zh-CN"/>
        </w:rPr>
        <w:t xml:space="preserve"> </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社会保险经办机构</w:t>
      </w:r>
      <w:r>
        <w:rPr>
          <w:rFonts w:hint="eastAsia" w:ascii="仿宋_GB2312" w:hAnsi="仿宋_GB2312" w:eastAsia="仿宋_GB2312" w:cs="仿宋_GB2312"/>
          <w:sz w:val="32"/>
          <w:szCs w:val="32"/>
        </w:rPr>
        <w:t>项目”绩效目标实际完成情况。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社会保险经办机构</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48.14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48.14</w:t>
      </w:r>
      <w:r>
        <w:rPr>
          <w:rFonts w:hint="eastAsia" w:ascii="仿宋_GB2312" w:hAnsi="仿宋_GB2312" w:eastAsia="仿宋_GB2312" w:cs="仿宋_GB2312"/>
          <w:sz w:val="32"/>
          <w:szCs w:val="32"/>
        </w:rPr>
        <w:t>万元，</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我区城乡居民养老工作正常有序开展</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财政项目经费</w:t>
      </w:r>
      <w:r>
        <w:rPr>
          <w:rFonts w:hint="eastAsia" w:ascii="仿宋_GB2312" w:hAnsi="仿宋_GB2312" w:eastAsia="仿宋_GB2312" w:cs="仿宋_GB2312"/>
          <w:sz w:val="32"/>
          <w:szCs w:val="32"/>
        </w:rPr>
        <w:t>拨款不及时。下一步改进措施：协调财政及时拨付</w:t>
      </w:r>
      <w:r>
        <w:rPr>
          <w:rFonts w:hint="eastAsia" w:ascii="仿宋_GB2312" w:hAnsi="仿宋_GB2312" w:eastAsia="仿宋_GB2312" w:cs="仿宋_GB2312"/>
          <w:sz w:val="32"/>
          <w:szCs w:val="32"/>
          <w:lang w:eastAsia="zh-CN"/>
        </w:rPr>
        <w:t>项目经费</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239"/>
        <w:gridCol w:w="810"/>
        <w:gridCol w:w="1020"/>
        <w:gridCol w:w="2105"/>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hint="eastAsia" w:ascii="黑体" w:hAnsi="黑体" w:eastAsia="黑体" w:cs="宋体"/>
                <w:bCs/>
                <w:color w:val="000000"/>
                <w:kern w:val="0"/>
                <w:sz w:val="36"/>
                <w:szCs w:val="36"/>
                <w:lang w:eastAsia="zh-CN"/>
              </w:rPr>
            </w:pPr>
            <w:r>
              <w:rPr>
                <w:rFonts w:hint="eastAsia" w:ascii="黑体" w:hAnsi="黑体" w:eastAsia="黑体" w:cs="宋体"/>
                <w:bCs/>
                <w:color w:val="000000"/>
                <w:kern w:val="0"/>
                <w:sz w:val="36"/>
                <w:szCs w:val="36"/>
              </w:rPr>
              <w:t>项目支出绩效目标完成情况表</w:t>
            </w:r>
          </w:p>
          <w:p>
            <w:pPr>
              <w:pStyle w:val="23"/>
              <w:widowControl/>
              <w:ind w:firstLine="4320" w:firstLineChars="1200"/>
              <w:textAlignment w:val="center"/>
              <w:rPr>
                <w:rFonts w:ascii="宋体" w:hAnsi="宋体" w:cs="宋体"/>
                <w:color w:val="000000"/>
                <w:sz w:val="36"/>
                <w:szCs w:val="36"/>
              </w:rPr>
            </w:pPr>
            <w:r>
              <w:rPr>
                <w:rFonts w:hint="eastAsia" w:ascii="宋体" w:hAnsi="宋体" w:cs="宋体"/>
                <w:color w:val="000000"/>
                <w:kern w:val="0"/>
                <w:sz w:val="36"/>
                <w:szCs w:val="36"/>
              </w:rPr>
              <w:t>(</w:t>
            </w:r>
            <w:r>
              <w:rPr>
                <w:rFonts w:hint="eastAsia" w:ascii="宋体" w:hAnsi="宋体" w:cs="宋体"/>
                <w:color w:val="000000"/>
                <w:kern w:val="0"/>
                <w:sz w:val="36"/>
                <w:szCs w:val="36"/>
                <w:lang w:val="en-US" w:eastAsia="zh-CN"/>
              </w:rPr>
              <w:t xml:space="preserve"> </w:t>
            </w:r>
            <w:r>
              <w:rPr>
                <w:rFonts w:hint="eastAsia" w:ascii="宋体" w:hAnsi="宋体" w:cs="宋体"/>
                <w:color w:val="000000"/>
                <w:kern w:val="0"/>
                <w:sz w:val="36"/>
                <w:szCs w:val="36"/>
                <w:lang w:eastAsia="zh-CN"/>
              </w:rPr>
              <w:t>2022</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30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8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eastAsia="zh-CN"/>
              </w:rPr>
              <w:t>社会保险经办机构</w:t>
            </w:r>
          </w:p>
        </w:tc>
      </w:tr>
      <w:tr>
        <w:tblPrEx>
          <w:tblCellMar>
            <w:top w:w="0" w:type="dxa"/>
            <w:left w:w="0" w:type="dxa"/>
            <w:bottom w:w="0" w:type="dxa"/>
            <w:right w:w="0" w:type="dxa"/>
          </w:tblCellMar>
        </w:tblPrEx>
        <w:trPr>
          <w:trHeight w:val="276" w:hRule="atLeast"/>
        </w:trPr>
        <w:tc>
          <w:tcPr>
            <w:tcW w:w="30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89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资阳市雁江区城乡居民养老保险局</w:t>
            </w:r>
          </w:p>
        </w:tc>
      </w:tr>
      <w:tr>
        <w:tblPrEx>
          <w:tblCellMar>
            <w:top w:w="0" w:type="dxa"/>
            <w:left w:w="0" w:type="dxa"/>
            <w:bottom w:w="0" w:type="dxa"/>
            <w:right w:w="0" w:type="dxa"/>
          </w:tblCellMar>
        </w:tblPrEx>
        <w:trPr>
          <w:trHeight w:val="276" w:hRule="atLeast"/>
        </w:trPr>
        <w:tc>
          <w:tcPr>
            <w:tcW w:w="12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48.14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48.14</w:t>
            </w:r>
          </w:p>
        </w:tc>
      </w:tr>
      <w:tr>
        <w:tblPrEx>
          <w:tblCellMar>
            <w:top w:w="0" w:type="dxa"/>
            <w:left w:w="0" w:type="dxa"/>
            <w:bottom w:w="0" w:type="dxa"/>
            <w:right w:w="0" w:type="dxa"/>
          </w:tblCellMar>
        </w:tblPrEx>
        <w:trPr>
          <w:trHeight w:val="276"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48.14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48.14</w:t>
            </w:r>
          </w:p>
        </w:tc>
      </w:tr>
      <w:tr>
        <w:tblPrEx>
          <w:tblCellMar>
            <w:top w:w="0" w:type="dxa"/>
            <w:left w:w="0" w:type="dxa"/>
            <w:bottom w:w="0" w:type="dxa"/>
            <w:right w:w="0" w:type="dxa"/>
          </w:tblCellMar>
        </w:tblPrEx>
        <w:trPr>
          <w:trHeight w:val="1511"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8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12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9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774"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39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48.14</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48.14</w:t>
            </w:r>
          </w:p>
        </w:tc>
      </w:tr>
      <w:tr>
        <w:tblPrEx>
          <w:tblCellMar>
            <w:top w:w="0" w:type="dxa"/>
            <w:left w:w="0" w:type="dxa"/>
            <w:bottom w:w="0" w:type="dxa"/>
            <w:right w:w="0" w:type="dxa"/>
          </w:tblCellMar>
        </w:tblPrEx>
        <w:trPr>
          <w:trHeight w:val="1042" w:hRule="atLeast"/>
        </w:trPr>
        <w:tc>
          <w:tcPr>
            <w:tcW w:w="12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数量指标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cs="宋体"/>
                <w:color w:val="000000"/>
                <w:sz w:val="18"/>
                <w:szCs w:val="18"/>
              </w:rPr>
            </w:pPr>
            <w:r>
              <w:rPr>
                <w:rFonts w:hint="eastAsia" w:ascii="宋体" w:hAnsi="宋体"/>
                <w:color w:val="000000"/>
                <w:kern w:val="0"/>
                <w:sz w:val="18"/>
                <w:szCs w:val="18"/>
              </w:rPr>
              <w:t>政策宣传次数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24"/>
              </w:rPr>
            </w:pPr>
            <w:r>
              <w:rPr>
                <w:rFonts w:hint="eastAsia" w:ascii="宋体" w:hAnsi="宋体"/>
                <w:color w:val="000000"/>
                <w:kern w:val="0"/>
                <w:sz w:val="18"/>
                <w:szCs w:val="18"/>
              </w:rPr>
              <w:t>≥20次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24"/>
              </w:rPr>
            </w:pPr>
            <w:r>
              <w:rPr>
                <w:rFonts w:hint="eastAsia" w:ascii="宋体" w:hAnsi="宋体"/>
                <w:color w:val="000000"/>
                <w:kern w:val="0"/>
                <w:sz w:val="18"/>
                <w:szCs w:val="18"/>
              </w:rPr>
              <w:t>25次</w:t>
            </w:r>
          </w:p>
        </w:tc>
      </w:tr>
      <w:tr>
        <w:tblPrEx>
          <w:tblCellMar>
            <w:top w:w="0" w:type="dxa"/>
            <w:left w:w="0" w:type="dxa"/>
            <w:bottom w:w="0" w:type="dxa"/>
            <w:right w:w="0" w:type="dxa"/>
          </w:tblCellMar>
        </w:tblPrEx>
        <w:trPr>
          <w:trHeight w:val="1297"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数量指标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cs="宋体"/>
                <w:color w:val="000000"/>
                <w:sz w:val="18"/>
                <w:szCs w:val="18"/>
              </w:rPr>
            </w:pPr>
            <w:r>
              <w:rPr>
                <w:rFonts w:hint="eastAsia" w:ascii="宋体" w:hAnsi="宋体"/>
                <w:color w:val="000000"/>
                <w:kern w:val="0"/>
                <w:sz w:val="18"/>
                <w:szCs w:val="18"/>
              </w:rPr>
              <w:t>临聘人员人数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900" w:firstLineChars="500"/>
              <w:rPr>
                <w:rFonts w:ascii="宋体" w:hAnsi="宋体" w:cs="宋体"/>
                <w:color w:val="000000"/>
                <w:sz w:val="24"/>
              </w:rPr>
            </w:pPr>
            <w:r>
              <w:rPr>
                <w:rFonts w:ascii="宋体" w:hAnsi="宋体"/>
                <w:color w:val="000000"/>
                <w:kern w:val="0"/>
                <w:sz w:val="18"/>
                <w:szCs w:val="18"/>
              </w:rPr>
              <w:t>≤</w:t>
            </w:r>
            <w:r>
              <w:rPr>
                <w:rFonts w:hint="eastAsia" w:ascii="宋体" w:hAnsi="宋体"/>
                <w:color w:val="000000"/>
                <w:kern w:val="0"/>
                <w:sz w:val="18"/>
                <w:szCs w:val="18"/>
              </w:rPr>
              <w:t>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24"/>
              </w:rPr>
            </w:pPr>
            <w:r>
              <w:rPr>
                <w:rFonts w:hint="eastAsia" w:ascii="宋体" w:hAnsi="宋体"/>
                <w:color w:val="000000"/>
                <w:kern w:val="0"/>
                <w:sz w:val="18"/>
                <w:szCs w:val="18"/>
              </w:rPr>
              <w:t>2</w:t>
            </w:r>
          </w:p>
        </w:tc>
      </w:tr>
      <w:tr>
        <w:tblPrEx>
          <w:tblCellMar>
            <w:top w:w="0" w:type="dxa"/>
            <w:left w:w="0" w:type="dxa"/>
            <w:bottom w:w="0" w:type="dxa"/>
            <w:right w:w="0" w:type="dxa"/>
          </w:tblCellMar>
        </w:tblPrEx>
        <w:trPr>
          <w:trHeight w:val="657"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质量指标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rPr>
                <w:rFonts w:ascii="宋体" w:hAnsi="宋体" w:cs="宋体"/>
                <w:color w:val="000000"/>
                <w:sz w:val="24"/>
              </w:rPr>
            </w:pPr>
            <w:r>
              <w:rPr>
                <w:rFonts w:hint="eastAsia" w:ascii="宋体" w:hAnsi="宋体"/>
                <w:color w:val="000000"/>
                <w:kern w:val="0"/>
                <w:sz w:val="18"/>
                <w:szCs w:val="18"/>
              </w:rPr>
              <w:t>群众政策知晓率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24"/>
              </w:rPr>
            </w:pPr>
            <w:r>
              <w:rPr>
                <w:rFonts w:hint="eastAsia" w:ascii="宋体" w:hAnsi="宋体"/>
                <w:color w:val="000000"/>
                <w:kern w:val="0"/>
                <w:sz w:val="18"/>
                <w:szCs w:val="18"/>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24"/>
              </w:rPr>
            </w:pPr>
            <w:r>
              <w:rPr>
                <w:rFonts w:hint="eastAsia" w:ascii="宋体" w:hAnsi="宋体"/>
                <w:color w:val="000000"/>
                <w:kern w:val="0"/>
                <w:sz w:val="18"/>
                <w:szCs w:val="18"/>
                <w:lang w:val="en-US" w:eastAsia="zh-CN"/>
              </w:rPr>
              <w:t>82</w:t>
            </w:r>
            <w:r>
              <w:rPr>
                <w:rFonts w:hint="eastAsia" w:ascii="宋体" w:hAnsi="宋体"/>
                <w:color w:val="000000"/>
                <w:kern w:val="0"/>
                <w:sz w:val="18"/>
                <w:szCs w:val="18"/>
              </w:rPr>
              <w:t>%</w:t>
            </w:r>
          </w:p>
        </w:tc>
      </w:tr>
      <w:tr>
        <w:tblPrEx>
          <w:tblCellMar>
            <w:top w:w="0" w:type="dxa"/>
            <w:left w:w="0" w:type="dxa"/>
            <w:bottom w:w="0" w:type="dxa"/>
            <w:right w:w="0" w:type="dxa"/>
          </w:tblCellMar>
        </w:tblPrEx>
        <w:trPr>
          <w:trHeight w:val="522"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质量指标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rPr>
                <w:rFonts w:ascii="宋体" w:hAnsi="宋体" w:cs="宋体"/>
                <w:color w:val="000000"/>
                <w:sz w:val="24"/>
              </w:rPr>
            </w:pPr>
            <w:r>
              <w:rPr>
                <w:rFonts w:hint="eastAsia" w:ascii="宋体" w:hAnsi="宋体"/>
                <w:color w:val="000000"/>
                <w:kern w:val="0"/>
                <w:sz w:val="18"/>
                <w:szCs w:val="18"/>
              </w:rPr>
              <w:t>临聘人员考核合格率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24"/>
              </w:rPr>
            </w:pPr>
            <w:r>
              <w:rPr>
                <w:rFonts w:hint="eastAsia" w:ascii="宋体" w:hAnsi="宋体"/>
                <w:color w:val="000000"/>
                <w:kern w:val="0"/>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24"/>
              </w:rPr>
            </w:pPr>
            <w:r>
              <w:rPr>
                <w:rFonts w:hint="eastAsia" w:ascii="宋体" w:hAnsi="宋体"/>
                <w:color w:val="000000"/>
                <w:kern w:val="0"/>
                <w:sz w:val="18"/>
                <w:szCs w:val="18"/>
              </w:rPr>
              <w:t>100%</w:t>
            </w:r>
          </w:p>
        </w:tc>
      </w:tr>
      <w:tr>
        <w:tblPrEx>
          <w:tblCellMar>
            <w:top w:w="0" w:type="dxa"/>
            <w:left w:w="0" w:type="dxa"/>
            <w:bottom w:w="0" w:type="dxa"/>
            <w:right w:w="0" w:type="dxa"/>
          </w:tblCellMar>
        </w:tblPrEx>
        <w:trPr>
          <w:trHeight w:val="847"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可持续影响</w:t>
            </w: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rPr>
                <w:rFonts w:hint="eastAsia" w:ascii="宋体" w:hAnsi="宋体" w:eastAsia="宋体" w:cs="宋体"/>
                <w:color w:val="000000"/>
                <w:sz w:val="18"/>
                <w:szCs w:val="18"/>
                <w:lang w:eastAsia="zh-CN"/>
              </w:rPr>
            </w:pPr>
            <w:r>
              <w:rPr>
                <w:rFonts w:hint="eastAsia" w:ascii="宋体" w:hAnsi="宋体"/>
                <w:color w:val="000000"/>
                <w:kern w:val="0"/>
                <w:sz w:val="18"/>
                <w:szCs w:val="18"/>
              </w:rPr>
              <w:t>政策宣传覆盖率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18"/>
                <w:szCs w:val="18"/>
              </w:rPr>
            </w:pPr>
            <w:r>
              <w:rPr>
                <w:rFonts w:hint="eastAsia" w:ascii="宋体" w:hAnsi="宋体"/>
                <w:color w:val="000000"/>
                <w:kern w:val="0"/>
                <w:sz w:val="18"/>
                <w:szCs w:val="18"/>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cs="宋体"/>
                <w:color w:val="000000"/>
                <w:sz w:val="18"/>
                <w:szCs w:val="18"/>
              </w:rPr>
            </w:pPr>
            <w:r>
              <w:rPr>
                <w:rFonts w:hint="eastAsia" w:ascii="宋体" w:hAnsi="宋体"/>
                <w:color w:val="000000"/>
                <w:kern w:val="0"/>
                <w:sz w:val="18"/>
                <w:szCs w:val="18"/>
              </w:rPr>
              <w:t>90%</w:t>
            </w:r>
          </w:p>
        </w:tc>
      </w:tr>
      <w:tr>
        <w:tblPrEx>
          <w:tblCellMar>
            <w:top w:w="0" w:type="dxa"/>
            <w:left w:w="0" w:type="dxa"/>
            <w:bottom w:w="0" w:type="dxa"/>
            <w:right w:w="0" w:type="dxa"/>
          </w:tblCellMar>
        </w:tblPrEx>
        <w:trPr>
          <w:trHeight w:val="1042" w:hRule="atLeast"/>
        </w:trPr>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群众</w:t>
            </w:r>
            <w:r>
              <w:rPr>
                <w:rFonts w:hint="eastAsia" w:ascii="宋体" w:hAnsi="宋体" w:cs="宋体"/>
                <w:color w:val="000000"/>
                <w:sz w:val="18"/>
                <w:szCs w:val="18"/>
              </w:rPr>
              <w:t>满意度</w:t>
            </w:r>
            <w:r>
              <w:rPr>
                <w:rFonts w:hint="eastAsia" w:ascii="宋体" w:hAnsi="宋体" w:cs="宋体"/>
                <w:color w:val="000000"/>
                <w:sz w:val="18"/>
                <w:szCs w:val="18"/>
                <w:lang w:eastAsia="zh-CN"/>
              </w:rPr>
              <w:t>指标</w:t>
            </w:r>
          </w:p>
        </w:tc>
        <w:tc>
          <w:tcPr>
            <w:tcW w:w="21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000000"/>
                <w:sz w:val="18"/>
                <w:szCs w:val="18"/>
              </w:rPr>
            </w:pPr>
            <w:r>
              <w:rPr>
                <w:rFonts w:hint="eastAsia" w:ascii="宋体" w:hAnsi="宋体" w:cs="宋体"/>
                <w:color w:val="000000"/>
                <w:sz w:val="18"/>
                <w:szCs w:val="18"/>
                <w:lang w:eastAsia="zh-CN"/>
              </w:rPr>
              <w:t>参保</w:t>
            </w:r>
            <w:r>
              <w:rPr>
                <w:rFonts w:hint="eastAsia" w:ascii="宋体" w:hAnsi="宋体" w:cs="宋体"/>
                <w:color w:val="000000"/>
                <w:sz w:val="18"/>
                <w:szCs w:val="18"/>
              </w:rPr>
              <w:t>群众满意程度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86%</w:t>
            </w:r>
          </w:p>
        </w:tc>
      </w:tr>
    </w:tbl>
    <w:p>
      <w:pPr>
        <w:rPr>
          <w:rFonts w:ascii="Calibri" w:hAnsi="Calibri"/>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2"/>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年部门整体支出绩效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城乡居民基本养老保险补助项目</w:t>
      </w:r>
      <w:r>
        <w:rPr>
          <w:rFonts w:hint="eastAsia" w:ascii="仿宋_GB2312" w:hAnsi="仿宋_GB2312" w:eastAsia="仿宋_GB2312" w:cs="仿宋_GB2312"/>
          <w:sz w:val="32"/>
          <w:szCs w:val="32"/>
          <w:lang w:eastAsia="zh-CN"/>
        </w:rPr>
        <w:t>支出绩效</w:t>
      </w:r>
      <w:r>
        <w:rPr>
          <w:rFonts w:hint="eastAsia" w:ascii="仿宋_GB2312" w:hAnsi="仿宋_GB2312" w:eastAsia="仿宋_GB2312" w:cs="仿宋_GB2312"/>
          <w:sz w:val="32"/>
          <w:szCs w:val="32"/>
        </w:rPr>
        <w:t>开展自评，见附件《资阳市雁江区城乡居民养老保险局</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年部门整体支出绩效评价报告》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《资阳市雁江区城乡居民养老保险局</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年雁江区项目支出绩效自评报告》。</w:t>
      </w:r>
    </w:p>
    <w:p>
      <w:pPr>
        <w:spacing w:line="600" w:lineRule="exact"/>
        <w:ind w:firstLine="640" w:firstLineChars="200"/>
        <w:outlineLvl w:val="1"/>
        <w:rPr>
          <w:rStyle w:val="25"/>
          <w:rFonts w:ascii="黑体" w:hAnsi="黑体" w:eastAsia="黑体"/>
        </w:rPr>
      </w:pPr>
      <w:bookmarkStart w:id="50" w:name="_Toc15377221"/>
      <w:bookmarkStart w:id="51" w:name="_Toc17103564"/>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auto"/>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年，区居保局机关运行经费支出</w:t>
      </w:r>
      <w:r>
        <w:rPr>
          <w:rFonts w:hint="eastAsia" w:ascii="仿宋_GB2312" w:eastAsia="仿宋_GB2312"/>
          <w:color w:val="auto"/>
          <w:sz w:val="32"/>
          <w:szCs w:val="32"/>
          <w:lang w:val="en-US" w:eastAsia="zh-CN"/>
        </w:rPr>
        <w:t>30.89</w:t>
      </w:r>
      <w:r>
        <w:rPr>
          <w:rFonts w:hint="eastAsia" w:ascii="仿宋_GB2312" w:eastAsia="仿宋_GB2312"/>
          <w:color w:val="auto"/>
          <w:sz w:val="32"/>
          <w:szCs w:val="32"/>
        </w:rPr>
        <w:t>万元，比20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增长</w:t>
      </w:r>
      <w:r>
        <w:rPr>
          <w:rFonts w:hint="eastAsia" w:ascii="仿宋_GB2312" w:eastAsia="仿宋_GB2312"/>
          <w:color w:val="auto"/>
          <w:sz w:val="32"/>
          <w:szCs w:val="32"/>
          <w:lang w:val="en-US" w:eastAsia="zh-CN"/>
        </w:rPr>
        <w:t>0.62万</w:t>
      </w:r>
      <w:r>
        <w:rPr>
          <w:rFonts w:hint="eastAsia" w:ascii="仿宋_GB2312" w:eastAsia="仿宋_GB2312"/>
          <w:color w:val="auto"/>
          <w:sz w:val="32"/>
          <w:szCs w:val="32"/>
        </w:rPr>
        <w:t>元，</w:t>
      </w:r>
      <w:r>
        <w:rPr>
          <w:rFonts w:hint="eastAsia" w:ascii="仿宋_GB2312" w:eastAsia="仿宋_GB2312"/>
          <w:color w:val="auto"/>
          <w:sz w:val="32"/>
          <w:szCs w:val="32"/>
          <w:lang w:eastAsia="zh-CN"/>
        </w:rPr>
        <w:t>增长</w:t>
      </w: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人员职级晋升，车补增加；公用经费增加</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2022</w:t>
      </w:r>
      <w:r>
        <w:rPr>
          <w:rFonts w:hint="eastAsia" w:ascii="仿宋_GB2312" w:eastAsia="仿宋_GB2312"/>
          <w:color w:val="000000"/>
          <w:sz w:val="32"/>
          <w:szCs w:val="32"/>
        </w:rPr>
        <w:t>年，区居保政府采购支出总额0万元。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日，区居保共有车辆0辆，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rPr>
          <w:rFonts w:hint="eastAsia"/>
        </w:rPr>
      </w:pPr>
    </w:p>
    <w:p/>
    <w:p>
      <w:pPr>
        <w:numPr>
          <w:ilvl w:val="0"/>
          <w:numId w:val="3"/>
        </w:numPr>
        <w:jc w:val="center"/>
        <w:outlineLvl w:val="0"/>
        <w:rPr>
          <w:rStyle w:val="24"/>
          <w:rFonts w:ascii="黑体" w:hAnsi="黑体" w:eastAsia="黑体"/>
          <w:b w:val="0"/>
        </w:rPr>
      </w:pPr>
      <w:bookmarkStart w:id="55" w:name="_Toc17103565"/>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9.社会保障和就业类</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（1）社会保障和就业（类）</w:t>
      </w:r>
      <w:r>
        <w:rPr>
          <w:rFonts w:hint="eastAsia" w:ascii="仿宋_GB2312" w:eastAsia="仿宋_GB2312"/>
          <w:color w:val="000000"/>
          <w:sz w:val="32"/>
          <w:szCs w:val="32"/>
          <w:lang w:eastAsia="zh-CN"/>
        </w:rPr>
        <w:t>人力资源和社会保障管理</w:t>
      </w:r>
      <w:r>
        <w:rPr>
          <w:rFonts w:hint="eastAsia" w:ascii="仿宋_GB2312" w:eastAsia="仿宋_GB2312"/>
          <w:color w:val="000000"/>
          <w:sz w:val="32"/>
          <w:szCs w:val="32"/>
        </w:rPr>
        <w:t>事务（款）行政运行（项）:指行政单位（包括实行公务员</w:t>
      </w:r>
      <w:bookmarkStart w:id="75" w:name="_GoBack"/>
      <w:bookmarkEnd w:id="75"/>
      <w:r>
        <w:rPr>
          <w:rFonts w:hint="eastAsia" w:ascii="仿宋_GB2312" w:eastAsia="仿宋_GB2312"/>
          <w:color w:val="000000"/>
          <w:sz w:val="32"/>
          <w:szCs w:val="32"/>
        </w:rPr>
        <w:t>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（2）社会保障和就业（类）</w:t>
      </w:r>
      <w:r>
        <w:rPr>
          <w:rFonts w:hint="eastAsia" w:ascii="仿宋_GB2312" w:eastAsia="仿宋_GB2312"/>
          <w:color w:val="000000"/>
          <w:sz w:val="32"/>
          <w:szCs w:val="32"/>
          <w:lang w:eastAsia="zh-CN"/>
        </w:rPr>
        <w:t>人力资源和社会保障管理</w:t>
      </w:r>
      <w:r>
        <w:rPr>
          <w:rFonts w:hint="eastAsia" w:ascii="仿宋_GB2312" w:eastAsia="仿宋_GB2312"/>
          <w:color w:val="000000"/>
          <w:sz w:val="32"/>
          <w:szCs w:val="32"/>
        </w:rPr>
        <w:t>事务（款）社会保险经办机构（项）:指社会保险经办机构开展业务工作的支出。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（3）社会保障和就业（类）财政</w:t>
      </w:r>
      <w:r>
        <w:rPr>
          <w:rFonts w:hint="eastAsia" w:ascii="仿宋_GB2312" w:eastAsia="仿宋_GB2312"/>
          <w:color w:val="000000"/>
          <w:sz w:val="32"/>
          <w:szCs w:val="32"/>
          <w:lang w:eastAsia="zh-CN"/>
        </w:rPr>
        <w:t>代缴</w:t>
      </w:r>
      <w:r>
        <w:rPr>
          <w:rFonts w:hint="eastAsia" w:ascii="仿宋_GB2312" w:eastAsia="仿宋_GB2312"/>
          <w:color w:val="000000"/>
          <w:sz w:val="32"/>
          <w:szCs w:val="32"/>
        </w:rPr>
        <w:t>社会保险</w:t>
      </w:r>
      <w:r>
        <w:rPr>
          <w:rFonts w:hint="eastAsia" w:ascii="仿宋_GB2312" w:eastAsia="仿宋_GB2312"/>
          <w:color w:val="000000"/>
          <w:sz w:val="32"/>
          <w:szCs w:val="32"/>
          <w:lang w:eastAsia="zh-CN"/>
        </w:rPr>
        <w:t>费支出</w:t>
      </w:r>
      <w:r>
        <w:rPr>
          <w:rFonts w:hint="eastAsia" w:ascii="仿宋_GB2312" w:eastAsia="仿宋_GB2312"/>
          <w:color w:val="000000"/>
          <w:sz w:val="32"/>
          <w:szCs w:val="32"/>
        </w:rPr>
        <w:t>（款）财政</w:t>
      </w:r>
      <w:r>
        <w:rPr>
          <w:rFonts w:hint="eastAsia" w:ascii="仿宋_GB2312" w:eastAsia="仿宋_GB2312"/>
          <w:color w:val="000000"/>
          <w:sz w:val="32"/>
          <w:szCs w:val="32"/>
          <w:lang w:eastAsia="zh-CN"/>
        </w:rPr>
        <w:t>代缴</w:t>
      </w:r>
      <w:r>
        <w:rPr>
          <w:rFonts w:hint="eastAsia" w:ascii="仿宋_GB2312" w:eastAsia="仿宋_GB2312"/>
          <w:color w:val="000000"/>
          <w:sz w:val="32"/>
          <w:szCs w:val="32"/>
        </w:rPr>
        <w:t>城乡居民基本养老保险</w:t>
      </w:r>
      <w:r>
        <w:rPr>
          <w:rFonts w:hint="eastAsia" w:ascii="仿宋_GB2312" w:eastAsia="仿宋_GB2312"/>
          <w:color w:val="000000"/>
          <w:sz w:val="32"/>
          <w:szCs w:val="32"/>
          <w:lang w:eastAsia="zh-CN"/>
        </w:rPr>
        <w:t>费支出</w:t>
      </w:r>
      <w:r>
        <w:rPr>
          <w:rFonts w:hint="eastAsia" w:ascii="仿宋_GB2312" w:eastAsia="仿宋_GB2312"/>
          <w:color w:val="000000"/>
          <w:sz w:val="32"/>
          <w:szCs w:val="32"/>
        </w:rPr>
        <w:t>（项）:指财政</w:t>
      </w:r>
      <w:r>
        <w:rPr>
          <w:rFonts w:hint="eastAsia" w:ascii="仿宋_GB2312" w:eastAsia="仿宋_GB2312"/>
          <w:color w:val="000000"/>
          <w:sz w:val="32"/>
          <w:szCs w:val="32"/>
          <w:lang w:eastAsia="zh-CN"/>
        </w:rPr>
        <w:t>为生活困难人员缴纳的</w:t>
      </w:r>
      <w:r>
        <w:rPr>
          <w:rFonts w:hint="eastAsia" w:ascii="仿宋_GB2312" w:eastAsia="仿宋_GB2312"/>
          <w:color w:val="000000"/>
          <w:sz w:val="32"/>
          <w:szCs w:val="32"/>
        </w:rPr>
        <w:t>城乡居民基本养老保险</w:t>
      </w:r>
      <w:r>
        <w:rPr>
          <w:rFonts w:hint="eastAsia" w:ascii="仿宋_GB2312" w:eastAsia="仿宋_GB2312"/>
          <w:color w:val="000000"/>
          <w:sz w:val="32"/>
          <w:szCs w:val="32"/>
          <w:lang w:eastAsia="zh-CN"/>
        </w:rPr>
        <w:t>费</w:t>
      </w:r>
      <w:r>
        <w:rPr>
          <w:rFonts w:hint="eastAsia" w:ascii="仿宋_GB2312" w:eastAsia="仿宋_GB2312"/>
          <w:color w:val="000000"/>
          <w:sz w:val="32"/>
          <w:szCs w:val="32"/>
        </w:rPr>
        <w:t>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（4）社会保障和就业（类）行政事业单位离退休（款）机关事业单位基本养老保险缴费支出（项）:指机关事业单位实施养老保险制度由单位缴纳的基本养老保险费支出。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（5）社会保障和就业（类）行政事业单位离退休（款）机关事业单位职业年金缴费支出（项）:指单位为职工缴纳的职业年金支出。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（6）社会保障和就业（类）其他社会保障和就业支出（款）其他社会保障和就业支出（项）:指单位为职工缴纳的工伤、生育保险支出。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10.住房保障支出（类）住房改革支出（款）住房公积金（项）:指行政事业单位按人力资源和社会保障部、财政部规定的基本工资和津贴补贴以及规定比例为职工缴纳的住房公积金。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rPr>
          <w:rStyle w:val="14"/>
          <w:rFonts w:ascii="仿宋_GB2312" w:eastAsia="仿宋_GB2312"/>
          <w:b w:val="0"/>
          <w:color w:val="000000"/>
          <w:sz w:val="32"/>
          <w:szCs w:val="32"/>
        </w:rPr>
      </w:pPr>
      <w:r>
        <w:rPr>
          <w:rFonts w:hint="eastAsia" w:ascii="仿宋_GB2312" w:eastAsia="仿宋_GB2312"/>
          <w:color w:val="000000"/>
          <w:sz w:val="32"/>
          <w:szCs w:val="32"/>
        </w:rPr>
        <w:t>11.</w:t>
      </w:r>
      <w:r>
        <w:rPr>
          <w:rStyle w:val="14"/>
          <w:rFonts w:hint="eastAsia" w:ascii="仿宋_GB2312" w:eastAsia="仿宋_GB2312"/>
          <w:b w:val="0"/>
          <w:color w:val="000000"/>
          <w:sz w:val="32"/>
          <w:szCs w:val="32"/>
        </w:rPr>
        <w:t>医疗卫生与计划生育（类）</w:t>
      </w:r>
    </w:p>
    <w:p>
      <w:pPr>
        <w:spacing w:line="600" w:lineRule="exact"/>
        <w:ind w:firstLine="640" w:firstLineChars="200"/>
        <w:rPr>
          <w:rFonts w:ascii="仿宋_GB2312" w:eastAsia="仿宋_GB2312"/>
          <w:color w:val="000000"/>
          <w:sz w:val="32"/>
          <w:szCs w:val="32"/>
        </w:rPr>
      </w:pPr>
      <w:r>
        <w:rPr>
          <w:rStyle w:val="14"/>
          <w:rFonts w:hint="eastAsia" w:ascii="仿宋_GB2312" w:eastAsia="仿宋_GB2312"/>
          <w:b w:val="0"/>
          <w:color w:val="000000"/>
          <w:sz w:val="32"/>
          <w:szCs w:val="32"/>
        </w:rPr>
        <w:t>（1）医疗卫生与计划生育（类）行政事业单位医疗（款）事业单位医疗（项）:指财政部门集中安排的事业单位基本医疗保险缴费经费，未参加医疗保险的事业单位的公费医疗经费，按国家规定享受离休人员待遇的医疗经费。</w:t>
      </w:r>
    </w:p>
    <w:p>
      <w:pPr>
        <w:ind w:firstLine="640" w:firstLineChars="200"/>
        <w:rPr>
          <w:rStyle w:val="14"/>
          <w:rFonts w:hint="eastAsia" w:ascii="仿宋_GB2312" w:eastAsia="仿宋_GB2312"/>
          <w:b w:val="0"/>
          <w:color w:val="000000"/>
          <w:sz w:val="32"/>
          <w:szCs w:val="32"/>
        </w:rPr>
      </w:pPr>
      <w:r>
        <w:rPr>
          <w:rStyle w:val="14"/>
          <w:rFonts w:hint="eastAsia" w:ascii="仿宋_GB2312" w:eastAsia="仿宋_GB2312"/>
          <w:b w:val="0"/>
          <w:color w:val="000000"/>
          <w:sz w:val="32"/>
          <w:szCs w:val="32"/>
        </w:rPr>
        <w:t>（2）医疗卫生与计划生育（类）行政事业单位医疗（款）公务员医疗补助（项）:指财政部门集中安排的公务员医疗补助经费。</w:t>
      </w:r>
    </w:p>
    <w:p>
      <w:pPr>
        <w:spacing w:line="600" w:lineRule="exact"/>
        <w:ind w:firstLine="640" w:firstLineChars="200"/>
        <w:rPr>
          <w:rFonts w:ascii="仿宋_GB2312" w:eastAsia="仿宋_GB2312"/>
          <w:color w:val="000000"/>
          <w:sz w:val="32"/>
          <w:szCs w:val="32"/>
        </w:rPr>
      </w:pPr>
      <w:r>
        <w:rPr>
          <w:rStyle w:val="14"/>
          <w:rFonts w:hint="eastAsia" w:ascii="仿宋_GB2312" w:eastAsia="仿宋_GB2312"/>
          <w:b w:val="0"/>
          <w:color w:val="000000"/>
          <w:sz w:val="32"/>
          <w:szCs w:val="32"/>
        </w:rPr>
        <w:t>（</w:t>
      </w:r>
      <w:r>
        <w:rPr>
          <w:rStyle w:val="14"/>
          <w:rFonts w:hint="eastAsia" w:ascii="仿宋_GB2312" w:eastAsia="仿宋_GB2312"/>
          <w:b w:val="0"/>
          <w:color w:val="000000"/>
          <w:sz w:val="32"/>
          <w:szCs w:val="32"/>
          <w:lang w:val="en-US" w:eastAsia="zh-CN"/>
        </w:rPr>
        <w:t>3</w:t>
      </w:r>
      <w:r>
        <w:rPr>
          <w:rStyle w:val="14"/>
          <w:rFonts w:hint="eastAsia" w:ascii="仿宋_GB2312" w:eastAsia="仿宋_GB2312"/>
          <w:b w:val="0"/>
          <w:color w:val="000000"/>
          <w:sz w:val="32"/>
          <w:szCs w:val="32"/>
        </w:rPr>
        <w:t>）医疗卫生与计划生育（类）行政事业单位医疗（款）</w:t>
      </w:r>
      <w:r>
        <w:rPr>
          <w:rStyle w:val="14"/>
          <w:rFonts w:hint="eastAsia" w:ascii="仿宋_GB2312" w:eastAsia="仿宋_GB2312"/>
          <w:b w:val="0"/>
          <w:color w:val="000000"/>
          <w:sz w:val="32"/>
          <w:szCs w:val="32"/>
          <w:lang w:eastAsia="zh-CN"/>
        </w:rPr>
        <w:t>行政</w:t>
      </w:r>
      <w:r>
        <w:rPr>
          <w:rStyle w:val="14"/>
          <w:rFonts w:hint="eastAsia" w:ascii="仿宋_GB2312" w:eastAsia="仿宋_GB2312"/>
          <w:b w:val="0"/>
          <w:color w:val="000000"/>
          <w:sz w:val="32"/>
          <w:szCs w:val="32"/>
        </w:rPr>
        <w:t>单位医疗（项）:指财政部门集中安排的</w:t>
      </w:r>
      <w:r>
        <w:rPr>
          <w:rStyle w:val="14"/>
          <w:rFonts w:hint="eastAsia" w:ascii="仿宋_GB2312" w:eastAsia="仿宋_GB2312"/>
          <w:b w:val="0"/>
          <w:color w:val="000000"/>
          <w:sz w:val="32"/>
          <w:szCs w:val="32"/>
          <w:lang w:eastAsia="zh-CN"/>
        </w:rPr>
        <w:t>行政</w:t>
      </w:r>
      <w:r>
        <w:rPr>
          <w:rStyle w:val="14"/>
          <w:rFonts w:hint="eastAsia" w:ascii="仿宋_GB2312" w:eastAsia="仿宋_GB2312"/>
          <w:b w:val="0"/>
          <w:color w:val="000000"/>
          <w:sz w:val="32"/>
          <w:szCs w:val="32"/>
        </w:rPr>
        <w:t>单位基本医疗保险缴费经费，未参加医疗保险的</w:t>
      </w:r>
      <w:r>
        <w:rPr>
          <w:rStyle w:val="14"/>
          <w:rFonts w:hint="eastAsia" w:ascii="仿宋_GB2312" w:eastAsia="仿宋_GB2312"/>
          <w:b w:val="0"/>
          <w:color w:val="000000"/>
          <w:sz w:val="32"/>
          <w:szCs w:val="32"/>
          <w:lang w:eastAsia="zh-CN"/>
        </w:rPr>
        <w:t>行政</w:t>
      </w:r>
      <w:r>
        <w:rPr>
          <w:rStyle w:val="14"/>
          <w:rFonts w:hint="eastAsia" w:ascii="仿宋_GB2312" w:eastAsia="仿宋_GB2312"/>
          <w:b w:val="0"/>
          <w:color w:val="000000"/>
          <w:sz w:val="32"/>
          <w:szCs w:val="32"/>
        </w:rPr>
        <w:t>单位的公费医疗经费，按国家规定享受离休人员待遇的医疗经费。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13.项目支出：指在基本支出之外为完成特定行政任务和事业发展目标所发生的支出。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sectPr>
          <w:footerReference r:id="rId5" w:type="first"/>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r>
        <w:rPr>
          <w:rFonts w:hint="eastAsia" w:ascii="仿宋_GB2312" w:eastAsia="仿宋_GB2312"/>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2200" w:firstLineChars="500"/>
        <w:outlineLvl w:val="0"/>
        <w:rPr>
          <w:rStyle w:val="24"/>
          <w:rFonts w:ascii="黑体" w:hAnsi="黑体" w:eastAsia="黑体"/>
          <w:b w:val="0"/>
        </w:rPr>
      </w:pPr>
      <w:bookmarkStart w:id="57" w:name="_Toc17103566"/>
      <w:bookmarkStart w:id="58"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4"/>
        <w:rPr>
          <w:rStyle w:val="24"/>
          <w:rFonts w:ascii="仿宋" w:hAnsi="仿宋" w:eastAsia="仿宋"/>
          <w:b w:val="0"/>
          <w:bCs w:val="0"/>
          <w:sz w:val="32"/>
          <w:szCs w:val="32"/>
        </w:rPr>
      </w:pPr>
      <w:bookmarkStart w:id="59" w:name="_Toc17103567"/>
      <w:r>
        <w:rPr>
          <w:rStyle w:val="24"/>
          <w:rFonts w:hint="eastAsia" w:ascii="仿宋" w:hAnsi="仿宋" w:eastAsia="仿宋"/>
          <w:b w:val="0"/>
          <w:bCs w:val="0"/>
          <w:sz w:val="32"/>
          <w:szCs w:val="32"/>
        </w:rPr>
        <w:t>附件1</w:t>
      </w:r>
      <w:bookmarkEnd w:id="59"/>
    </w:p>
    <w:p>
      <w:pPr>
        <w:keepNext w:val="0"/>
        <w:keepLines w:val="0"/>
        <w:pageBreakBefore w:val="0"/>
        <w:widowControl w:val="0"/>
        <w:kinsoku/>
        <w:wordWrap/>
        <w:overflowPunct/>
        <w:topLinePunct w:val="0"/>
        <w:autoSpaceDE/>
        <w:autoSpaceDN/>
        <w:bidi w:val="0"/>
        <w:adjustRightInd/>
        <w:snapToGrid/>
        <w:spacing w:line="660" w:lineRule="exact"/>
        <w:ind w:firstLine="880" w:firstLineChars="200"/>
        <w:jc w:val="both"/>
        <w:textAlignment w:val="auto"/>
        <w:rPr>
          <w:rFonts w:hint="eastAsia" w:ascii="方正小标宋简体" w:eastAsia="方正小标宋简体"/>
          <w:sz w:val="44"/>
          <w:szCs w:val="44"/>
        </w:rPr>
      </w:pPr>
      <w:bookmarkStart w:id="60" w:name="_Toc17103569"/>
      <w:r>
        <w:rPr>
          <w:rFonts w:hint="eastAsia" w:ascii="方正小标宋简体" w:eastAsia="方正小标宋简体"/>
          <w:sz w:val="44"/>
          <w:szCs w:val="44"/>
        </w:rPr>
        <w:t>资阳市雁江区城乡居民养老保险局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2022年</w:t>
      </w:r>
      <w:r>
        <w:rPr>
          <w:rFonts w:hint="eastAsia" w:ascii="方正小标宋简体" w:eastAsia="方正小标宋简体"/>
          <w:sz w:val="44"/>
          <w:szCs w:val="44"/>
        </w:rPr>
        <w:t>部门整体支出绩效评价报告</w:t>
      </w:r>
    </w:p>
    <w:p>
      <w:pPr>
        <w:spacing w:line="580" w:lineRule="exact"/>
        <w:ind w:firstLine="640" w:firstLineChars="200"/>
        <w:rPr>
          <w:rFonts w:ascii="黑体" w:hAnsi="黑体" w:eastAsia="黑体" w:cs="黑体"/>
          <w:sz w:val="32"/>
          <w:szCs w:val="32"/>
        </w:rPr>
      </w:pPr>
    </w:p>
    <w:p>
      <w:pPr>
        <w:spacing w:line="500" w:lineRule="exact"/>
        <w:ind w:firstLine="640" w:firstLineChars="200"/>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一、部门（单位）概况</w:t>
      </w:r>
    </w:p>
    <w:p>
      <w:pPr>
        <w:spacing w:line="500" w:lineRule="exact"/>
        <w:ind w:firstLine="643"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（一）机构组成</w:t>
      </w:r>
    </w:p>
    <w:p>
      <w:pPr>
        <w:spacing w:line="500" w:lineRule="exact"/>
        <w:ind w:firstLine="640" w:firstLineChars="200"/>
        <w:rPr>
          <w:rFonts w:hint="eastAsia" w:ascii="方正仿宋简体" w:hAnsi="方正仿宋简体" w:eastAsia="方正仿宋简体" w:cs="方正仿宋简体"/>
          <w:color w:val="auto"/>
          <w:sz w:val="32"/>
          <w:szCs w:val="32"/>
        </w:rPr>
      </w:pPr>
      <w:r>
        <w:rPr>
          <w:rFonts w:hint="eastAsia" w:ascii="仿宋" w:hAnsi="仿宋" w:eastAsia="仿宋" w:cs="仿宋"/>
          <w:color w:val="auto"/>
          <w:sz w:val="32"/>
          <w:szCs w:val="32"/>
        </w:rPr>
        <w:t>我局隶属于雁江区人力资源和社会保障局管理的参公事业单位，我局下属二级单位</w:t>
      </w:r>
      <w:r>
        <w:rPr>
          <w:rFonts w:hint="eastAsia" w:ascii="仿宋" w:hAnsi="仿宋" w:eastAsia="仿宋" w:cs="仿宋"/>
          <w:sz w:val="32"/>
          <w:szCs w:val="32"/>
          <w:lang w:val="en-US" w:eastAsia="zh-CN"/>
        </w:rPr>
        <w:t>0</w:t>
      </w:r>
      <w:r>
        <w:rPr>
          <w:rFonts w:hint="eastAsia" w:ascii="仿宋" w:hAnsi="仿宋" w:eastAsia="仿宋" w:cs="仿宋"/>
          <w:color w:val="auto"/>
          <w:sz w:val="32"/>
          <w:szCs w:val="32"/>
        </w:rPr>
        <w:t>个，下设六股一室，分别为办公室、财务股、征集股、退管股、政策法规股、稽核股、信息股。</w:t>
      </w:r>
    </w:p>
    <w:p>
      <w:pPr>
        <w:spacing w:line="500" w:lineRule="exact"/>
        <w:ind w:firstLine="643"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eastAsia="zh-CN"/>
        </w:rPr>
        <w:t>（</w:t>
      </w:r>
      <w:r>
        <w:rPr>
          <w:rFonts w:hint="eastAsia" w:ascii="方正楷体简体" w:hAnsi="方正楷体简体" w:eastAsia="方正楷体简体" w:cs="方正楷体简体"/>
          <w:b/>
          <w:bCs/>
          <w:color w:val="auto"/>
          <w:sz w:val="32"/>
          <w:szCs w:val="32"/>
          <w:lang w:val="en-US" w:eastAsia="zh-CN"/>
        </w:rPr>
        <w:t>二</w:t>
      </w:r>
      <w:r>
        <w:rPr>
          <w:rFonts w:hint="eastAsia" w:ascii="方正楷体简体" w:hAnsi="方正楷体简体" w:eastAsia="方正楷体简体" w:cs="方正楷体简体"/>
          <w:b/>
          <w:bCs/>
          <w:color w:val="auto"/>
          <w:sz w:val="32"/>
          <w:szCs w:val="32"/>
          <w:lang w:eastAsia="zh-CN"/>
        </w:rPr>
        <w:t>）</w:t>
      </w:r>
      <w:r>
        <w:rPr>
          <w:rFonts w:hint="eastAsia" w:ascii="方正楷体简体" w:hAnsi="方正楷体简体" w:eastAsia="方正楷体简体" w:cs="方正楷体简体"/>
          <w:b/>
          <w:bCs/>
          <w:color w:val="auto"/>
          <w:sz w:val="32"/>
          <w:szCs w:val="32"/>
        </w:rPr>
        <w:t>机构职能</w:t>
      </w:r>
    </w:p>
    <w:p>
      <w:pPr>
        <w:spacing w:line="500" w:lineRule="exact"/>
        <w:ind w:firstLine="640" w:firstLineChars="200"/>
        <w:rPr>
          <w:rFonts w:hint="eastAsia" w:ascii="方正仿宋简体" w:hAnsi="方正仿宋简体" w:eastAsia="方正仿宋简体" w:cs="方正仿宋简体"/>
          <w:color w:val="auto"/>
          <w:sz w:val="32"/>
          <w:szCs w:val="32"/>
        </w:rPr>
      </w:pPr>
      <w:r>
        <w:rPr>
          <w:rFonts w:hint="eastAsia" w:ascii="仿宋" w:hAnsi="仿宋" w:eastAsia="仿宋" w:cs="仿宋"/>
          <w:color w:val="auto"/>
          <w:sz w:val="32"/>
          <w:szCs w:val="32"/>
        </w:rPr>
        <w:t>我局隶属于雁江区人力资源和社会保障局管理的参公事业单位，负责做好国家、省、市、区颁布的城乡居民养老保险政策的宣传、贯彻、执行等工作。</w:t>
      </w:r>
    </w:p>
    <w:p>
      <w:pPr>
        <w:spacing w:line="500" w:lineRule="exact"/>
        <w:ind w:firstLine="643"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eastAsia="zh-CN"/>
        </w:rPr>
        <w:t>（</w:t>
      </w:r>
      <w:r>
        <w:rPr>
          <w:rFonts w:hint="eastAsia" w:ascii="方正楷体简体" w:hAnsi="方正楷体简体" w:eastAsia="方正楷体简体" w:cs="方正楷体简体"/>
          <w:b/>
          <w:bCs/>
          <w:color w:val="auto"/>
          <w:sz w:val="32"/>
          <w:szCs w:val="32"/>
          <w:lang w:val="en-US" w:eastAsia="zh-CN"/>
        </w:rPr>
        <w:t>三</w:t>
      </w:r>
      <w:r>
        <w:rPr>
          <w:rFonts w:hint="eastAsia" w:ascii="方正楷体简体" w:hAnsi="方正楷体简体" w:eastAsia="方正楷体简体" w:cs="方正楷体简体"/>
          <w:b/>
          <w:bCs/>
          <w:color w:val="auto"/>
          <w:sz w:val="32"/>
          <w:szCs w:val="32"/>
          <w:lang w:eastAsia="zh-CN"/>
        </w:rPr>
        <w:t>）</w:t>
      </w:r>
      <w:r>
        <w:rPr>
          <w:rFonts w:hint="eastAsia" w:ascii="方正楷体简体" w:hAnsi="方正楷体简体" w:eastAsia="方正楷体简体" w:cs="方正楷体简体"/>
          <w:b/>
          <w:bCs/>
          <w:color w:val="auto"/>
          <w:sz w:val="32"/>
          <w:szCs w:val="32"/>
        </w:rPr>
        <w:t>人员概况</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2022</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我局共计职工</w:t>
      </w:r>
      <w:r>
        <w:rPr>
          <w:rFonts w:hint="eastAsia" w:ascii="仿宋" w:hAnsi="仿宋" w:eastAsia="仿宋" w:cs="仿宋"/>
          <w:sz w:val="32"/>
          <w:szCs w:val="32"/>
          <w:lang w:val="en-US" w:eastAsia="zh-CN"/>
        </w:rPr>
        <w:t>14</w:t>
      </w:r>
      <w:r>
        <w:rPr>
          <w:rFonts w:hint="eastAsia" w:ascii="仿宋" w:hAnsi="仿宋" w:eastAsia="仿宋" w:cs="仿宋"/>
          <w:color w:val="auto"/>
          <w:sz w:val="32"/>
          <w:szCs w:val="32"/>
        </w:rPr>
        <w:t>人。</w:t>
      </w:r>
    </w:p>
    <w:p>
      <w:pPr>
        <w:spacing w:line="500" w:lineRule="exact"/>
        <w:ind w:firstLine="640" w:firstLineChars="200"/>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二、部门财政资金收支情况</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（一）部门财政资金收入情况</w:t>
      </w:r>
    </w:p>
    <w:p>
      <w:pPr>
        <w:spacing w:line="500" w:lineRule="exact"/>
        <w:ind w:firstLine="640" w:firstLineChars="200"/>
        <w:outlineLvl w:val="1"/>
        <w:rPr>
          <w:rFonts w:hint="eastAsia" w:ascii="方正仿宋简体" w:hAnsi="方正仿宋简体" w:eastAsia="方正仿宋简体" w:cs="方正仿宋简体"/>
          <w:color w:val="auto"/>
          <w:sz w:val="32"/>
          <w:szCs w:val="32"/>
        </w:rPr>
      </w:pP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年本年</w:t>
      </w:r>
      <w:r>
        <w:rPr>
          <w:rFonts w:hint="eastAsia" w:ascii="仿宋_GB2312" w:hAnsi="仿宋_GB2312" w:eastAsia="仿宋_GB2312" w:cs="仿宋_GB2312"/>
          <w:color w:val="000000"/>
          <w:sz w:val="32"/>
          <w:szCs w:val="32"/>
          <w:lang w:eastAsia="zh-CN"/>
        </w:rPr>
        <w:t>收入</w:t>
      </w:r>
      <w:r>
        <w:rPr>
          <w:rFonts w:hint="eastAsia" w:ascii="仿宋_GB2312" w:hAnsi="仿宋_GB2312" w:eastAsia="仿宋_GB2312" w:cs="仿宋_GB2312"/>
          <w:color w:val="000000"/>
          <w:sz w:val="32"/>
          <w:szCs w:val="32"/>
        </w:rPr>
        <w:t>合计</w:t>
      </w:r>
      <w:r>
        <w:rPr>
          <w:rFonts w:hint="eastAsia" w:ascii="仿宋_GB2312" w:hAnsi="仿宋_GB2312" w:eastAsia="仿宋_GB2312" w:cs="仿宋_GB2312"/>
          <w:color w:val="000000"/>
          <w:sz w:val="32"/>
          <w:szCs w:val="32"/>
          <w:lang w:val="en-US" w:eastAsia="zh-CN"/>
        </w:rPr>
        <w:t>278.58</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eastAsia="zh-CN"/>
        </w:rPr>
        <w:t>收入</w:t>
      </w:r>
      <w:r>
        <w:rPr>
          <w:rFonts w:hint="eastAsia" w:ascii="仿宋_GB2312" w:hAnsi="仿宋_GB2312" w:eastAsia="仿宋_GB2312" w:cs="仿宋_GB2312"/>
          <w:color w:val="000000"/>
          <w:sz w:val="32"/>
          <w:szCs w:val="32"/>
          <w:lang w:val="en-US" w:eastAsia="zh-CN"/>
        </w:rPr>
        <w:t>230.09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82.59</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eastAsia="zh-CN"/>
        </w:rPr>
        <w:t>收入</w:t>
      </w:r>
      <w:r>
        <w:rPr>
          <w:rFonts w:hint="eastAsia" w:ascii="仿宋_GB2312" w:hAnsi="仿宋_GB2312" w:eastAsia="仿宋_GB2312" w:cs="仿宋_GB2312"/>
          <w:color w:val="000000"/>
          <w:sz w:val="32"/>
          <w:szCs w:val="32"/>
          <w:lang w:val="en-US" w:eastAsia="zh-CN"/>
        </w:rPr>
        <w:t>48.49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17.41</w:t>
      </w:r>
      <w:r>
        <w:rPr>
          <w:rFonts w:hint="eastAsia" w:ascii="仿宋_GB2312" w:hAnsi="仿宋_GB2312" w:eastAsia="仿宋_GB2312" w:cs="仿宋_GB2312"/>
          <w:color w:val="000000"/>
          <w:sz w:val="32"/>
          <w:szCs w:val="32"/>
        </w:rPr>
        <w:t>%。</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w:t>
      </w:r>
      <w:r>
        <w:rPr>
          <w:rFonts w:hint="eastAsia" w:ascii="方正楷体简体" w:hAnsi="方正楷体简体" w:eastAsia="方正楷体简体" w:cs="方正楷体简体"/>
          <w:b/>
          <w:bCs/>
          <w:color w:val="auto"/>
          <w:sz w:val="32"/>
          <w:szCs w:val="32"/>
          <w:lang w:val="en-US" w:eastAsia="zh-CN"/>
        </w:rPr>
        <w:t>二</w:t>
      </w:r>
      <w:r>
        <w:rPr>
          <w:rFonts w:hint="eastAsia" w:ascii="方正楷体简体" w:hAnsi="方正楷体简体" w:eastAsia="方正楷体简体" w:cs="方正楷体简体"/>
          <w:b/>
          <w:bCs/>
          <w:color w:val="auto"/>
          <w:sz w:val="32"/>
          <w:szCs w:val="32"/>
          <w:lang w:eastAsia="zh-CN"/>
        </w:rPr>
        <w:t>）部门财政资金支出情况</w:t>
      </w:r>
    </w:p>
    <w:p>
      <w:pPr>
        <w:spacing w:line="500" w:lineRule="exact"/>
        <w:ind w:firstLine="640" w:firstLineChars="200"/>
        <w:outlineLvl w:val="1"/>
        <w:rPr>
          <w:rFonts w:hint="eastAsia" w:ascii="方正仿宋简体" w:hAnsi="方正仿宋简体" w:eastAsia="方正仿宋简体" w:cs="方正仿宋简体"/>
          <w:color w:val="auto"/>
          <w:sz w:val="32"/>
          <w:szCs w:val="32"/>
        </w:rPr>
      </w:pPr>
      <w:r>
        <w:rPr>
          <w:rFonts w:hint="eastAsia" w:ascii="仿宋_GB2312" w:hAnsi="仿宋_GB2312" w:eastAsia="仿宋_GB2312" w:cs="仿宋_GB2312"/>
          <w:color w:val="000000"/>
          <w:sz w:val="32"/>
          <w:szCs w:val="32"/>
          <w:lang w:eastAsia="zh-CN"/>
        </w:rPr>
        <w:t>2022</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278.58</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230.09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82.59</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48.49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17.41</w:t>
      </w:r>
      <w:r>
        <w:rPr>
          <w:rFonts w:hint="eastAsia" w:ascii="仿宋_GB2312" w:hAnsi="仿宋_GB2312" w:eastAsia="仿宋_GB2312" w:cs="仿宋_GB2312"/>
          <w:color w:val="000000"/>
          <w:sz w:val="32"/>
          <w:szCs w:val="32"/>
        </w:rPr>
        <w:t>%。</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（三）部门收支差异原因</w:t>
      </w:r>
    </w:p>
    <w:p>
      <w:pPr>
        <w:spacing w:line="5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2022年</w:t>
      </w:r>
      <w:r>
        <w:rPr>
          <w:rFonts w:hint="eastAsia" w:ascii="仿宋" w:hAnsi="仿宋" w:eastAsia="仿宋" w:cs="仿宋"/>
          <w:color w:val="auto"/>
          <w:sz w:val="32"/>
          <w:szCs w:val="32"/>
        </w:rPr>
        <w:t>收入支出</w:t>
      </w:r>
      <w:r>
        <w:rPr>
          <w:rFonts w:hint="eastAsia" w:ascii="仿宋" w:hAnsi="仿宋" w:eastAsia="仿宋" w:cs="仿宋"/>
          <w:color w:val="auto"/>
          <w:sz w:val="32"/>
          <w:szCs w:val="32"/>
          <w:lang w:eastAsia="zh-CN"/>
        </w:rPr>
        <w:t>无差异。</w:t>
      </w:r>
    </w:p>
    <w:p>
      <w:pPr>
        <w:spacing w:line="500" w:lineRule="exact"/>
        <w:ind w:firstLine="640" w:firstLineChars="200"/>
        <w:rPr>
          <w:rFonts w:hint="eastAsia" w:ascii="方正仿宋简体" w:hAnsi="方正仿宋简体" w:eastAsia="方正仿宋简体" w:cs="方正仿宋简体"/>
          <w:color w:val="auto"/>
          <w:sz w:val="32"/>
          <w:szCs w:val="32"/>
        </w:rPr>
      </w:pPr>
      <w:r>
        <w:rPr>
          <w:rFonts w:hint="eastAsia" w:ascii="方正黑体简体" w:hAnsi="方正黑体简体" w:eastAsia="方正黑体简体" w:cs="方正黑体简体"/>
          <w:color w:val="auto"/>
          <w:sz w:val="32"/>
          <w:szCs w:val="32"/>
        </w:rPr>
        <w:t>三、部门整体预算绩效管理情况（根据适用指标体系进行调整）</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（一）部门预算管理。</w:t>
      </w:r>
    </w:p>
    <w:p>
      <w:pPr>
        <w:spacing w:line="500" w:lineRule="exact"/>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为确保年度预算编制更加科学、精确、完善，我局严格按照区财政局要求，依照“统筹兼顾、厉行节约、保障重点、注重绩效”的原则，结合当年重点工作需要，规范编制部门预算，切实提高预算编制质量。待</w:t>
      </w:r>
      <w:r>
        <w:rPr>
          <w:rFonts w:hint="eastAsia" w:ascii="仿宋" w:hAnsi="仿宋" w:eastAsia="仿宋" w:cs="仿宋"/>
          <w:sz w:val="32"/>
          <w:szCs w:val="32"/>
          <w:lang w:val="en-US" w:eastAsia="zh-CN"/>
        </w:rPr>
        <w:t>2022</w:t>
      </w:r>
      <w:r>
        <w:rPr>
          <w:rFonts w:hint="eastAsia" w:ascii="仿宋" w:hAnsi="仿宋" w:eastAsia="仿宋" w:cs="仿宋"/>
          <w:color w:val="auto"/>
          <w:sz w:val="32"/>
          <w:szCs w:val="32"/>
          <w:shd w:val="clear" w:color="auto" w:fill="FFFFFF"/>
          <w:lang w:eastAsia="zh-CN"/>
        </w:rPr>
        <w:t>年</w:t>
      </w:r>
      <w:r>
        <w:rPr>
          <w:rFonts w:hint="eastAsia" w:ascii="仿宋" w:hAnsi="仿宋" w:eastAsia="仿宋" w:cs="仿宋"/>
          <w:color w:val="auto"/>
          <w:sz w:val="32"/>
          <w:szCs w:val="32"/>
          <w:shd w:val="clear" w:color="auto" w:fill="FFFFFF"/>
        </w:rPr>
        <w:t>预算控制数下达后，我们对预算责任、指标、费用、定额等进行细化分解，明确绩效目标。按照经费管理制度，加强对预算执行管理，及时跟进各项目资金使用情况，对于执行进度缓慢或无法执行的项目预算按规定程序及时进行调整。完善项目资金使用审批手续，坚持先审批，后使用，确保专项资金专款专用。严格执行固定资产管理规定，对符合固定资产限额标准的财物，我们均纳入固定资产范围进行管理。明确部门经费管理职责、开支范围及标准。坚持“先预算，后支出”，实行预算全覆盖，各项收入和支出全部纳入预算管理，统筹安排使用，优化使用结构，保证重点项目实施。</w:t>
      </w:r>
    </w:p>
    <w:p>
      <w:pPr>
        <w:spacing w:line="500" w:lineRule="exact"/>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按照区财政局的统一部署，我局高度重视绩效考评工作，制定了绩效总目标，依照国家政策法规规定和本部门实际情况，健全财务基础管理制度和约束机制，依法、有效地使用财政资金。通过采取询问和集中评议的方法，对项目资金的分配、拨付、使用、核算都严格把关。</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w:t>
      </w:r>
      <w:r>
        <w:rPr>
          <w:rFonts w:hint="eastAsia" w:ascii="方正楷体简体" w:hAnsi="方正楷体简体" w:eastAsia="方正楷体简体" w:cs="方正楷体简体"/>
          <w:b/>
          <w:bCs/>
          <w:color w:val="auto"/>
          <w:sz w:val="32"/>
          <w:szCs w:val="32"/>
          <w:lang w:val="en-US" w:eastAsia="zh-CN"/>
        </w:rPr>
        <w:t>二</w:t>
      </w:r>
      <w:r>
        <w:rPr>
          <w:rFonts w:hint="eastAsia" w:ascii="方正楷体简体" w:hAnsi="方正楷体简体" w:eastAsia="方正楷体简体" w:cs="方正楷体简体"/>
          <w:b/>
          <w:bCs/>
          <w:color w:val="auto"/>
          <w:sz w:val="32"/>
          <w:szCs w:val="32"/>
          <w:lang w:eastAsia="zh-CN"/>
        </w:rPr>
        <w:t>）专项预算管理</w:t>
      </w:r>
    </w:p>
    <w:p>
      <w:pPr>
        <w:adjustRightInd w:val="0"/>
        <w:snapToGrid w:val="0"/>
        <w:spacing w:line="500" w:lineRule="exact"/>
        <w:ind w:firstLine="720"/>
        <w:rPr>
          <w:rFonts w:hint="eastAsia" w:ascii="仿宋" w:hAnsi="仿宋" w:eastAsia="仿宋" w:cs="仿宋"/>
          <w:color w:val="auto"/>
          <w:sz w:val="32"/>
          <w:szCs w:val="32"/>
        </w:rPr>
      </w:pPr>
      <w:r>
        <w:rPr>
          <w:rFonts w:hint="eastAsia" w:ascii="仿宋" w:hAnsi="仿宋" w:eastAsia="仿宋" w:cs="仿宋"/>
          <w:color w:val="auto"/>
          <w:sz w:val="32"/>
          <w:szCs w:val="32"/>
        </w:rPr>
        <w:t>城乡居民基本养老保险是一项实现城乡居民老有所养的惠民政策，对逐步缩小城乡差距、改变城乡二元结构、促进社会公平正义、完善覆盖城乡居民的社会保障体系起着重要作用。城乡居民养老保险基金的筹集由个人缴费、集体补助、政府补贴构成。国家规定标准的基础养老金由中央、省、市、区四级财政全额补助。省、市、区三级财政按财力情况对参保人缴费给予补贴。城乡居民养老保险待遇由基础养老金和个人账户养老金构成，支付终身。城乡居民养老保险涉及我区广大城乡居民的切身利益，我局实行专项预算管理。</w:t>
      </w:r>
    </w:p>
    <w:p>
      <w:pPr>
        <w:adjustRightInd w:val="0"/>
        <w:snapToGrid w:val="0"/>
        <w:spacing w:line="500" w:lineRule="exact"/>
        <w:ind w:firstLine="720"/>
        <w:rPr>
          <w:rFonts w:hint="eastAsia" w:ascii="仿宋" w:hAnsi="仿宋" w:eastAsia="仿宋" w:cs="仿宋"/>
          <w:color w:val="auto"/>
          <w:sz w:val="32"/>
          <w:szCs w:val="32"/>
        </w:rPr>
      </w:pPr>
      <w:r>
        <w:rPr>
          <w:rFonts w:hint="eastAsia" w:ascii="仿宋" w:hAnsi="仿宋" w:eastAsia="仿宋" w:cs="仿宋"/>
          <w:sz w:val="32"/>
          <w:szCs w:val="32"/>
          <w:lang w:val="en-US" w:eastAsia="zh-CN"/>
        </w:rPr>
        <w:t>2022</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城乡居民基本养老保险项目支出严格执行专款专用，按照批准的预算和规定的程序使用资金，每月填报基金收支情况表，定期向上级单位报告预算执行情况。</w:t>
      </w:r>
    </w:p>
    <w:p>
      <w:pPr>
        <w:adjustRightInd w:val="0"/>
        <w:snapToGrid w:val="0"/>
        <w:spacing w:line="500" w:lineRule="exact"/>
        <w:ind w:firstLine="720"/>
        <w:rPr>
          <w:rFonts w:hint="eastAsia" w:ascii="仿宋" w:hAnsi="仿宋" w:eastAsia="仿宋" w:cs="仿宋"/>
          <w:color w:val="auto"/>
          <w:sz w:val="32"/>
          <w:szCs w:val="32"/>
        </w:rPr>
      </w:pPr>
      <w:r>
        <w:rPr>
          <w:rFonts w:hint="eastAsia" w:ascii="仿宋" w:hAnsi="仿宋" w:eastAsia="仿宋" w:cs="仿宋"/>
          <w:color w:val="auto"/>
          <w:sz w:val="32"/>
          <w:szCs w:val="32"/>
        </w:rPr>
        <w:t>在上级领导的高度重视和区财政局的大力支持下，我局通过定责任、广宣传、明措施、抓内控、强基础、建队伍等方式做法，圆满完成各项城乡居民养老保险工作任务。有效保障了参保城乡居民的老年基本生活，提高城乡居民生活质量，维护社会和谐稳定。</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（三）结果应用情况</w:t>
      </w:r>
    </w:p>
    <w:p>
      <w:pPr>
        <w:spacing w:line="500" w:lineRule="exact"/>
        <w:ind w:firstLine="640" w:firstLineChars="200"/>
        <w:rPr>
          <w:rFonts w:hint="eastAsia" w:ascii="方正仿宋简体" w:hAnsi="方正仿宋简体" w:eastAsia="方正仿宋简体" w:cs="方正仿宋简体"/>
          <w:color w:val="auto"/>
          <w:sz w:val="32"/>
          <w:szCs w:val="32"/>
        </w:rPr>
      </w:pPr>
      <w:r>
        <w:rPr>
          <w:rFonts w:hint="eastAsia" w:ascii="仿宋" w:hAnsi="仿宋" w:eastAsia="仿宋" w:cs="仿宋"/>
          <w:color w:val="auto"/>
          <w:sz w:val="32"/>
          <w:szCs w:val="32"/>
          <w:shd w:val="clear" w:color="auto" w:fill="FFFFFF"/>
        </w:rPr>
        <w:t>预算决策、管理、执行等日益规范，能较好地满足工作需要，取得了良好经济效益和社会效益</w:t>
      </w:r>
      <w:r>
        <w:rPr>
          <w:rFonts w:hint="eastAsia" w:ascii="方正仿宋简体" w:hAnsi="方正仿宋简体" w:eastAsia="方正仿宋简体" w:cs="方正仿宋简体"/>
          <w:color w:val="auto"/>
          <w:sz w:val="32"/>
          <w:szCs w:val="32"/>
          <w:shd w:val="clear" w:color="auto" w:fill="FFFFFF"/>
        </w:rPr>
        <w:t>。</w:t>
      </w:r>
    </w:p>
    <w:p>
      <w:pPr>
        <w:spacing w:line="500" w:lineRule="exact"/>
        <w:ind w:firstLine="640" w:firstLineChars="200"/>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四、评价结论及建议</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（一）评价结论</w:t>
      </w:r>
    </w:p>
    <w:p>
      <w:pPr>
        <w:spacing w:line="500" w:lineRule="exact"/>
        <w:ind w:firstLine="640" w:firstLineChars="200"/>
        <w:rPr>
          <w:rFonts w:hint="eastAsia" w:ascii="方正仿宋简体" w:hAnsi="方正仿宋简体" w:eastAsia="方正仿宋简体" w:cs="方正仿宋简体"/>
          <w:color w:val="auto"/>
          <w:sz w:val="32"/>
          <w:szCs w:val="32"/>
        </w:rPr>
      </w:pPr>
      <w:r>
        <w:rPr>
          <w:rFonts w:hint="eastAsia" w:ascii="仿宋" w:hAnsi="仿宋" w:eastAsia="仿宋" w:cs="仿宋"/>
          <w:color w:val="auto"/>
          <w:sz w:val="32"/>
          <w:szCs w:val="32"/>
          <w:shd w:val="clear" w:color="auto" w:fill="FFFFFF"/>
        </w:rPr>
        <w:t>通过绩效评价，我们认为，</w:t>
      </w:r>
      <w:r>
        <w:rPr>
          <w:rFonts w:hint="eastAsia" w:ascii="仿宋" w:hAnsi="仿宋" w:eastAsia="仿宋" w:cs="仿宋"/>
          <w:sz w:val="32"/>
          <w:szCs w:val="32"/>
          <w:lang w:val="en-US" w:eastAsia="zh-CN"/>
        </w:rPr>
        <w:t>2022</w:t>
      </w:r>
      <w:r>
        <w:rPr>
          <w:rFonts w:hint="eastAsia" w:ascii="仿宋" w:hAnsi="仿宋" w:eastAsia="仿宋" w:cs="仿宋"/>
          <w:color w:val="auto"/>
          <w:sz w:val="32"/>
          <w:szCs w:val="32"/>
          <w:shd w:val="clear" w:color="auto" w:fill="FFFFFF"/>
          <w:lang w:eastAsia="zh-CN"/>
        </w:rPr>
        <w:t>年</w:t>
      </w:r>
      <w:r>
        <w:rPr>
          <w:rFonts w:hint="eastAsia" w:ascii="仿宋" w:hAnsi="仿宋" w:eastAsia="仿宋" w:cs="仿宋"/>
          <w:color w:val="auto"/>
          <w:sz w:val="32"/>
          <w:szCs w:val="32"/>
          <w:shd w:val="clear" w:color="auto" w:fill="FFFFFF"/>
        </w:rPr>
        <w:t>度部门预算具有明确的用途和目标，制定了详细的执行计划，严格按照财政有关规定使用。</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（二）存在问题</w:t>
      </w:r>
    </w:p>
    <w:p>
      <w:pPr>
        <w:spacing w:line="500" w:lineRule="exact"/>
        <w:ind w:left="210" w:leftChars="10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一是由于工作安排的原因，存在部门预算执行进度不均衡，项目资金使用“前松后紧”现象;二是受评价指标所限，部分项目效果无法量化，评价结果参差不齐。</w:t>
      </w:r>
    </w:p>
    <w:p>
      <w:pPr>
        <w:spacing w:line="500" w:lineRule="exact"/>
        <w:ind w:firstLine="643" w:firstLineChars="200"/>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（三）改进建议</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加大对财政资金支出绩效评价工作的培训力度，进一步提高参评人员的业务素质，切实提升资金支出绩效评价工作水平。</w:t>
      </w:r>
    </w:p>
    <w:p>
      <w:pPr>
        <w:spacing w:line="500" w:lineRule="exact"/>
        <w:ind w:firstLine="640" w:firstLineChars="200"/>
        <w:rPr>
          <w:rFonts w:hint="eastAsia" w:ascii="方正仿宋简体" w:hAnsi="方正仿宋简体" w:eastAsia="方正仿宋简体" w:cs="方正仿宋简体"/>
          <w:color w:val="auto"/>
          <w:sz w:val="32"/>
          <w:szCs w:val="32"/>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spacing w:line="580" w:lineRule="exact"/>
        <w:ind w:firstLine="1320" w:firstLineChars="300"/>
        <w:rPr>
          <w:rFonts w:ascii="黑体" w:hAnsi="黑体" w:eastAsia="黑体" w:cs="方正小标宋简体"/>
          <w:sz w:val="44"/>
          <w:szCs w:val="44"/>
        </w:rPr>
      </w:pPr>
    </w:p>
    <w:p>
      <w:pPr>
        <w:pStyle w:val="4"/>
        <w:rPr>
          <w:rStyle w:val="24"/>
          <w:rFonts w:hint="eastAsia" w:ascii="仿宋" w:hAnsi="仿宋" w:eastAsia="仿宋"/>
          <w:b w:val="0"/>
          <w:bCs w:val="0"/>
          <w:sz w:val="32"/>
          <w:szCs w:val="32"/>
        </w:rPr>
      </w:pPr>
    </w:p>
    <w:p>
      <w:pPr>
        <w:rPr>
          <w:rFonts w:hint="eastAsia"/>
        </w:rPr>
      </w:pPr>
    </w:p>
    <w:p>
      <w:pPr>
        <w:pStyle w:val="4"/>
        <w:rPr>
          <w:rStyle w:val="24"/>
          <w:rFonts w:hint="eastAsia" w:ascii="仿宋" w:hAnsi="仿宋" w:eastAsia="仿宋"/>
          <w:b w:val="0"/>
          <w:bCs w:val="0"/>
          <w:sz w:val="32"/>
          <w:szCs w:val="32"/>
        </w:rPr>
      </w:pPr>
    </w:p>
    <w:p>
      <w:pPr>
        <w:rPr>
          <w:rStyle w:val="24"/>
          <w:rFonts w:hint="eastAsia" w:ascii="仿宋" w:hAnsi="仿宋" w:eastAsia="仿宋"/>
          <w:b w:val="0"/>
          <w:bCs w:val="0"/>
          <w:sz w:val="32"/>
          <w:szCs w:val="32"/>
        </w:rPr>
      </w:pPr>
    </w:p>
    <w:p>
      <w:pPr>
        <w:pStyle w:val="2"/>
        <w:rPr>
          <w:rFonts w:hint="eastAsia"/>
        </w:rPr>
      </w:pPr>
    </w:p>
    <w:p>
      <w:pPr>
        <w:pStyle w:val="4"/>
        <w:rPr>
          <w:rStyle w:val="24"/>
          <w:rFonts w:ascii="仿宋" w:hAnsi="仿宋" w:eastAsia="仿宋"/>
          <w:b w:val="0"/>
          <w:bCs w:val="0"/>
          <w:sz w:val="32"/>
          <w:szCs w:val="32"/>
        </w:rPr>
      </w:pPr>
      <w:r>
        <w:rPr>
          <w:rStyle w:val="24"/>
          <w:rFonts w:hint="eastAsia" w:ascii="仿宋" w:hAnsi="仿宋" w:eastAsia="仿宋"/>
          <w:b w:val="0"/>
          <w:bCs w:val="0"/>
          <w:sz w:val="32"/>
          <w:szCs w:val="32"/>
        </w:rPr>
        <w:t>附件2</w:t>
      </w:r>
    </w:p>
    <w:bookmarkEnd w:id="60"/>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方正小标宋简体" w:eastAsia="方正小标宋简体"/>
          <w:sz w:val="44"/>
          <w:szCs w:val="44"/>
        </w:rPr>
      </w:pPr>
      <w:bookmarkStart w:id="61" w:name="_Toc17103570"/>
      <w:r>
        <w:rPr>
          <w:rFonts w:hint="eastAsia" w:eastAsia="方正仿宋简体"/>
          <w:sz w:val="32"/>
          <w:szCs w:val="32"/>
          <w:lang w:val="en-US" w:eastAsia="zh-CN"/>
        </w:rPr>
        <w:t xml:space="preserve">  </w:t>
      </w:r>
      <w:r>
        <w:rPr>
          <w:rFonts w:hint="eastAsia" w:ascii="方正小标宋简体" w:eastAsia="方正小标宋简体"/>
          <w:sz w:val="44"/>
          <w:szCs w:val="44"/>
        </w:rPr>
        <w:t>资阳市雁江区城乡居民养老保险局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2022</w:t>
      </w:r>
      <w:r>
        <w:rPr>
          <w:rFonts w:hint="eastAsia" w:ascii="方正小标宋简体" w:eastAsia="方正小标宋简体"/>
          <w:sz w:val="44"/>
          <w:szCs w:val="44"/>
        </w:rPr>
        <w:t>年雁江区项目支出绩效自评报告</w:t>
      </w:r>
    </w:p>
    <w:p>
      <w:pPr>
        <w:spacing w:line="620" w:lineRule="exact"/>
        <w:jc w:val="center"/>
        <w:rPr>
          <w:rFonts w:ascii="宋体" w:hAnsi="宋体" w:eastAsia="方正楷体简体"/>
          <w:b/>
          <w:sz w:val="32"/>
          <w:szCs w:val="32"/>
        </w:rPr>
      </w:pPr>
      <w:r>
        <w:rPr>
          <w:rFonts w:ascii="宋体" w:hAnsi="宋体" w:eastAsia="方正楷体简体"/>
          <w:b/>
          <w:sz w:val="32"/>
          <w:szCs w:val="32"/>
        </w:rPr>
        <w:t>（</w:t>
      </w:r>
      <w:r>
        <w:rPr>
          <w:rFonts w:hint="eastAsia" w:ascii="宋体" w:hAnsi="宋体" w:eastAsia="方正楷体简体"/>
          <w:b/>
          <w:sz w:val="32"/>
          <w:szCs w:val="32"/>
        </w:rPr>
        <w:t>城乡居民基本养老保险补助</w:t>
      </w:r>
      <w:r>
        <w:rPr>
          <w:rFonts w:ascii="宋体" w:hAnsi="宋体" w:eastAsia="方正楷体简体"/>
          <w:b/>
          <w:sz w:val="32"/>
          <w:szCs w:val="32"/>
        </w:rPr>
        <w:t>项目）</w:t>
      </w:r>
    </w:p>
    <w:p>
      <w:pPr>
        <w:pStyle w:val="2"/>
        <w:spacing w:line="620" w:lineRule="exact"/>
        <w:rPr>
          <w:rFonts w:ascii="宋体" w:hAnsi="宋体" w:eastAsia="方正仿宋简体"/>
          <w:sz w:val="32"/>
          <w:szCs w:val="32"/>
        </w:rPr>
      </w:pPr>
    </w:p>
    <w:p>
      <w:pPr>
        <w:spacing w:line="620" w:lineRule="exact"/>
        <w:jc w:val="center"/>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前言</w:t>
      </w:r>
    </w:p>
    <w:p>
      <w:p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一、项目基本情况</w:t>
      </w:r>
    </w:p>
    <w:p>
      <w:pPr>
        <w:pStyle w:val="2"/>
        <w:spacing w:after="0" w:line="590" w:lineRule="exact"/>
        <w:ind w:firstLine="630" w:firstLineChars="196"/>
        <w:rPr>
          <w:rFonts w:ascii="宋体" w:hAnsi="宋体" w:eastAsia="方正楷体简体"/>
          <w:b/>
          <w:sz w:val="32"/>
          <w:szCs w:val="32"/>
        </w:rPr>
      </w:pPr>
      <w:r>
        <w:rPr>
          <w:rFonts w:ascii="宋体" w:hAnsi="宋体" w:eastAsia="方正楷体简体"/>
          <w:b/>
          <w:sz w:val="32"/>
          <w:szCs w:val="32"/>
        </w:rPr>
        <w:t>（一）概况</w:t>
      </w:r>
    </w:p>
    <w:p>
      <w:pPr>
        <w:pStyle w:val="2"/>
        <w:spacing w:after="0" w:line="590" w:lineRule="exact"/>
        <w:ind w:firstLine="630" w:firstLineChars="196"/>
        <w:rPr>
          <w:rFonts w:hint="eastAsia" w:ascii="方正仿宋简体" w:hAnsi="方正仿宋简体" w:eastAsia="方正仿宋简体" w:cs="方正仿宋简体"/>
          <w:b/>
          <w:sz w:val="32"/>
          <w:szCs w:val="32"/>
        </w:rPr>
      </w:pPr>
      <w:r>
        <w:rPr>
          <w:rFonts w:hint="eastAsia" w:ascii="宋体" w:hAnsi="宋体" w:cs="宋体"/>
          <w:b/>
          <w:bCs/>
          <w:kern w:val="2"/>
          <w:sz w:val="32"/>
          <w:szCs w:val="32"/>
        </w:rPr>
        <w:t>1</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sz w:val="32"/>
          <w:szCs w:val="32"/>
        </w:rPr>
        <w:t>立项背景及目的</w:t>
      </w:r>
    </w:p>
    <w:p>
      <w:pPr>
        <w:spacing w:line="590" w:lineRule="exact"/>
        <w:ind w:firstLine="640" w:firstLineChars="200"/>
        <w:rPr>
          <w:rFonts w:hint="eastAsia" w:ascii="仿宋" w:hAnsi="仿宋" w:eastAsia="仿宋" w:cs="仿宋"/>
        </w:rPr>
      </w:pPr>
      <w:r>
        <w:rPr>
          <w:rFonts w:hint="eastAsia" w:ascii="仿宋" w:hAnsi="仿宋" w:eastAsia="仿宋" w:cs="仿宋"/>
          <w:sz w:val="32"/>
          <w:szCs w:val="32"/>
        </w:rPr>
        <w:t>按照《国务院关于建立统一的城乡居民基本养老保险制度的意见》（国发〔2014〕8号）规定，将新农保和城居保两项制度合并，在全国范围内建立统一的城乡居民基本养老保险制度。2022年城乡居民基本养老保险补助项目旨在根据城乡居民基本养老保险制度的规定，为资阳市雁江区城乡居民基本养老保险参保缴费人员进行缴费补助；每月30日前为年满60周岁（含60周岁）以上参保人员足额发放城乡居民基本养老保险养老金；保障参保城乡居民的老年基本生活和社会的和谐稳定发展。</w:t>
      </w:r>
    </w:p>
    <w:p>
      <w:pPr>
        <w:pStyle w:val="2"/>
        <w:spacing w:after="0" w:line="590" w:lineRule="exact"/>
        <w:ind w:firstLine="630" w:firstLineChars="196"/>
        <w:rPr>
          <w:rFonts w:hint="eastAsia" w:ascii="方正仿宋简体" w:hAnsi="方正仿宋简体" w:eastAsia="方正仿宋简体" w:cs="方正仿宋简体"/>
          <w:b/>
          <w:sz w:val="32"/>
          <w:szCs w:val="32"/>
        </w:rPr>
      </w:pPr>
      <w:r>
        <w:rPr>
          <w:rFonts w:hint="eastAsia" w:ascii="宋体" w:hAnsi="宋体" w:eastAsia="宋体" w:cs="宋体"/>
          <w:b/>
          <w:bCs/>
          <w:kern w:val="2"/>
          <w:sz w:val="32"/>
          <w:szCs w:val="32"/>
          <w:lang w:val="en-US" w:eastAsia="zh-CN" w:bidi="ar-SA"/>
        </w:rPr>
        <w:t>2</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sz w:val="32"/>
          <w:szCs w:val="32"/>
        </w:rPr>
        <w:t>预算资金来源及使用情况</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城乡居民基本养老保险补助资金来源为中央、省、市、区四级财政补助， 2022年城乡居民养老保险基本养老金补助财政拨付18949.18万元，个人缴费补助财政拨付914.8万元。</w:t>
      </w:r>
    </w:p>
    <w:p>
      <w:pPr>
        <w:pStyle w:val="2"/>
        <w:spacing w:after="0" w:line="590" w:lineRule="exact"/>
        <w:ind w:firstLine="630" w:firstLineChars="196"/>
        <w:rPr>
          <w:rFonts w:hint="eastAsia" w:ascii="方正仿宋简体" w:hAnsi="方正仿宋简体" w:eastAsia="方正仿宋简体" w:cs="方正仿宋简体"/>
          <w:b/>
          <w:sz w:val="32"/>
          <w:szCs w:val="32"/>
        </w:rPr>
      </w:pPr>
      <w:r>
        <w:rPr>
          <w:rFonts w:hint="eastAsia" w:ascii="宋体" w:hAnsi="宋体" w:cs="宋体"/>
          <w:b/>
          <w:bCs/>
          <w:kern w:val="2"/>
          <w:sz w:val="32"/>
          <w:szCs w:val="32"/>
        </w:rPr>
        <w:t>3</w:t>
      </w:r>
      <w:r>
        <w:rPr>
          <w:rFonts w:hint="eastAsia" w:ascii="方正仿宋简体" w:hAnsi="方正仿宋简体" w:eastAsia="方正仿宋简体" w:cs="方正仿宋简体"/>
          <w:b/>
          <w:bCs/>
          <w:sz w:val="32"/>
          <w:szCs w:val="32"/>
        </w:rPr>
        <w:t>．</w:t>
      </w:r>
      <w:r>
        <w:rPr>
          <w:rFonts w:hint="eastAsia" w:ascii="方正仿宋简体" w:hAnsi="方正仿宋简体" w:eastAsia="方正仿宋简体" w:cs="方正仿宋简体"/>
          <w:b/>
          <w:sz w:val="32"/>
          <w:szCs w:val="32"/>
        </w:rPr>
        <w:t>实施情况（项目完成情况）</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2022年我区城乡居民养老保险参保人数为37.18万人。实际缴费人数为16.17万人，个人缴费收入25432.51万元</w:t>
      </w:r>
      <w:r>
        <w:rPr>
          <w:rFonts w:hint="eastAsia" w:ascii="仿宋" w:hAnsi="仿宋" w:eastAsia="仿宋" w:cs="仿宋"/>
          <w:sz w:val="32"/>
          <w:szCs w:val="32"/>
          <w:lang w:eastAsia="zh-CN"/>
        </w:rPr>
        <w:t>，</w:t>
      </w:r>
      <w:r>
        <w:rPr>
          <w:rFonts w:hint="eastAsia" w:ascii="仿宋" w:hAnsi="仿宋" w:eastAsia="仿宋" w:cs="仿宋"/>
          <w:sz w:val="32"/>
          <w:szCs w:val="32"/>
        </w:rPr>
        <w:t>其中困难群众代缴收入213.93万元</w:t>
      </w:r>
      <w:r>
        <w:rPr>
          <w:rFonts w:hint="eastAsia" w:ascii="仿宋" w:hAnsi="仿宋" w:eastAsia="仿宋" w:cs="仿宋"/>
          <w:sz w:val="32"/>
          <w:szCs w:val="32"/>
          <w:lang w:eastAsia="zh-CN"/>
        </w:rPr>
        <w:t>，</w:t>
      </w:r>
      <w:r>
        <w:rPr>
          <w:rFonts w:hint="eastAsia" w:ascii="仿宋" w:hAnsi="仿宋" w:eastAsia="仿宋" w:cs="仿宋"/>
          <w:sz w:val="32"/>
          <w:szCs w:val="32"/>
        </w:rPr>
        <w:t>社保失地农民划入个账11374.88万元</w:t>
      </w:r>
      <w:r>
        <w:rPr>
          <w:rFonts w:hint="eastAsia" w:ascii="仿宋" w:hAnsi="仿宋" w:eastAsia="仿宋" w:cs="仿宋"/>
          <w:sz w:val="32"/>
          <w:szCs w:val="32"/>
          <w:lang w:eastAsia="zh-CN"/>
        </w:rPr>
        <w:t>，</w:t>
      </w:r>
      <w:r>
        <w:rPr>
          <w:rFonts w:hint="eastAsia" w:ascii="仿宋" w:hAnsi="仿宋" w:eastAsia="仿宋" w:cs="仿宋"/>
          <w:sz w:val="32"/>
          <w:szCs w:val="32"/>
        </w:rPr>
        <w:t>退捕渔民划入个账3.55万元</w:t>
      </w:r>
      <w:r>
        <w:rPr>
          <w:rFonts w:hint="eastAsia" w:ascii="仿宋" w:hAnsi="仿宋" w:eastAsia="仿宋" w:cs="仿宋"/>
          <w:sz w:val="32"/>
          <w:szCs w:val="32"/>
          <w:lang w:eastAsia="zh-CN"/>
        </w:rPr>
        <w:t>，</w:t>
      </w:r>
      <w:r>
        <w:rPr>
          <w:rFonts w:hint="eastAsia" w:ascii="仿宋" w:hAnsi="仿宋" w:eastAsia="仿宋" w:cs="仿宋"/>
          <w:sz w:val="32"/>
          <w:szCs w:val="32"/>
        </w:rPr>
        <w:t>税务代扣个人缴费13840.15万元。养老金年末实发人数为14.56万人，发放养老金支出23813.18万元，其中基础养老金支出19211.61万元，个人账户支出4601.57万元。城居保转移支出173.15万元。2022年底城居保市级统筹，上解市社保城居保结余支出91519.54万元。</w:t>
      </w:r>
    </w:p>
    <w:p>
      <w:pPr>
        <w:pStyle w:val="2"/>
        <w:numPr>
          <w:ilvl w:val="0"/>
          <w:numId w:val="4"/>
        </w:numPr>
        <w:spacing w:after="0" w:line="590" w:lineRule="exact"/>
        <w:ind w:firstLine="628" w:firstLineChars="196"/>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组织及管理（项目组织、管理流程及实际执行情况）</w:t>
      </w:r>
    </w:p>
    <w:p>
      <w:pPr>
        <w:pStyle w:val="2"/>
        <w:numPr>
          <w:ilvl w:val="0"/>
          <w:numId w:val="0"/>
        </w:numPr>
        <w:spacing w:after="0"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认真贯彻国务院（国发〔2014〕8号）和省政府（川府发〔2014〕23号）文件精神，进一步完善我区城乡居民基本养老保险制度，保证政策文件得到严格落实。为进一步加强内部控制，制定了《资阳市雁江区城乡居民养老保险内部控制制度》。设立六股一室，分管城乡居民养老保险的政策宣传、基金征集、待遇发放、财务、转移注销等方面；其中设立稽核股，负责履行调查、检查、评估、报告和建议职能，对基金的收支是否符合标准和规定</w:t>
      </w:r>
      <w:r>
        <w:rPr>
          <w:rFonts w:hint="eastAsia" w:ascii="仿宋" w:hAnsi="仿宋" w:eastAsia="仿宋" w:cs="仿宋"/>
          <w:sz w:val="32"/>
          <w:szCs w:val="32"/>
          <w:lang w:eastAsia="zh-CN"/>
        </w:rPr>
        <w:t>，</w:t>
      </w:r>
      <w:r>
        <w:rPr>
          <w:rFonts w:hint="eastAsia" w:ascii="仿宋" w:hAnsi="仿宋" w:eastAsia="仿宋" w:cs="仿宋"/>
          <w:sz w:val="32"/>
          <w:szCs w:val="32"/>
        </w:rPr>
        <w:t>是否存在社会保险基金被贪污、挪用、截留等现象进行定期、不定期检查。</w:t>
      </w:r>
    </w:p>
    <w:p>
      <w:pPr>
        <w:spacing w:line="590" w:lineRule="exact"/>
        <w:ind w:firstLine="640" w:firstLineChars="200"/>
        <w:rPr>
          <w:rFonts w:hint="eastAsia" w:ascii="方正仿宋_GBK" w:hAnsi="方正仿宋_GBK" w:eastAsia="方正仿宋_GBK" w:cs="方正仿宋_GBK"/>
          <w:sz w:val="32"/>
          <w:szCs w:val="32"/>
        </w:rPr>
      </w:pPr>
      <w:r>
        <w:rPr>
          <w:rFonts w:hint="eastAsia" w:ascii="仿宋" w:hAnsi="仿宋" w:eastAsia="仿宋" w:cs="仿宋"/>
          <w:sz w:val="32"/>
          <w:szCs w:val="32"/>
        </w:rPr>
        <w:t>城乡居民养老保险财政补助资金核算，配备专职会计和出纳，负责日常财务管理和会计工作。每月对票据及时进行核对、清理和入账，严格按照各项财务操作规程和资金管理办法进行会计核算，如实反映收支状况，每月与银行、财政三方对账。严格遵守财经纪律，加强监督和检查，确保资金安全和专款专用。</w:t>
      </w:r>
    </w:p>
    <w:p>
      <w:pPr>
        <w:pStyle w:val="2"/>
        <w:spacing w:after="0" w:line="590" w:lineRule="exact"/>
        <w:ind w:firstLine="630" w:firstLineChars="196"/>
        <w:rPr>
          <w:rFonts w:hint="eastAsia" w:ascii="宋体" w:hAnsi="宋体" w:eastAsia="方正楷体简体" w:cs="Times New Roman"/>
          <w:b/>
          <w:sz w:val="32"/>
          <w:szCs w:val="32"/>
        </w:rPr>
      </w:pPr>
      <w:r>
        <w:rPr>
          <w:rFonts w:hint="eastAsia" w:ascii="宋体" w:hAnsi="宋体" w:eastAsia="方正楷体简体" w:cs="Times New Roman"/>
          <w:b/>
          <w:sz w:val="32"/>
          <w:szCs w:val="32"/>
        </w:rPr>
        <w:t>（二）绩效目标</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城乡居民养老保险养老金及时足额发放到位和个人缴费补助按年补助到账户。截至2022年12月，城乡居民养老保险缴费人数是16.17万人，完成个人缴费补助914.8万元；完成养老金发放173.78万人次，发放养老金23813.18万元。</w:t>
      </w:r>
    </w:p>
    <w:p>
      <w:pPr>
        <w:spacing w:line="590" w:lineRule="exact"/>
        <w:ind w:firstLine="640" w:firstLineChars="200"/>
        <w:rPr>
          <w:rFonts w:hint="eastAsia" w:ascii="宋体" w:hAnsi="宋体" w:eastAsia="方正黑体简体"/>
          <w:sz w:val="32"/>
          <w:szCs w:val="32"/>
        </w:rPr>
      </w:pPr>
      <w:r>
        <w:rPr>
          <w:rFonts w:hint="eastAsia" w:ascii="宋体" w:hAnsi="宋体" w:eastAsia="方正黑体简体"/>
          <w:sz w:val="32"/>
          <w:szCs w:val="32"/>
        </w:rPr>
        <w:t>二、绩效自评工作情况</w:t>
      </w:r>
    </w:p>
    <w:p>
      <w:pPr>
        <w:pStyle w:val="2"/>
        <w:spacing w:after="0" w:line="590" w:lineRule="exact"/>
        <w:ind w:firstLine="630" w:firstLineChars="196"/>
        <w:rPr>
          <w:rFonts w:hint="eastAsia" w:ascii="宋体" w:hAnsi="宋体" w:eastAsia="方正楷体简体"/>
          <w:b/>
          <w:sz w:val="32"/>
          <w:szCs w:val="32"/>
        </w:rPr>
      </w:pPr>
      <w:r>
        <w:rPr>
          <w:rFonts w:hint="eastAsia" w:ascii="宋体" w:hAnsi="宋体" w:eastAsia="方正楷体简体"/>
          <w:b/>
          <w:sz w:val="32"/>
          <w:szCs w:val="32"/>
        </w:rPr>
        <w:t>（一）自评工作组织领导</w:t>
      </w:r>
    </w:p>
    <w:p>
      <w:pPr>
        <w:spacing w:line="590" w:lineRule="exact"/>
        <w:rPr>
          <w:rFonts w:hint="eastAsia" w:ascii="仿宋" w:hAnsi="仿宋" w:eastAsia="仿宋" w:cs="仿宋"/>
          <w:sz w:val="32"/>
          <w:szCs w:val="32"/>
        </w:rPr>
      </w:pPr>
      <w:r>
        <w:rPr>
          <w:rFonts w:hint="eastAsia" w:ascii="方正仿宋简体" w:hAnsi="方正仿宋简体" w:eastAsia="方正仿宋简体" w:cs="方正仿宋简体"/>
        </w:rPr>
        <w:t xml:space="preserve">     </w:t>
      </w:r>
      <w:r>
        <w:rPr>
          <w:rFonts w:hint="eastAsia" w:ascii="方正仿宋简体" w:hAnsi="方正仿宋简体" w:eastAsia="方正仿宋简体" w:cs="方正仿宋简体"/>
          <w:sz w:val="32"/>
          <w:szCs w:val="32"/>
        </w:rPr>
        <w:t xml:space="preserve"> </w:t>
      </w:r>
      <w:r>
        <w:rPr>
          <w:rFonts w:hint="eastAsia" w:ascii="仿宋" w:hAnsi="仿宋" w:eastAsia="仿宋" w:cs="仿宋"/>
          <w:sz w:val="32"/>
          <w:szCs w:val="32"/>
        </w:rPr>
        <w:t>按照《资阳市雁江区财政局关于印发&lt;雁江区财政支出绩效评价管理办法&gt;的通知》（资雁财发〔2020〕146号）规定，成立城乡居民基本养老保险补助项目绩效评价小组，由局长为组长，副局长为副组长，财务股牵头，办公室、稽核股、政策法规股协助。严格按文件要求，理清本次绩效评价的基本内容，积极开展自评， 客观打分，撰写自评报告。</w:t>
      </w:r>
    </w:p>
    <w:p>
      <w:pPr>
        <w:pStyle w:val="2"/>
        <w:spacing w:after="0" w:line="590" w:lineRule="exact"/>
        <w:ind w:firstLine="630" w:firstLineChars="196"/>
        <w:rPr>
          <w:rFonts w:hint="eastAsia" w:ascii="宋体" w:hAnsi="宋体" w:eastAsia="方正楷体简体"/>
          <w:b/>
          <w:sz w:val="32"/>
          <w:szCs w:val="32"/>
        </w:rPr>
      </w:pPr>
      <w:r>
        <w:rPr>
          <w:rFonts w:hint="eastAsia" w:ascii="宋体" w:hAnsi="宋体" w:eastAsia="方正楷体简体"/>
          <w:b/>
          <w:sz w:val="32"/>
          <w:szCs w:val="32"/>
        </w:rPr>
        <w:t>（二）自评方式、方法、重点等</w:t>
      </w:r>
    </w:p>
    <w:p>
      <w:pPr>
        <w:spacing w:line="590" w:lineRule="exact"/>
        <w:rPr>
          <w:rFonts w:hint="eastAsia" w:ascii="仿宋" w:hAnsi="仿宋" w:eastAsia="仿宋" w:cs="仿宋"/>
          <w:sz w:val="32"/>
          <w:szCs w:val="32"/>
        </w:rPr>
      </w:pPr>
      <w:r>
        <w:rPr>
          <w:rFonts w:hint="eastAsia" w:ascii="方正仿宋简体" w:hAnsi="方正仿宋简体" w:eastAsia="方正仿宋简体" w:cs="方正仿宋简体"/>
          <w:sz w:val="32"/>
          <w:szCs w:val="32"/>
        </w:rPr>
        <w:t xml:space="preserve">    </w:t>
      </w:r>
      <w:r>
        <w:rPr>
          <w:rFonts w:hint="eastAsia" w:ascii="仿宋" w:hAnsi="仿宋" w:eastAsia="仿宋" w:cs="仿宋"/>
          <w:sz w:val="32"/>
          <w:szCs w:val="32"/>
        </w:rPr>
        <w:t>本次关于城乡居民养老保险补助绩效项目的自评方法为公众评判法，抽取单位6名同志，分别进行评分，取平均值对项目绩效考评指标进行评价。考评的重点是4个方面，包括城乡居民基本养老保险补助项目的立项、资金保障、管理制度、资金使用、财务监管、完成情况和效益等。</w:t>
      </w:r>
    </w:p>
    <w:p>
      <w:pPr>
        <w:spacing w:line="590" w:lineRule="exact"/>
        <w:ind w:firstLine="640" w:firstLineChars="200"/>
        <w:rPr>
          <w:rFonts w:hint="eastAsia" w:ascii="宋体" w:hAnsi="宋体" w:eastAsia="方正黑体简体"/>
          <w:sz w:val="32"/>
          <w:szCs w:val="32"/>
        </w:rPr>
      </w:pPr>
      <w:r>
        <w:rPr>
          <w:rFonts w:hint="eastAsia" w:ascii="宋体" w:hAnsi="宋体" w:eastAsia="方正黑体简体"/>
          <w:sz w:val="32"/>
          <w:szCs w:val="32"/>
        </w:rPr>
        <w:t>三、评价结论</w:t>
      </w:r>
    </w:p>
    <w:p>
      <w:pPr>
        <w:spacing w:line="590" w:lineRule="exact"/>
        <w:rPr>
          <w:rFonts w:hint="eastAsia" w:ascii="仿宋" w:hAnsi="仿宋" w:eastAsia="仿宋" w:cs="仿宋"/>
        </w:rPr>
      </w:pPr>
      <w:r>
        <w:rPr>
          <w:rFonts w:hint="eastAsia" w:ascii="方正仿宋简体" w:hAnsi="方正仿宋简体" w:eastAsia="方正仿宋简体" w:cs="方正仿宋简体"/>
          <w:sz w:val="32"/>
          <w:szCs w:val="32"/>
        </w:rPr>
        <w:t xml:space="preserve">   </w:t>
      </w:r>
      <w:r>
        <w:rPr>
          <w:rFonts w:hint="eastAsia" w:ascii="方正仿宋_GBK" w:hAnsi="方正仿宋_GBK" w:eastAsia="方正仿宋_GBK" w:cs="方正仿宋_GBK"/>
          <w:sz w:val="32"/>
          <w:szCs w:val="32"/>
        </w:rPr>
        <w:t xml:space="preserve"> </w:t>
      </w:r>
      <w:r>
        <w:rPr>
          <w:rFonts w:hint="eastAsia" w:ascii="仿宋" w:hAnsi="仿宋" w:eastAsia="仿宋" w:cs="仿宋"/>
          <w:sz w:val="32"/>
          <w:szCs w:val="32"/>
        </w:rPr>
        <w:t>通过项目绩效考评小组的认真自评，城乡居民基本养老保险补助项目的绩效评价得分为94分，等级为优。</w:t>
      </w:r>
    </w:p>
    <w:p>
      <w:pPr>
        <w:spacing w:line="590" w:lineRule="exact"/>
        <w:ind w:firstLine="640" w:firstLineChars="200"/>
        <w:rPr>
          <w:rFonts w:hint="eastAsia" w:ascii="宋体" w:hAnsi="宋体" w:eastAsia="方正黑体简体"/>
          <w:sz w:val="32"/>
          <w:szCs w:val="32"/>
        </w:rPr>
      </w:pPr>
      <w:r>
        <w:rPr>
          <w:rFonts w:hint="eastAsia" w:ascii="宋体" w:hAnsi="宋体" w:eastAsia="方正黑体简体"/>
          <w:sz w:val="32"/>
          <w:szCs w:val="32"/>
        </w:rPr>
        <w:t>四、绩效分析</w:t>
      </w:r>
    </w:p>
    <w:p>
      <w:pPr>
        <w:spacing w:line="590" w:lineRule="exact"/>
        <w:rPr>
          <w:rFonts w:hint="eastAsia" w:ascii="宋体" w:hAnsi="宋体" w:cs="宋体"/>
          <w:color w:val="auto"/>
          <w:sz w:val="32"/>
          <w:szCs w:val="32"/>
        </w:rPr>
      </w:pPr>
      <w:r>
        <w:rPr>
          <w:rFonts w:hint="eastAsia" w:ascii="方正仿宋简体" w:hAnsi="方正仿宋简体" w:eastAsia="方正仿宋简体" w:cs="方正仿宋简体"/>
          <w:color w:val="0000FF"/>
          <w:sz w:val="32"/>
          <w:szCs w:val="32"/>
        </w:rPr>
        <w:t xml:space="preserve">   </w:t>
      </w:r>
      <w:r>
        <w:rPr>
          <w:rFonts w:hint="eastAsia" w:ascii="宋体" w:hAnsi="宋体" w:cs="宋体"/>
          <w:color w:val="0000FF"/>
          <w:sz w:val="32"/>
          <w:szCs w:val="32"/>
        </w:rPr>
        <w:t xml:space="preserve"> </w:t>
      </w:r>
      <w:r>
        <w:rPr>
          <w:rFonts w:hint="eastAsia" w:ascii="仿宋" w:hAnsi="仿宋" w:eastAsia="仿宋" w:cs="仿宋"/>
          <w:color w:val="auto"/>
          <w:sz w:val="32"/>
          <w:szCs w:val="32"/>
        </w:rPr>
        <w:t>城乡居民基本养老保险补助资金落实方面，城乡居民养老保险各项工作经费到位不及时，原因是地方财力困难。</w:t>
      </w:r>
    </w:p>
    <w:p>
      <w:pPr>
        <w:spacing w:line="590" w:lineRule="exact"/>
        <w:ind w:firstLine="640" w:firstLineChars="200"/>
        <w:rPr>
          <w:rFonts w:hint="eastAsia" w:ascii="宋体" w:hAnsi="宋体" w:eastAsia="方正黑体简体"/>
          <w:sz w:val="32"/>
          <w:szCs w:val="32"/>
        </w:rPr>
      </w:pPr>
      <w:r>
        <w:rPr>
          <w:rFonts w:hint="eastAsia" w:ascii="宋体" w:hAnsi="宋体" w:eastAsia="方正黑体简体"/>
          <w:sz w:val="32"/>
          <w:szCs w:val="32"/>
        </w:rPr>
        <w:t>五、主要经验及做法、存在的问题和建议</w:t>
      </w:r>
    </w:p>
    <w:p>
      <w:pPr>
        <w:pStyle w:val="2"/>
        <w:spacing w:after="0" w:line="590" w:lineRule="exact"/>
        <w:ind w:firstLine="630" w:firstLineChars="196"/>
        <w:rPr>
          <w:rFonts w:hint="eastAsia" w:ascii="宋体" w:hAnsi="宋体" w:eastAsia="方正楷体简体"/>
          <w:b/>
          <w:sz w:val="32"/>
          <w:szCs w:val="32"/>
        </w:rPr>
      </w:pPr>
      <w:r>
        <w:rPr>
          <w:rFonts w:hint="eastAsia" w:ascii="宋体" w:hAnsi="宋体" w:eastAsia="方正楷体简体"/>
          <w:b/>
          <w:sz w:val="32"/>
          <w:szCs w:val="32"/>
        </w:rPr>
        <w:t>（一）主要经验及做法</w:t>
      </w:r>
    </w:p>
    <w:p>
      <w:pPr>
        <w:spacing w:line="590" w:lineRule="exact"/>
        <w:rPr>
          <w:rFonts w:hint="eastAsia" w:ascii="仿宋" w:hAnsi="仿宋" w:eastAsia="仿宋" w:cs="仿宋"/>
          <w:sz w:val="32"/>
          <w:szCs w:val="32"/>
        </w:rPr>
      </w:pPr>
      <w:r>
        <w:rPr>
          <w:rFonts w:hint="eastAsia" w:ascii="方正仿宋简体" w:hAnsi="方正仿宋简体" w:eastAsia="方正仿宋简体" w:cs="方正仿宋简体"/>
          <w:sz w:val="32"/>
          <w:szCs w:val="32"/>
        </w:rPr>
        <w:t xml:space="preserve">    </w:t>
      </w:r>
      <w:r>
        <w:rPr>
          <w:rFonts w:hint="eastAsia" w:ascii="仿宋" w:hAnsi="仿宋" w:eastAsia="仿宋" w:cs="仿宋"/>
          <w:sz w:val="32"/>
          <w:szCs w:val="32"/>
        </w:rPr>
        <w:t>我区城乡居民基本养老保险参保覆盖面扩大，2022年我区城乡居民养老保险年末参保人数为37.18万人。工作人员秉持办事热心、服务贴心、办事细心的工作思路，对待办事群众热情接待，耐心询问，详细解答，使群众满意而归，群众对城乡居保工作的满意度较高。</w:t>
      </w:r>
    </w:p>
    <w:p>
      <w:pPr>
        <w:pStyle w:val="2"/>
        <w:spacing w:after="0" w:line="590" w:lineRule="exact"/>
        <w:ind w:firstLine="630" w:firstLineChars="196"/>
        <w:rPr>
          <w:rFonts w:hint="eastAsia" w:ascii="宋体" w:hAnsi="宋体" w:eastAsia="方正楷体简体"/>
          <w:b/>
          <w:sz w:val="32"/>
          <w:szCs w:val="32"/>
        </w:rPr>
      </w:pPr>
      <w:r>
        <w:rPr>
          <w:rFonts w:hint="eastAsia" w:ascii="宋体" w:hAnsi="宋体" w:eastAsia="方正楷体简体"/>
          <w:b/>
          <w:sz w:val="32"/>
          <w:szCs w:val="32"/>
        </w:rPr>
        <w:t>（二）存在的问题</w:t>
      </w:r>
    </w:p>
    <w:p>
      <w:pPr>
        <w:snapToGrid w:val="0"/>
        <w:spacing w:line="590" w:lineRule="exact"/>
        <w:ind w:firstLine="72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城居保政策对中青年城乡居民，特别是16-35周岁城乡居民的参保吸引力不够。</w:t>
      </w:r>
    </w:p>
    <w:p>
      <w:pPr>
        <w:snapToGrid w:val="0"/>
        <w:spacing w:line="590" w:lineRule="exact"/>
        <w:ind w:firstLine="72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城乡居民基本养老保险财政补助资金偏低，不足以保障城乡老人生活需要，不能从根本上解决这一弱势群体的现状。</w:t>
      </w:r>
    </w:p>
    <w:p>
      <w:pPr>
        <w:snapToGrid w:val="0"/>
        <w:spacing w:line="590" w:lineRule="exact"/>
        <w:ind w:firstLine="72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城乡居民基本养老保险财政补助工作经费到位不及时。</w:t>
      </w:r>
    </w:p>
    <w:p>
      <w:pPr>
        <w:pStyle w:val="2"/>
        <w:spacing w:after="0" w:line="590" w:lineRule="exact"/>
        <w:ind w:firstLine="630" w:firstLineChars="196"/>
        <w:rPr>
          <w:rFonts w:hint="eastAsia" w:ascii="宋体" w:hAnsi="宋体" w:eastAsia="方正楷体简体"/>
          <w:b/>
          <w:sz w:val="32"/>
          <w:szCs w:val="32"/>
        </w:rPr>
      </w:pPr>
      <w:r>
        <w:rPr>
          <w:rFonts w:hint="eastAsia" w:ascii="宋体" w:hAnsi="宋体" w:eastAsia="方正楷体简体"/>
          <w:b/>
          <w:sz w:val="32"/>
          <w:szCs w:val="32"/>
        </w:rPr>
        <w:t>（三）建议和改进措施</w:t>
      </w:r>
    </w:p>
    <w:p>
      <w:pPr>
        <w:snapToGrid w:val="0"/>
        <w:spacing w:line="590" w:lineRule="exact"/>
        <w:ind w:firstLine="72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继续制定鼓励中青年城乡居民积极参保、长缴多得的政策，建立缴费年限与基础养老金待遇之间的动态激励机制。</w:t>
      </w:r>
    </w:p>
    <w:p>
      <w:pPr>
        <w:snapToGrid w:val="0"/>
        <w:spacing w:line="590" w:lineRule="exact"/>
        <w:ind w:firstLine="72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完善筹资机制和待遇调整机制，在财力许可的条件下，适当提高基础养老金补助标准。</w:t>
      </w:r>
    </w:p>
    <w:p>
      <w:pPr>
        <w:pStyle w:val="2"/>
        <w:keepNext w:val="0"/>
        <w:keepLines w:val="0"/>
        <w:pageBreakBefore w:val="0"/>
        <w:widowControl w:val="0"/>
        <w:kinsoku/>
        <w:wordWrap/>
        <w:overflowPunct/>
        <w:topLinePunct w:val="0"/>
        <w:autoSpaceDE/>
        <w:autoSpaceDN/>
        <w:bidi w:val="0"/>
        <w:adjustRightInd/>
        <w:spacing w:after="0" w:line="590" w:lineRule="exact"/>
        <w:ind w:left="0" w:leftChars="0" w:right="0" w:rightChars="0" w:firstLine="630" w:firstLineChars="196"/>
        <w:textAlignment w:val="auto"/>
        <w:outlineLvl w:val="9"/>
        <w:rPr>
          <w:rFonts w:hint="eastAsia" w:ascii="宋体" w:hAnsi="宋体" w:eastAsia="宋体" w:cs="宋体"/>
          <w:b/>
          <w:sz w:val="32"/>
          <w:szCs w:val="32"/>
        </w:rPr>
      </w:pPr>
    </w:p>
    <w:p>
      <w:pPr>
        <w:numPr>
          <w:ilvl w:val="0"/>
          <w:numId w:val="0"/>
        </w:numPr>
        <w:spacing w:line="600" w:lineRule="exact"/>
        <w:outlineLvl w:val="0"/>
        <w:rPr>
          <w:rStyle w:val="24"/>
          <w:rFonts w:hint="eastAsia" w:ascii="黑体" w:hAnsi="黑体" w:eastAsia="黑体"/>
          <w:b w:val="0"/>
        </w:rPr>
      </w:pPr>
      <w:r>
        <w:rPr>
          <w:rStyle w:val="24"/>
          <w:rFonts w:hint="eastAsia" w:ascii="黑体" w:hAnsi="黑体" w:eastAsia="黑体"/>
          <w:b w:val="0"/>
          <w:lang w:eastAsia="zh-CN"/>
        </w:rPr>
        <w:t>第五部分</w:t>
      </w:r>
      <w:r>
        <w:rPr>
          <w:rStyle w:val="24"/>
          <w:rFonts w:hint="eastAsia" w:ascii="黑体" w:hAnsi="黑体" w:eastAsia="黑体"/>
          <w:b w:val="0"/>
        </w:rPr>
        <w:t>附表</w:t>
      </w:r>
      <w:bookmarkEnd w:id="58"/>
      <w:bookmarkEnd w:id="61"/>
      <w:bookmarkStart w:id="62" w:name="_Toc15396619"/>
    </w:p>
    <w:p>
      <w:pPr>
        <w:numPr>
          <w:ilvl w:val="0"/>
          <w:numId w:val="5"/>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收入支出决算总表</w:t>
      </w:r>
      <w:bookmarkEnd w:id="62"/>
      <w:bookmarkStart w:id="63" w:name="_Toc15396620"/>
    </w:p>
    <w:p>
      <w:pPr>
        <w:numPr>
          <w:ilvl w:val="0"/>
          <w:numId w:val="5"/>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收入决算表</w:t>
      </w:r>
      <w:bookmarkEnd w:id="63"/>
      <w:bookmarkStart w:id="64" w:name="_Toc15396621"/>
    </w:p>
    <w:p>
      <w:pPr>
        <w:numPr>
          <w:ilvl w:val="0"/>
          <w:numId w:val="5"/>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支出决算表</w:t>
      </w:r>
      <w:bookmarkEnd w:id="64"/>
      <w:bookmarkStart w:id="65" w:name="_Toc15396622"/>
    </w:p>
    <w:p>
      <w:pPr>
        <w:numPr>
          <w:ilvl w:val="0"/>
          <w:numId w:val="5"/>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财政拨款收入支出决算总表</w:t>
      </w:r>
      <w:bookmarkEnd w:id="65"/>
      <w:bookmarkStart w:id="66" w:name="_Toc15396623"/>
    </w:p>
    <w:p>
      <w:pPr>
        <w:numPr>
          <w:ilvl w:val="0"/>
          <w:numId w:val="5"/>
        </w:numPr>
        <w:spacing w:line="600" w:lineRule="exact"/>
        <w:ind w:left="-20" w:leftChars="0" w:firstLine="440" w:firstLine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财政拨款支出决算明细表</w:t>
      </w:r>
      <w:bookmarkEnd w:id="66"/>
      <w:bookmarkStart w:id="67" w:name="_Toc15396624"/>
    </w:p>
    <w:p>
      <w:pPr>
        <w:numPr>
          <w:ilvl w:val="0"/>
          <w:numId w:val="0"/>
        </w:numPr>
        <w:spacing w:line="600" w:lineRule="exact"/>
        <w:ind w:left="420" w:leftChars="0"/>
        <w:outlineLvl w:val="0"/>
        <w:rPr>
          <w:rFonts w:hint="eastAsia"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lang w:eastAsia="zh-CN"/>
        </w:rPr>
        <w:t>六、</w:t>
      </w:r>
      <w:r>
        <w:rPr>
          <w:rFonts w:hint="eastAsia" w:ascii="仿宋" w:hAnsi="仿宋" w:eastAsia="仿宋"/>
          <w:b w:val="0"/>
          <w:bCs w:val="0"/>
          <w:color w:val="000000" w:themeColor="text1"/>
          <w:sz w:val="30"/>
          <w:szCs w:val="30"/>
        </w:rPr>
        <w:t>一般公共预算财政拨款支出决算表</w:t>
      </w:r>
      <w:bookmarkEnd w:id="67"/>
      <w:bookmarkStart w:id="68" w:name="_Toc15396625"/>
    </w:p>
    <w:p>
      <w:pPr>
        <w:numPr>
          <w:ilvl w:val="0"/>
          <w:numId w:val="0"/>
        </w:numPr>
        <w:spacing w:line="600" w:lineRule="exact"/>
        <w:ind w:firstLine="300" w:firstLineChars="100"/>
        <w:outlineLvl w:val="0"/>
        <w:rPr>
          <w:rFonts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七、一般公共预算财政拨款支出决算明细表</w:t>
      </w:r>
      <w:bookmarkEnd w:id="68"/>
    </w:p>
    <w:p>
      <w:pPr>
        <w:pStyle w:val="4"/>
        <w:keepNext/>
        <w:keepLines/>
        <w:pageBreakBefore w:val="0"/>
        <w:widowControl w:val="0"/>
        <w:kinsoku/>
        <w:wordWrap/>
        <w:overflowPunct/>
        <w:topLinePunct w:val="0"/>
        <w:autoSpaceDE/>
        <w:autoSpaceDN/>
        <w:bidi w:val="0"/>
        <w:adjustRightInd/>
        <w:snapToGrid/>
        <w:spacing w:line="400" w:lineRule="exact"/>
        <w:ind w:firstLine="300" w:firstLineChars="100"/>
        <w:textAlignment w:val="auto"/>
        <w:rPr>
          <w:rFonts w:ascii="仿宋" w:hAnsi="仿宋" w:eastAsia="仿宋"/>
          <w:b w:val="0"/>
          <w:bCs w:val="0"/>
          <w:color w:val="000000" w:themeColor="text1"/>
          <w:sz w:val="30"/>
          <w:szCs w:val="30"/>
        </w:rPr>
      </w:pPr>
      <w:bookmarkStart w:id="69" w:name="_Toc15396626"/>
      <w:r>
        <w:rPr>
          <w:rFonts w:hint="eastAsia" w:ascii="仿宋" w:hAnsi="仿宋" w:eastAsia="仿宋"/>
          <w:b w:val="0"/>
          <w:bCs w:val="0"/>
          <w:color w:val="000000" w:themeColor="text1"/>
          <w:sz w:val="30"/>
          <w:szCs w:val="30"/>
        </w:rPr>
        <w:t>八、一般公共预算财政拨款基本支出决算表</w:t>
      </w:r>
      <w:bookmarkEnd w:id="69"/>
    </w:p>
    <w:p>
      <w:pPr>
        <w:pStyle w:val="4"/>
        <w:keepNext/>
        <w:keepLines/>
        <w:pageBreakBefore w:val="0"/>
        <w:widowControl w:val="0"/>
        <w:kinsoku/>
        <w:wordWrap/>
        <w:overflowPunct/>
        <w:topLinePunct w:val="0"/>
        <w:autoSpaceDE/>
        <w:autoSpaceDN/>
        <w:bidi w:val="0"/>
        <w:adjustRightInd/>
        <w:snapToGrid/>
        <w:spacing w:line="400" w:lineRule="exact"/>
        <w:ind w:firstLine="300" w:firstLineChars="100"/>
        <w:textAlignment w:val="auto"/>
        <w:rPr>
          <w:rFonts w:ascii="仿宋" w:hAnsi="仿宋" w:eastAsia="仿宋"/>
          <w:b w:val="0"/>
          <w:bCs w:val="0"/>
          <w:color w:val="000000" w:themeColor="text1"/>
          <w:sz w:val="30"/>
          <w:szCs w:val="30"/>
        </w:rPr>
      </w:pPr>
      <w:bookmarkStart w:id="70" w:name="_Toc15396627"/>
      <w:r>
        <w:rPr>
          <w:rFonts w:hint="eastAsia" w:ascii="仿宋" w:hAnsi="仿宋" w:eastAsia="仿宋"/>
          <w:b w:val="0"/>
          <w:bCs w:val="0"/>
          <w:color w:val="000000" w:themeColor="text1"/>
          <w:sz w:val="30"/>
          <w:szCs w:val="30"/>
        </w:rPr>
        <w:t>九、一般公共预算财政拨款项目支出决算表</w:t>
      </w:r>
      <w:bookmarkEnd w:id="70"/>
    </w:p>
    <w:p>
      <w:pPr>
        <w:pStyle w:val="4"/>
        <w:keepNext/>
        <w:keepLines/>
        <w:pageBreakBefore w:val="0"/>
        <w:widowControl w:val="0"/>
        <w:kinsoku/>
        <w:wordWrap/>
        <w:overflowPunct/>
        <w:topLinePunct w:val="0"/>
        <w:autoSpaceDE/>
        <w:autoSpaceDN/>
        <w:bidi w:val="0"/>
        <w:adjustRightInd/>
        <w:snapToGrid/>
        <w:spacing w:line="400" w:lineRule="exact"/>
        <w:ind w:firstLine="300" w:firstLineChars="100"/>
        <w:textAlignment w:val="auto"/>
        <w:rPr>
          <w:rFonts w:ascii="仿宋" w:hAnsi="仿宋" w:eastAsia="仿宋"/>
          <w:b w:val="0"/>
          <w:bCs w:val="0"/>
          <w:color w:val="000000" w:themeColor="text1"/>
          <w:sz w:val="30"/>
          <w:szCs w:val="30"/>
        </w:rPr>
      </w:pPr>
      <w:bookmarkStart w:id="71" w:name="_Toc15396628"/>
      <w:r>
        <w:rPr>
          <w:rFonts w:hint="eastAsia" w:ascii="仿宋" w:hAnsi="仿宋" w:eastAsia="仿宋"/>
          <w:b w:val="0"/>
          <w:bCs w:val="0"/>
          <w:color w:val="000000" w:themeColor="text1"/>
          <w:sz w:val="30"/>
          <w:szCs w:val="30"/>
        </w:rPr>
        <w:t>十、一般公共预算财政拨款“三公”经费支出决算表</w:t>
      </w:r>
      <w:bookmarkEnd w:id="71"/>
    </w:p>
    <w:p>
      <w:pPr>
        <w:pStyle w:val="4"/>
        <w:keepNext/>
        <w:keepLines/>
        <w:pageBreakBefore w:val="0"/>
        <w:widowControl w:val="0"/>
        <w:kinsoku/>
        <w:wordWrap/>
        <w:overflowPunct/>
        <w:topLinePunct w:val="0"/>
        <w:autoSpaceDE/>
        <w:autoSpaceDN/>
        <w:bidi w:val="0"/>
        <w:adjustRightInd/>
        <w:snapToGrid/>
        <w:spacing w:line="400" w:lineRule="exact"/>
        <w:ind w:firstLine="300" w:firstLineChars="100"/>
        <w:textAlignment w:val="auto"/>
        <w:rPr>
          <w:rFonts w:ascii="仿宋" w:hAnsi="仿宋" w:eastAsia="仿宋"/>
          <w:b w:val="0"/>
          <w:bCs w:val="0"/>
          <w:color w:val="000000" w:themeColor="text1"/>
          <w:sz w:val="30"/>
          <w:szCs w:val="30"/>
        </w:rPr>
      </w:pPr>
      <w:bookmarkStart w:id="72" w:name="_Toc15396629"/>
      <w:r>
        <w:rPr>
          <w:rFonts w:hint="eastAsia" w:ascii="仿宋" w:hAnsi="仿宋" w:eastAsia="仿宋"/>
          <w:b w:val="0"/>
          <w:bCs w:val="0"/>
          <w:color w:val="000000" w:themeColor="text1"/>
          <w:sz w:val="30"/>
          <w:szCs w:val="30"/>
        </w:rPr>
        <w:t>十一、政府性基金预算财政拨款收入支出决算表</w:t>
      </w:r>
      <w:bookmarkEnd w:id="72"/>
    </w:p>
    <w:p>
      <w:pPr>
        <w:pStyle w:val="4"/>
        <w:keepNext/>
        <w:keepLines/>
        <w:pageBreakBefore w:val="0"/>
        <w:widowControl w:val="0"/>
        <w:kinsoku/>
        <w:wordWrap/>
        <w:overflowPunct/>
        <w:topLinePunct w:val="0"/>
        <w:autoSpaceDE/>
        <w:autoSpaceDN/>
        <w:bidi w:val="0"/>
        <w:adjustRightInd/>
        <w:snapToGrid/>
        <w:spacing w:line="400" w:lineRule="exact"/>
        <w:ind w:firstLine="300" w:firstLineChars="100"/>
        <w:textAlignment w:val="auto"/>
        <w:rPr>
          <w:rFonts w:ascii="仿宋" w:hAnsi="仿宋" w:eastAsia="仿宋"/>
          <w:b w:val="0"/>
          <w:bCs w:val="0"/>
          <w:color w:val="000000" w:themeColor="text1"/>
          <w:sz w:val="30"/>
          <w:szCs w:val="30"/>
        </w:rPr>
      </w:pPr>
      <w:bookmarkStart w:id="73" w:name="_Toc15396630"/>
      <w:r>
        <w:rPr>
          <w:rFonts w:hint="eastAsia" w:ascii="仿宋" w:hAnsi="仿宋" w:eastAsia="仿宋"/>
          <w:b w:val="0"/>
          <w:bCs w:val="0"/>
          <w:color w:val="000000" w:themeColor="text1"/>
          <w:sz w:val="30"/>
          <w:szCs w:val="30"/>
        </w:rPr>
        <w:t>十二、政府性基金预算财政拨款“三公”经费支出决算表</w:t>
      </w:r>
      <w:bookmarkEnd w:id="73"/>
    </w:p>
    <w:p>
      <w:pPr>
        <w:pStyle w:val="4"/>
        <w:keepNext/>
        <w:keepLines/>
        <w:pageBreakBefore w:val="0"/>
        <w:widowControl w:val="0"/>
        <w:kinsoku/>
        <w:wordWrap/>
        <w:overflowPunct/>
        <w:topLinePunct w:val="0"/>
        <w:autoSpaceDE/>
        <w:autoSpaceDN/>
        <w:bidi w:val="0"/>
        <w:adjustRightInd/>
        <w:snapToGrid/>
        <w:spacing w:line="400" w:lineRule="exact"/>
        <w:ind w:firstLine="300" w:firstLineChars="100"/>
        <w:textAlignment w:val="auto"/>
        <w:rPr>
          <w:rFonts w:hint="eastAsia" w:ascii="仿宋" w:hAnsi="仿宋" w:eastAsia="仿宋"/>
          <w:b w:val="0"/>
          <w:bCs w:val="0"/>
          <w:color w:val="000000" w:themeColor="text1"/>
          <w:sz w:val="30"/>
          <w:szCs w:val="30"/>
        </w:rPr>
      </w:pPr>
      <w:bookmarkStart w:id="74" w:name="_Toc15396631"/>
      <w:r>
        <w:rPr>
          <w:rFonts w:hint="eastAsia" w:ascii="仿宋" w:hAnsi="仿宋" w:eastAsia="仿宋"/>
          <w:b w:val="0"/>
          <w:bCs w:val="0"/>
          <w:color w:val="000000" w:themeColor="text1"/>
          <w:sz w:val="30"/>
          <w:szCs w:val="30"/>
        </w:rPr>
        <w:t>十三、国有资本经营预算财政拨款支出决算表</w:t>
      </w:r>
      <w:bookmarkEnd w:id="74"/>
    </w:p>
    <w:p>
      <w:pPr>
        <w:pStyle w:val="4"/>
        <w:keepNext/>
        <w:keepLines/>
        <w:pageBreakBefore w:val="0"/>
        <w:widowControl w:val="0"/>
        <w:kinsoku/>
        <w:wordWrap/>
        <w:overflowPunct/>
        <w:topLinePunct w:val="0"/>
        <w:autoSpaceDE/>
        <w:autoSpaceDN/>
        <w:bidi w:val="0"/>
        <w:adjustRightInd/>
        <w:snapToGrid/>
        <w:spacing w:line="400" w:lineRule="exact"/>
        <w:ind w:firstLine="300" w:firstLineChars="100"/>
        <w:textAlignment w:val="auto"/>
        <w:rPr>
          <w:rFonts w:ascii="仿宋" w:hAnsi="仿宋" w:eastAsia="仿宋"/>
          <w:b w:val="0"/>
          <w:bCs w:val="0"/>
          <w:color w:val="000000" w:themeColor="text1"/>
          <w:sz w:val="30"/>
          <w:szCs w:val="30"/>
        </w:rPr>
      </w:pPr>
      <w:r>
        <w:rPr>
          <w:rFonts w:hint="eastAsia" w:ascii="仿宋" w:hAnsi="仿宋" w:eastAsia="仿宋"/>
          <w:b w:val="0"/>
          <w:bCs w:val="0"/>
          <w:color w:val="000000" w:themeColor="text1"/>
          <w:sz w:val="30"/>
          <w:szCs w:val="30"/>
        </w:rPr>
        <w:t>十四、国有资本经营预算财政拨款支出决算表</w:t>
      </w:r>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val="0"/>
          <w:bCs w:val="0"/>
          <w:color w:val="000000" w:themeColor="text1"/>
          <w:sz w:val="30"/>
          <w:szCs w:val="30"/>
        </w:rPr>
      </w:pPr>
    </w:p>
    <w:sectPr>
      <w:footerReference r:id="rId8" w:type="first"/>
      <w:headerReference r:id="rId6" w:type="default"/>
      <w:footerReference r:id="rId7" w:type="default"/>
      <w:pgSz w:w="11906" w:h="16838"/>
      <w:pgMar w:top="1440" w:right="1800" w:bottom="1440" w:left="1800" w:header="851" w:footer="992" w:gutter="0"/>
      <w:pgNumType w:fmt="decimal" w:start="17"/>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楷体简体">
    <w:altName w:val="楷体_GB2312"/>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4114" o:spid="_x0000_s411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320" w:firstLineChars="2400"/>
    </w:pPr>
    <w:r>
      <w:rPr>
        <w:rFonts w:hint="eastAsia"/>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960" w:firstLineChars="2200"/>
      <w:rPr>
        <w:rFonts w:hint="default" w:eastAsia="宋体"/>
        <w:lang w:val="en-US" w:eastAsia="zh-CN"/>
      </w:rPr>
    </w:pPr>
    <w:r>
      <w:rPr>
        <w:sz w:val="18"/>
      </w:rPr>
      <w:pict>
        <v:shape id="_x0000_s4115" o:spid="_x0000_s411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w:r>
  </w:p>
  <w:p>
    <w:pPr>
      <w:pStyle w:val="8"/>
      <w:ind w:firstLine="3960" w:firstLineChars="2200"/>
      <w:rPr>
        <w:rFonts w:hint="default"/>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320" w:firstLineChars="2400"/>
    </w:pPr>
    <w:r>
      <w:rPr>
        <w:sz w:val="18"/>
      </w:rPr>
      <w:pict>
        <v:shape id="_x0000_s4116" o:spid="_x0000_s411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19</w:t>
                </w:r>
                <w:r>
                  <w:fldChar w:fldCharType="end"/>
                </w:r>
              </w:p>
            </w:txbxContent>
          </v:textbox>
        </v:shape>
      </w:pict>
    </w:r>
  </w:p>
  <w:p>
    <w:pPr>
      <w:pStyle w:val="8"/>
      <w:ind w:firstLine="4320" w:firstLineChars="24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A08FA2F"/>
    <w:multiLevelType w:val="singleLevel"/>
    <w:tmpl w:val="EA08FA2F"/>
    <w:lvl w:ilvl="0" w:tentative="0">
      <w:start w:val="4"/>
      <w:numFmt w:val="decimal"/>
      <w:suff w:val="nothing"/>
      <w:lvlText w:val="%1．"/>
      <w:lvlJc w:val="left"/>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3CFA209"/>
    <w:multiLevelType w:val="singleLevel"/>
    <w:tmpl w:val="13CFA209"/>
    <w:lvl w:ilvl="0" w:tentative="0">
      <w:start w:val="1"/>
      <w:numFmt w:val="chineseCounting"/>
      <w:suff w:val="nothing"/>
      <w:lvlText w:val="%1、"/>
      <w:lvlJc w:val="left"/>
      <w:pPr>
        <w:ind w:left="-20"/>
      </w:pPr>
      <w:rPr>
        <w:rFonts w:hint="eastAsia"/>
      </w:r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g5NjgyYTAwMGIyZmI3YjY3NGRhMWM3MDlhYmQ2NzQifQ=="/>
  </w:docVars>
  <w:rsids>
    <w:rsidRoot w:val="00F1361C"/>
    <w:rsid w:val="00021629"/>
    <w:rsid w:val="000222C6"/>
    <w:rsid w:val="0002549F"/>
    <w:rsid w:val="00027EF0"/>
    <w:rsid w:val="0003385C"/>
    <w:rsid w:val="00046DB1"/>
    <w:rsid w:val="00051A2A"/>
    <w:rsid w:val="00057A88"/>
    <w:rsid w:val="00061438"/>
    <w:rsid w:val="0006487A"/>
    <w:rsid w:val="00065F8F"/>
    <w:rsid w:val="000768F2"/>
    <w:rsid w:val="0009184B"/>
    <w:rsid w:val="00092509"/>
    <w:rsid w:val="0009593C"/>
    <w:rsid w:val="000A47FD"/>
    <w:rsid w:val="000A7568"/>
    <w:rsid w:val="000B047F"/>
    <w:rsid w:val="000B5923"/>
    <w:rsid w:val="000B5A48"/>
    <w:rsid w:val="000B6FF3"/>
    <w:rsid w:val="000C09A1"/>
    <w:rsid w:val="000C3467"/>
    <w:rsid w:val="000C3CA6"/>
    <w:rsid w:val="000D1267"/>
    <w:rsid w:val="000D1D50"/>
    <w:rsid w:val="000D5782"/>
    <w:rsid w:val="000E03AC"/>
    <w:rsid w:val="000E60B1"/>
    <w:rsid w:val="000E6613"/>
    <w:rsid w:val="000E7119"/>
    <w:rsid w:val="000F3483"/>
    <w:rsid w:val="00101502"/>
    <w:rsid w:val="0011445A"/>
    <w:rsid w:val="00114E9B"/>
    <w:rsid w:val="0014729F"/>
    <w:rsid w:val="0015513F"/>
    <w:rsid w:val="001553D4"/>
    <w:rsid w:val="00157BAB"/>
    <w:rsid w:val="00162226"/>
    <w:rsid w:val="001654D1"/>
    <w:rsid w:val="0018106D"/>
    <w:rsid w:val="001877A7"/>
    <w:rsid w:val="00191536"/>
    <w:rsid w:val="00196687"/>
    <w:rsid w:val="001A7127"/>
    <w:rsid w:val="001B6039"/>
    <w:rsid w:val="001C0962"/>
    <w:rsid w:val="001D7531"/>
    <w:rsid w:val="001E737D"/>
    <w:rsid w:val="001F0336"/>
    <w:rsid w:val="001F0592"/>
    <w:rsid w:val="001F7506"/>
    <w:rsid w:val="002006CD"/>
    <w:rsid w:val="00202B36"/>
    <w:rsid w:val="00204B7A"/>
    <w:rsid w:val="00205F15"/>
    <w:rsid w:val="00207852"/>
    <w:rsid w:val="0021101A"/>
    <w:rsid w:val="00212E5E"/>
    <w:rsid w:val="002144E8"/>
    <w:rsid w:val="00217069"/>
    <w:rsid w:val="00220536"/>
    <w:rsid w:val="00235629"/>
    <w:rsid w:val="00246AC4"/>
    <w:rsid w:val="00251E3F"/>
    <w:rsid w:val="00260C38"/>
    <w:rsid w:val="002616C0"/>
    <w:rsid w:val="002658CF"/>
    <w:rsid w:val="002662AA"/>
    <w:rsid w:val="00277CED"/>
    <w:rsid w:val="00280496"/>
    <w:rsid w:val="00280C77"/>
    <w:rsid w:val="00295495"/>
    <w:rsid w:val="002B2613"/>
    <w:rsid w:val="002B700C"/>
    <w:rsid w:val="002C4E4C"/>
    <w:rsid w:val="002D6AD7"/>
    <w:rsid w:val="002F0D36"/>
    <w:rsid w:val="002F1818"/>
    <w:rsid w:val="002F567B"/>
    <w:rsid w:val="003029E2"/>
    <w:rsid w:val="00306E0B"/>
    <w:rsid w:val="003216A9"/>
    <w:rsid w:val="003433C0"/>
    <w:rsid w:val="00345C56"/>
    <w:rsid w:val="0037013F"/>
    <w:rsid w:val="003777C1"/>
    <w:rsid w:val="00380C92"/>
    <w:rsid w:val="00382DEE"/>
    <w:rsid w:val="003835D5"/>
    <w:rsid w:val="003A484F"/>
    <w:rsid w:val="003B0BE0"/>
    <w:rsid w:val="003B0C1B"/>
    <w:rsid w:val="003B688C"/>
    <w:rsid w:val="003C0291"/>
    <w:rsid w:val="003C173C"/>
    <w:rsid w:val="003C39AE"/>
    <w:rsid w:val="003C7B60"/>
    <w:rsid w:val="003D1FB2"/>
    <w:rsid w:val="003D21B2"/>
    <w:rsid w:val="003D66DA"/>
    <w:rsid w:val="003E1310"/>
    <w:rsid w:val="003E6F55"/>
    <w:rsid w:val="00405A24"/>
    <w:rsid w:val="00406254"/>
    <w:rsid w:val="004223DE"/>
    <w:rsid w:val="00434489"/>
    <w:rsid w:val="00437085"/>
    <w:rsid w:val="0044367E"/>
    <w:rsid w:val="00443880"/>
    <w:rsid w:val="004464F4"/>
    <w:rsid w:val="00450C60"/>
    <w:rsid w:val="004677EB"/>
    <w:rsid w:val="00471401"/>
    <w:rsid w:val="00473F31"/>
    <w:rsid w:val="00476B60"/>
    <w:rsid w:val="0048263A"/>
    <w:rsid w:val="00487E5D"/>
    <w:rsid w:val="004A711F"/>
    <w:rsid w:val="004B199D"/>
    <w:rsid w:val="004B4690"/>
    <w:rsid w:val="004B5E32"/>
    <w:rsid w:val="004D5DBC"/>
    <w:rsid w:val="004E0A2D"/>
    <w:rsid w:val="004E206B"/>
    <w:rsid w:val="004E4D69"/>
    <w:rsid w:val="004E6DF7"/>
    <w:rsid w:val="004F0FBD"/>
    <w:rsid w:val="004F1622"/>
    <w:rsid w:val="004F7AA4"/>
    <w:rsid w:val="00505A47"/>
    <w:rsid w:val="00512FDA"/>
    <w:rsid w:val="00520DA0"/>
    <w:rsid w:val="00535E7A"/>
    <w:rsid w:val="005664BB"/>
    <w:rsid w:val="0057481D"/>
    <w:rsid w:val="0058486E"/>
    <w:rsid w:val="00592A3F"/>
    <w:rsid w:val="005B05C5"/>
    <w:rsid w:val="005D1C8B"/>
    <w:rsid w:val="005D5CED"/>
    <w:rsid w:val="005F1A4C"/>
    <w:rsid w:val="00605688"/>
    <w:rsid w:val="00606BA5"/>
    <w:rsid w:val="006070AF"/>
    <w:rsid w:val="00607E6C"/>
    <w:rsid w:val="006101B1"/>
    <w:rsid w:val="00611289"/>
    <w:rsid w:val="00614E44"/>
    <w:rsid w:val="00617C8D"/>
    <w:rsid w:val="00622830"/>
    <w:rsid w:val="00630AEF"/>
    <w:rsid w:val="006325F8"/>
    <w:rsid w:val="00634C9A"/>
    <w:rsid w:val="006374C7"/>
    <w:rsid w:val="006440E4"/>
    <w:rsid w:val="00644DEC"/>
    <w:rsid w:val="0066343B"/>
    <w:rsid w:val="00663E46"/>
    <w:rsid w:val="00664777"/>
    <w:rsid w:val="006748A4"/>
    <w:rsid w:val="00683D78"/>
    <w:rsid w:val="00683E73"/>
    <w:rsid w:val="006A3141"/>
    <w:rsid w:val="006A5E34"/>
    <w:rsid w:val="006B2422"/>
    <w:rsid w:val="006B2B9A"/>
    <w:rsid w:val="006B6562"/>
    <w:rsid w:val="006C1937"/>
    <w:rsid w:val="006C33ED"/>
    <w:rsid w:val="006F020C"/>
    <w:rsid w:val="006F6904"/>
    <w:rsid w:val="007127B7"/>
    <w:rsid w:val="00720471"/>
    <w:rsid w:val="007416B6"/>
    <w:rsid w:val="0074411D"/>
    <w:rsid w:val="00746F48"/>
    <w:rsid w:val="0075404D"/>
    <w:rsid w:val="0076182A"/>
    <w:rsid w:val="0076260B"/>
    <w:rsid w:val="00767B7E"/>
    <w:rsid w:val="007770C3"/>
    <w:rsid w:val="00784D24"/>
    <w:rsid w:val="00785FBA"/>
    <w:rsid w:val="00786E4A"/>
    <w:rsid w:val="007875EB"/>
    <w:rsid w:val="0079426B"/>
    <w:rsid w:val="00795958"/>
    <w:rsid w:val="007C3078"/>
    <w:rsid w:val="007C532A"/>
    <w:rsid w:val="007D312A"/>
    <w:rsid w:val="007D3F19"/>
    <w:rsid w:val="007E23B0"/>
    <w:rsid w:val="007E6A10"/>
    <w:rsid w:val="007F1991"/>
    <w:rsid w:val="007F2C2F"/>
    <w:rsid w:val="007F55FC"/>
    <w:rsid w:val="007F5665"/>
    <w:rsid w:val="00800112"/>
    <w:rsid w:val="008076A0"/>
    <w:rsid w:val="00811A96"/>
    <w:rsid w:val="008253BB"/>
    <w:rsid w:val="00830794"/>
    <w:rsid w:val="00836813"/>
    <w:rsid w:val="0083706E"/>
    <w:rsid w:val="008423A5"/>
    <w:rsid w:val="00846033"/>
    <w:rsid w:val="00846D7E"/>
    <w:rsid w:val="00850625"/>
    <w:rsid w:val="00853718"/>
    <w:rsid w:val="00853C4F"/>
    <w:rsid w:val="00855221"/>
    <w:rsid w:val="00860645"/>
    <w:rsid w:val="00867FFD"/>
    <w:rsid w:val="00871F71"/>
    <w:rsid w:val="00885AF4"/>
    <w:rsid w:val="008939CD"/>
    <w:rsid w:val="008B768C"/>
    <w:rsid w:val="008C4DB1"/>
    <w:rsid w:val="008C4EAF"/>
    <w:rsid w:val="008C5176"/>
    <w:rsid w:val="008C7FD0"/>
    <w:rsid w:val="008E1DE7"/>
    <w:rsid w:val="008E4D0D"/>
    <w:rsid w:val="008E707C"/>
    <w:rsid w:val="008E7ACD"/>
    <w:rsid w:val="00900B08"/>
    <w:rsid w:val="00902155"/>
    <w:rsid w:val="00902FA3"/>
    <w:rsid w:val="0091310B"/>
    <w:rsid w:val="00923564"/>
    <w:rsid w:val="0092392E"/>
    <w:rsid w:val="009315F9"/>
    <w:rsid w:val="00940A9F"/>
    <w:rsid w:val="00946945"/>
    <w:rsid w:val="00951248"/>
    <w:rsid w:val="0095152F"/>
    <w:rsid w:val="00954C49"/>
    <w:rsid w:val="0096130C"/>
    <w:rsid w:val="0097099F"/>
    <w:rsid w:val="00971997"/>
    <w:rsid w:val="00971FFC"/>
    <w:rsid w:val="00972B5A"/>
    <w:rsid w:val="0098660A"/>
    <w:rsid w:val="009931C3"/>
    <w:rsid w:val="009B1C1F"/>
    <w:rsid w:val="009B2C43"/>
    <w:rsid w:val="009B4EAE"/>
    <w:rsid w:val="009B7573"/>
    <w:rsid w:val="009C22F4"/>
    <w:rsid w:val="009C2E98"/>
    <w:rsid w:val="009C512B"/>
    <w:rsid w:val="009D3447"/>
    <w:rsid w:val="009D4711"/>
    <w:rsid w:val="009E25F3"/>
    <w:rsid w:val="009F1185"/>
    <w:rsid w:val="009F18CD"/>
    <w:rsid w:val="009F2A13"/>
    <w:rsid w:val="00A04EB0"/>
    <w:rsid w:val="00A13CC1"/>
    <w:rsid w:val="00A16847"/>
    <w:rsid w:val="00A237D8"/>
    <w:rsid w:val="00A268C4"/>
    <w:rsid w:val="00A307CD"/>
    <w:rsid w:val="00A363DA"/>
    <w:rsid w:val="00A40A00"/>
    <w:rsid w:val="00A4142F"/>
    <w:rsid w:val="00A504DE"/>
    <w:rsid w:val="00A56DF2"/>
    <w:rsid w:val="00A67AB5"/>
    <w:rsid w:val="00A715E7"/>
    <w:rsid w:val="00A8092F"/>
    <w:rsid w:val="00A81B1F"/>
    <w:rsid w:val="00A87120"/>
    <w:rsid w:val="00A91760"/>
    <w:rsid w:val="00A93B00"/>
    <w:rsid w:val="00A93C21"/>
    <w:rsid w:val="00AC3C6A"/>
    <w:rsid w:val="00AD37AD"/>
    <w:rsid w:val="00AD5620"/>
    <w:rsid w:val="00AD6624"/>
    <w:rsid w:val="00AD7C1B"/>
    <w:rsid w:val="00AE16BA"/>
    <w:rsid w:val="00AE1EBE"/>
    <w:rsid w:val="00B03C9D"/>
    <w:rsid w:val="00B060AE"/>
    <w:rsid w:val="00B10517"/>
    <w:rsid w:val="00B14E76"/>
    <w:rsid w:val="00B161B8"/>
    <w:rsid w:val="00B2048C"/>
    <w:rsid w:val="00B26DB5"/>
    <w:rsid w:val="00B310B9"/>
    <w:rsid w:val="00B318E8"/>
    <w:rsid w:val="00B32474"/>
    <w:rsid w:val="00B35F3F"/>
    <w:rsid w:val="00B369B5"/>
    <w:rsid w:val="00B36CBB"/>
    <w:rsid w:val="00B425E0"/>
    <w:rsid w:val="00B440AA"/>
    <w:rsid w:val="00B44B70"/>
    <w:rsid w:val="00B53C56"/>
    <w:rsid w:val="00B64C48"/>
    <w:rsid w:val="00B77EA6"/>
    <w:rsid w:val="00B81598"/>
    <w:rsid w:val="00B8311F"/>
    <w:rsid w:val="00B841F1"/>
    <w:rsid w:val="00B944D6"/>
    <w:rsid w:val="00BA69C7"/>
    <w:rsid w:val="00BB2956"/>
    <w:rsid w:val="00BB4DF0"/>
    <w:rsid w:val="00BC289F"/>
    <w:rsid w:val="00BC2DEF"/>
    <w:rsid w:val="00BC5361"/>
    <w:rsid w:val="00BC5460"/>
    <w:rsid w:val="00BC6B50"/>
    <w:rsid w:val="00BC6F99"/>
    <w:rsid w:val="00BD0E25"/>
    <w:rsid w:val="00BE0967"/>
    <w:rsid w:val="00BF0E19"/>
    <w:rsid w:val="00BF2193"/>
    <w:rsid w:val="00BF5BD6"/>
    <w:rsid w:val="00C03E31"/>
    <w:rsid w:val="00C33E72"/>
    <w:rsid w:val="00C354B2"/>
    <w:rsid w:val="00C35554"/>
    <w:rsid w:val="00C35E13"/>
    <w:rsid w:val="00C42709"/>
    <w:rsid w:val="00C533CC"/>
    <w:rsid w:val="00C5751C"/>
    <w:rsid w:val="00C61BFC"/>
    <w:rsid w:val="00C62B85"/>
    <w:rsid w:val="00C63954"/>
    <w:rsid w:val="00C65438"/>
    <w:rsid w:val="00C66F8D"/>
    <w:rsid w:val="00C91CBB"/>
    <w:rsid w:val="00CA24BD"/>
    <w:rsid w:val="00CC09B6"/>
    <w:rsid w:val="00CC666F"/>
    <w:rsid w:val="00CD1E3F"/>
    <w:rsid w:val="00CD3B9D"/>
    <w:rsid w:val="00CE44F6"/>
    <w:rsid w:val="00CE49DA"/>
    <w:rsid w:val="00CE7B61"/>
    <w:rsid w:val="00D00095"/>
    <w:rsid w:val="00D104FE"/>
    <w:rsid w:val="00D13D70"/>
    <w:rsid w:val="00D20620"/>
    <w:rsid w:val="00D26091"/>
    <w:rsid w:val="00D34E7C"/>
    <w:rsid w:val="00D35489"/>
    <w:rsid w:val="00D51276"/>
    <w:rsid w:val="00D62D6E"/>
    <w:rsid w:val="00D67B7D"/>
    <w:rsid w:val="00D7035F"/>
    <w:rsid w:val="00D84109"/>
    <w:rsid w:val="00D878FF"/>
    <w:rsid w:val="00DA65AC"/>
    <w:rsid w:val="00DB1913"/>
    <w:rsid w:val="00DB283C"/>
    <w:rsid w:val="00DC410D"/>
    <w:rsid w:val="00DC68CA"/>
    <w:rsid w:val="00DC7CBA"/>
    <w:rsid w:val="00DD2AB1"/>
    <w:rsid w:val="00DD73B7"/>
    <w:rsid w:val="00DE483D"/>
    <w:rsid w:val="00DE5926"/>
    <w:rsid w:val="00DF28BC"/>
    <w:rsid w:val="00DF34B9"/>
    <w:rsid w:val="00DF5F65"/>
    <w:rsid w:val="00E01053"/>
    <w:rsid w:val="00E071CF"/>
    <w:rsid w:val="00E07ACF"/>
    <w:rsid w:val="00E331A1"/>
    <w:rsid w:val="00E33202"/>
    <w:rsid w:val="00E336A9"/>
    <w:rsid w:val="00E50624"/>
    <w:rsid w:val="00E568DF"/>
    <w:rsid w:val="00E64269"/>
    <w:rsid w:val="00E721C8"/>
    <w:rsid w:val="00E77AE0"/>
    <w:rsid w:val="00E82267"/>
    <w:rsid w:val="00E955B2"/>
    <w:rsid w:val="00EA010F"/>
    <w:rsid w:val="00EB1BDB"/>
    <w:rsid w:val="00ED1B63"/>
    <w:rsid w:val="00ED3C1F"/>
    <w:rsid w:val="00ED4085"/>
    <w:rsid w:val="00ED420E"/>
    <w:rsid w:val="00EE003C"/>
    <w:rsid w:val="00EE2F57"/>
    <w:rsid w:val="00EF4C34"/>
    <w:rsid w:val="00EF77C6"/>
    <w:rsid w:val="00F05438"/>
    <w:rsid w:val="00F1361C"/>
    <w:rsid w:val="00F160C7"/>
    <w:rsid w:val="00F221B8"/>
    <w:rsid w:val="00F36D8F"/>
    <w:rsid w:val="00F417B1"/>
    <w:rsid w:val="00F532BD"/>
    <w:rsid w:val="00F602DF"/>
    <w:rsid w:val="00F81FD9"/>
    <w:rsid w:val="00F83E6D"/>
    <w:rsid w:val="00F841AA"/>
    <w:rsid w:val="00FA23E8"/>
    <w:rsid w:val="00FA5D7F"/>
    <w:rsid w:val="00FA744C"/>
    <w:rsid w:val="00FD3CC1"/>
    <w:rsid w:val="00FE7B94"/>
    <w:rsid w:val="00FF1E02"/>
    <w:rsid w:val="00FF30B4"/>
    <w:rsid w:val="00FF5492"/>
    <w:rsid w:val="01031E17"/>
    <w:rsid w:val="011A68BA"/>
    <w:rsid w:val="012F5F9F"/>
    <w:rsid w:val="013423DD"/>
    <w:rsid w:val="014337F8"/>
    <w:rsid w:val="0159126E"/>
    <w:rsid w:val="015B687E"/>
    <w:rsid w:val="0168074B"/>
    <w:rsid w:val="016E25CF"/>
    <w:rsid w:val="01B37529"/>
    <w:rsid w:val="01BA5D1F"/>
    <w:rsid w:val="01CD3C79"/>
    <w:rsid w:val="01D32DCE"/>
    <w:rsid w:val="01D7465B"/>
    <w:rsid w:val="01DA128A"/>
    <w:rsid w:val="01DD30D5"/>
    <w:rsid w:val="01ED540F"/>
    <w:rsid w:val="01EF332C"/>
    <w:rsid w:val="01EF5448"/>
    <w:rsid w:val="020411DA"/>
    <w:rsid w:val="025657AD"/>
    <w:rsid w:val="025C7268"/>
    <w:rsid w:val="025C7D57"/>
    <w:rsid w:val="02615987"/>
    <w:rsid w:val="02734A19"/>
    <w:rsid w:val="0281282A"/>
    <w:rsid w:val="028D05EE"/>
    <w:rsid w:val="02A270B3"/>
    <w:rsid w:val="02A7093C"/>
    <w:rsid w:val="02B726F0"/>
    <w:rsid w:val="02BE582C"/>
    <w:rsid w:val="02D7069C"/>
    <w:rsid w:val="02EC697D"/>
    <w:rsid w:val="02F33501"/>
    <w:rsid w:val="03011BBD"/>
    <w:rsid w:val="030336D4"/>
    <w:rsid w:val="030C714C"/>
    <w:rsid w:val="030F5382"/>
    <w:rsid w:val="031371EE"/>
    <w:rsid w:val="031679BC"/>
    <w:rsid w:val="031730A2"/>
    <w:rsid w:val="031A4A2D"/>
    <w:rsid w:val="031D1FE9"/>
    <w:rsid w:val="031E3E87"/>
    <w:rsid w:val="03231B33"/>
    <w:rsid w:val="03280EF8"/>
    <w:rsid w:val="03342883"/>
    <w:rsid w:val="035371AE"/>
    <w:rsid w:val="03541CED"/>
    <w:rsid w:val="035A307B"/>
    <w:rsid w:val="035C6DF3"/>
    <w:rsid w:val="035F580C"/>
    <w:rsid w:val="036F78F2"/>
    <w:rsid w:val="0370293F"/>
    <w:rsid w:val="03717031"/>
    <w:rsid w:val="0374413D"/>
    <w:rsid w:val="0383485D"/>
    <w:rsid w:val="03DB2778"/>
    <w:rsid w:val="03EA608E"/>
    <w:rsid w:val="03FF224C"/>
    <w:rsid w:val="040000C7"/>
    <w:rsid w:val="040459F9"/>
    <w:rsid w:val="04247911"/>
    <w:rsid w:val="04294F27"/>
    <w:rsid w:val="04304467"/>
    <w:rsid w:val="043242D8"/>
    <w:rsid w:val="044B0CB2"/>
    <w:rsid w:val="044D3693"/>
    <w:rsid w:val="044F669B"/>
    <w:rsid w:val="045B70AB"/>
    <w:rsid w:val="045E66DD"/>
    <w:rsid w:val="0466617C"/>
    <w:rsid w:val="04754611"/>
    <w:rsid w:val="04793359"/>
    <w:rsid w:val="048F2F88"/>
    <w:rsid w:val="049B394B"/>
    <w:rsid w:val="049C1E24"/>
    <w:rsid w:val="049C4F1D"/>
    <w:rsid w:val="04AC7907"/>
    <w:rsid w:val="04C37804"/>
    <w:rsid w:val="04CB5934"/>
    <w:rsid w:val="04CE7C28"/>
    <w:rsid w:val="04D27AE5"/>
    <w:rsid w:val="04D63863"/>
    <w:rsid w:val="04EA1031"/>
    <w:rsid w:val="04F20AC8"/>
    <w:rsid w:val="04F27E52"/>
    <w:rsid w:val="04FA22CE"/>
    <w:rsid w:val="05096B07"/>
    <w:rsid w:val="053A5CA0"/>
    <w:rsid w:val="05422229"/>
    <w:rsid w:val="054226DD"/>
    <w:rsid w:val="054C2543"/>
    <w:rsid w:val="055973B3"/>
    <w:rsid w:val="05665D07"/>
    <w:rsid w:val="057E74F5"/>
    <w:rsid w:val="057F5DDB"/>
    <w:rsid w:val="05816FE5"/>
    <w:rsid w:val="058E0F35"/>
    <w:rsid w:val="059211F2"/>
    <w:rsid w:val="05A86320"/>
    <w:rsid w:val="05AC28FA"/>
    <w:rsid w:val="05B0488A"/>
    <w:rsid w:val="05B649B3"/>
    <w:rsid w:val="05C0366A"/>
    <w:rsid w:val="05E355AA"/>
    <w:rsid w:val="05F45FD1"/>
    <w:rsid w:val="05FA7288"/>
    <w:rsid w:val="05FB28F4"/>
    <w:rsid w:val="0600601E"/>
    <w:rsid w:val="06341513"/>
    <w:rsid w:val="063677C0"/>
    <w:rsid w:val="0639166E"/>
    <w:rsid w:val="06467372"/>
    <w:rsid w:val="0658557F"/>
    <w:rsid w:val="0659586C"/>
    <w:rsid w:val="0659642A"/>
    <w:rsid w:val="06612713"/>
    <w:rsid w:val="06716126"/>
    <w:rsid w:val="067F3525"/>
    <w:rsid w:val="068C59DA"/>
    <w:rsid w:val="068F128E"/>
    <w:rsid w:val="06902A39"/>
    <w:rsid w:val="06943A63"/>
    <w:rsid w:val="069B2CEE"/>
    <w:rsid w:val="069D39AB"/>
    <w:rsid w:val="06AB67B4"/>
    <w:rsid w:val="06AE7966"/>
    <w:rsid w:val="06B70F10"/>
    <w:rsid w:val="06C8311C"/>
    <w:rsid w:val="06CE3170"/>
    <w:rsid w:val="06D84494"/>
    <w:rsid w:val="06D87E0E"/>
    <w:rsid w:val="06E7387E"/>
    <w:rsid w:val="06FD6AC2"/>
    <w:rsid w:val="06FF6413"/>
    <w:rsid w:val="070B0A62"/>
    <w:rsid w:val="070F3673"/>
    <w:rsid w:val="07261BF2"/>
    <w:rsid w:val="07413D11"/>
    <w:rsid w:val="07442E42"/>
    <w:rsid w:val="077010BF"/>
    <w:rsid w:val="077C329C"/>
    <w:rsid w:val="07837317"/>
    <w:rsid w:val="078E1545"/>
    <w:rsid w:val="07911066"/>
    <w:rsid w:val="079B25E0"/>
    <w:rsid w:val="07A133DE"/>
    <w:rsid w:val="07A271A9"/>
    <w:rsid w:val="07AD196E"/>
    <w:rsid w:val="07B23206"/>
    <w:rsid w:val="07BA3E57"/>
    <w:rsid w:val="07D8724D"/>
    <w:rsid w:val="07E13D6B"/>
    <w:rsid w:val="080F08D8"/>
    <w:rsid w:val="08197B2D"/>
    <w:rsid w:val="082176FF"/>
    <w:rsid w:val="082C3238"/>
    <w:rsid w:val="082C4D3D"/>
    <w:rsid w:val="082F6B9C"/>
    <w:rsid w:val="08567810"/>
    <w:rsid w:val="08603F93"/>
    <w:rsid w:val="086606AA"/>
    <w:rsid w:val="087D3A94"/>
    <w:rsid w:val="08891D09"/>
    <w:rsid w:val="088E1EFA"/>
    <w:rsid w:val="088E3149"/>
    <w:rsid w:val="08917061"/>
    <w:rsid w:val="08931509"/>
    <w:rsid w:val="08A07782"/>
    <w:rsid w:val="08A52FEB"/>
    <w:rsid w:val="08A85E9F"/>
    <w:rsid w:val="08C12E43"/>
    <w:rsid w:val="08C50564"/>
    <w:rsid w:val="08CC5FB4"/>
    <w:rsid w:val="08D00067"/>
    <w:rsid w:val="08D33EFF"/>
    <w:rsid w:val="08D86F1C"/>
    <w:rsid w:val="08F915EE"/>
    <w:rsid w:val="09011CCE"/>
    <w:rsid w:val="09104908"/>
    <w:rsid w:val="091C32AD"/>
    <w:rsid w:val="092108C3"/>
    <w:rsid w:val="092F6328"/>
    <w:rsid w:val="09420839"/>
    <w:rsid w:val="095C18FB"/>
    <w:rsid w:val="096B1B3E"/>
    <w:rsid w:val="098C541B"/>
    <w:rsid w:val="09951D8B"/>
    <w:rsid w:val="09A57787"/>
    <w:rsid w:val="09B01C47"/>
    <w:rsid w:val="09BF1E8A"/>
    <w:rsid w:val="09CD6822"/>
    <w:rsid w:val="09D41DD9"/>
    <w:rsid w:val="09DC2A3C"/>
    <w:rsid w:val="09E44B54"/>
    <w:rsid w:val="09EA33AB"/>
    <w:rsid w:val="09F25641"/>
    <w:rsid w:val="0A05592F"/>
    <w:rsid w:val="0A0B12A0"/>
    <w:rsid w:val="0A15678C"/>
    <w:rsid w:val="0A282177"/>
    <w:rsid w:val="0A2D5046"/>
    <w:rsid w:val="0A3208AE"/>
    <w:rsid w:val="0A334D52"/>
    <w:rsid w:val="0A3E25F9"/>
    <w:rsid w:val="0A3E7253"/>
    <w:rsid w:val="0A42189D"/>
    <w:rsid w:val="0A51342A"/>
    <w:rsid w:val="0A595E3B"/>
    <w:rsid w:val="0A6E3832"/>
    <w:rsid w:val="0A8C48CC"/>
    <w:rsid w:val="0AAC240E"/>
    <w:rsid w:val="0AB660AA"/>
    <w:rsid w:val="0AC534A4"/>
    <w:rsid w:val="0AD81455"/>
    <w:rsid w:val="0ADB2CF4"/>
    <w:rsid w:val="0ADD4CBE"/>
    <w:rsid w:val="0AE477D1"/>
    <w:rsid w:val="0AEC6CAF"/>
    <w:rsid w:val="0B1C6B8A"/>
    <w:rsid w:val="0B23115C"/>
    <w:rsid w:val="0B3D750A"/>
    <w:rsid w:val="0B424B21"/>
    <w:rsid w:val="0B472137"/>
    <w:rsid w:val="0B544ED7"/>
    <w:rsid w:val="0B5841A2"/>
    <w:rsid w:val="0B754EF6"/>
    <w:rsid w:val="0B7B3F84"/>
    <w:rsid w:val="0B911894"/>
    <w:rsid w:val="0BB2614A"/>
    <w:rsid w:val="0BC269C0"/>
    <w:rsid w:val="0BDA0215"/>
    <w:rsid w:val="0BE029D4"/>
    <w:rsid w:val="0BE960DE"/>
    <w:rsid w:val="0BF02CC6"/>
    <w:rsid w:val="0BFA5821"/>
    <w:rsid w:val="0C063DA0"/>
    <w:rsid w:val="0C081B8E"/>
    <w:rsid w:val="0C0A1AE2"/>
    <w:rsid w:val="0C0B585A"/>
    <w:rsid w:val="0C126752"/>
    <w:rsid w:val="0C186167"/>
    <w:rsid w:val="0C22170A"/>
    <w:rsid w:val="0C3257B0"/>
    <w:rsid w:val="0C34090D"/>
    <w:rsid w:val="0C3A3CC4"/>
    <w:rsid w:val="0C411CA0"/>
    <w:rsid w:val="0C4548C9"/>
    <w:rsid w:val="0C48722B"/>
    <w:rsid w:val="0C551F7D"/>
    <w:rsid w:val="0C656D19"/>
    <w:rsid w:val="0C847513"/>
    <w:rsid w:val="0C913FB2"/>
    <w:rsid w:val="0C9233E5"/>
    <w:rsid w:val="0C963E85"/>
    <w:rsid w:val="0CBE467B"/>
    <w:rsid w:val="0CC25F19"/>
    <w:rsid w:val="0CDB6FDB"/>
    <w:rsid w:val="0CE24F06"/>
    <w:rsid w:val="0CF63E15"/>
    <w:rsid w:val="0CFD1755"/>
    <w:rsid w:val="0D020D44"/>
    <w:rsid w:val="0D050F1D"/>
    <w:rsid w:val="0D0522AA"/>
    <w:rsid w:val="0D1307E8"/>
    <w:rsid w:val="0D181FDD"/>
    <w:rsid w:val="0D310B72"/>
    <w:rsid w:val="0D332A18"/>
    <w:rsid w:val="0D447276"/>
    <w:rsid w:val="0D461432"/>
    <w:rsid w:val="0D51729D"/>
    <w:rsid w:val="0D566680"/>
    <w:rsid w:val="0D633CB5"/>
    <w:rsid w:val="0D643474"/>
    <w:rsid w:val="0D664107"/>
    <w:rsid w:val="0D6945E7"/>
    <w:rsid w:val="0D7212A1"/>
    <w:rsid w:val="0D7A2C98"/>
    <w:rsid w:val="0D8B4596"/>
    <w:rsid w:val="0D9440E9"/>
    <w:rsid w:val="0D98311E"/>
    <w:rsid w:val="0D9B325A"/>
    <w:rsid w:val="0D9D6978"/>
    <w:rsid w:val="0DA25D4B"/>
    <w:rsid w:val="0DA946F6"/>
    <w:rsid w:val="0DB00467"/>
    <w:rsid w:val="0DB056E3"/>
    <w:rsid w:val="0DBD0B8E"/>
    <w:rsid w:val="0E0559ED"/>
    <w:rsid w:val="0E080489"/>
    <w:rsid w:val="0E0D58BA"/>
    <w:rsid w:val="0E113460"/>
    <w:rsid w:val="0E2B5D40"/>
    <w:rsid w:val="0E2E2393"/>
    <w:rsid w:val="0E332D1B"/>
    <w:rsid w:val="0E345492"/>
    <w:rsid w:val="0E3E5A73"/>
    <w:rsid w:val="0E5C02D2"/>
    <w:rsid w:val="0E7B2823"/>
    <w:rsid w:val="0E8B5B70"/>
    <w:rsid w:val="0E8C4A31"/>
    <w:rsid w:val="0E8E083B"/>
    <w:rsid w:val="0E912047"/>
    <w:rsid w:val="0E9653D5"/>
    <w:rsid w:val="0EAD19D2"/>
    <w:rsid w:val="0EB21FBD"/>
    <w:rsid w:val="0EB556BE"/>
    <w:rsid w:val="0EBA65DC"/>
    <w:rsid w:val="0EBD0F88"/>
    <w:rsid w:val="0EC046DA"/>
    <w:rsid w:val="0ECA37AB"/>
    <w:rsid w:val="0EDB7766"/>
    <w:rsid w:val="0EF433C6"/>
    <w:rsid w:val="0F052A35"/>
    <w:rsid w:val="0F09066B"/>
    <w:rsid w:val="0F242EBB"/>
    <w:rsid w:val="0F276507"/>
    <w:rsid w:val="0F2F1860"/>
    <w:rsid w:val="0F463E1B"/>
    <w:rsid w:val="0F4E7322"/>
    <w:rsid w:val="0F515C7A"/>
    <w:rsid w:val="0F543075"/>
    <w:rsid w:val="0F625791"/>
    <w:rsid w:val="0F657030"/>
    <w:rsid w:val="0F7554C5"/>
    <w:rsid w:val="0F7D25CB"/>
    <w:rsid w:val="0F811BCD"/>
    <w:rsid w:val="0F8E02F6"/>
    <w:rsid w:val="0FA80411"/>
    <w:rsid w:val="0FB376EF"/>
    <w:rsid w:val="0FBF1115"/>
    <w:rsid w:val="0FC24482"/>
    <w:rsid w:val="0FD967EF"/>
    <w:rsid w:val="0FDB5E60"/>
    <w:rsid w:val="0FDF6D03"/>
    <w:rsid w:val="0FF113EB"/>
    <w:rsid w:val="0FFD1702"/>
    <w:rsid w:val="10014FAA"/>
    <w:rsid w:val="10102A1C"/>
    <w:rsid w:val="102567B2"/>
    <w:rsid w:val="102572D9"/>
    <w:rsid w:val="103233B6"/>
    <w:rsid w:val="104430E9"/>
    <w:rsid w:val="10480757"/>
    <w:rsid w:val="104C6289"/>
    <w:rsid w:val="10503ADC"/>
    <w:rsid w:val="105E7504"/>
    <w:rsid w:val="10703EDE"/>
    <w:rsid w:val="107D2094"/>
    <w:rsid w:val="10852692"/>
    <w:rsid w:val="109D0F89"/>
    <w:rsid w:val="10A06571"/>
    <w:rsid w:val="10B4201D"/>
    <w:rsid w:val="10B71B0D"/>
    <w:rsid w:val="10C055FF"/>
    <w:rsid w:val="10C16516"/>
    <w:rsid w:val="10D105A2"/>
    <w:rsid w:val="10D10E21"/>
    <w:rsid w:val="10D4446D"/>
    <w:rsid w:val="10E0122C"/>
    <w:rsid w:val="10E24DDC"/>
    <w:rsid w:val="10E32902"/>
    <w:rsid w:val="10E82069"/>
    <w:rsid w:val="10EA3C90"/>
    <w:rsid w:val="10F04D8E"/>
    <w:rsid w:val="10F7642B"/>
    <w:rsid w:val="10FD7E68"/>
    <w:rsid w:val="11415D19"/>
    <w:rsid w:val="115E19C9"/>
    <w:rsid w:val="116972AB"/>
    <w:rsid w:val="116A4929"/>
    <w:rsid w:val="1182211B"/>
    <w:rsid w:val="11937CAC"/>
    <w:rsid w:val="11B60016"/>
    <w:rsid w:val="11B6345D"/>
    <w:rsid w:val="11C24C0D"/>
    <w:rsid w:val="11CD55D1"/>
    <w:rsid w:val="11D02E86"/>
    <w:rsid w:val="11D13A3D"/>
    <w:rsid w:val="11D706B9"/>
    <w:rsid w:val="11D72A7F"/>
    <w:rsid w:val="11DB182B"/>
    <w:rsid w:val="11DD4866"/>
    <w:rsid w:val="11E13028"/>
    <w:rsid w:val="11F619FF"/>
    <w:rsid w:val="11FF376C"/>
    <w:rsid w:val="12010DCC"/>
    <w:rsid w:val="12104CD4"/>
    <w:rsid w:val="12192A7F"/>
    <w:rsid w:val="12274A70"/>
    <w:rsid w:val="12574B40"/>
    <w:rsid w:val="125A7F78"/>
    <w:rsid w:val="126B32E4"/>
    <w:rsid w:val="127246EF"/>
    <w:rsid w:val="1283557C"/>
    <w:rsid w:val="12891D6F"/>
    <w:rsid w:val="1294300B"/>
    <w:rsid w:val="12A72DAD"/>
    <w:rsid w:val="12B96010"/>
    <w:rsid w:val="12D603A9"/>
    <w:rsid w:val="12D70BC2"/>
    <w:rsid w:val="12E83E37"/>
    <w:rsid w:val="12E96FF7"/>
    <w:rsid w:val="12F43C94"/>
    <w:rsid w:val="13001549"/>
    <w:rsid w:val="13021765"/>
    <w:rsid w:val="13043EB9"/>
    <w:rsid w:val="13072220"/>
    <w:rsid w:val="13074C20"/>
    <w:rsid w:val="13082AF4"/>
    <w:rsid w:val="1319260B"/>
    <w:rsid w:val="13207718"/>
    <w:rsid w:val="13213EEF"/>
    <w:rsid w:val="13255454"/>
    <w:rsid w:val="13495E1A"/>
    <w:rsid w:val="134E6759"/>
    <w:rsid w:val="1356385F"/>
    <w:rsid w:val="135F4140"/>
    <w:rsid w:val="136715C8"/>
    <w:rsid w:val="13724AC8"/>
    <w:rsid w:val="137B0282"/>
    <w:rsid w:val="137F53D6"/>
    <w:rsid w:val="1380268A"/>
    <w:rsid w:val="1392396A"/>
    <w:rsid w:val="139514F3"/>
    <w:rsid w:val="13A3687D"/>
    <w:rsid w:val="13DA609A"/>
    <w:rsid w:val="13E42C19"/>
    <w:rsid w:val="140915ED"/>
    <w:rsid w:val="141766D4"/>
    <w:rsid w:val="141D437D"/>
    <w:rsid w:val="14222D80"/>
    <w:rsid w:val="143329BA"/>
    <w:rsid w:val="143F60A1"/>
    <w:rsid w:val="144B6145"/>
    <w:rsid w:val="144E09DA"/>
    <w:rsid w:val="146F08DB"/>
    <w:rsid w:val="147A532B"/>
    <w:rsid w:val="149265DF"/>
    <w:rsid w:val="14954794"/>
    <w:rsid w:val="149828D4"/>
    <w:rsid w:val="149A16F7"/>
    <w:rsid w:val="149B0481"/>
    <w:rsid w:val="14AC5CCA"/>
    <w:rsid w:val="14C84F8E"/>
    <w:rsid w:val="14DF25B4"/>
    <w:rsid w:val="14E13D7A"/>
    <w:rsid w:val="14E75531"/>
    <w:rsid w:val="14F076E3"/>
    <w:rsid w:val="14F554C5"/>
    <w:rsid w:val="15080B89"/>
    <w:rsid w:val="150C1455"/>
    <w:rsid w:val="1525275F"/>
    <w:rsid w:val="153205B7"/>
    <w:rsid w:val="153D35D1"/>
    <w:rsid w:val="15482700"/>
    <w:rsid w:val="154F0566"/>
    <w:rsid w:val="1561544E"/>
    <w:rsid w:val="15747FCD"/>
    <w:rsid w:val="158521DA"/>
    <w:rsid w:val="158A3E60"/>
    <w:rsid w:val="1594555C"/>
    <w:rsid w:val="15AA1C40"/>
    <w:rsid w:val="15AC163C"/>
    <w:rsid w:val="15AE0122"/>
    <w:rsid w:val="15B50D11"/>
    <w:rsid w:val="15B640FA"/>
    <w:rsid w:val="15B65F8A"/>
    <w:rsid w:val="15B93D22"/>
    <w:rsid w:val="15BD298E"/>
    <w:rsid w:val="15C251DC"/>
    <w:rsid w:val="15C834B5"/>
    <w:rsid w:val="15E672A1"/>
    <w:rsid w:val="15EA64E1"/>
    <w:rsid w:val="16041350"/>
    <w:rsid w:val="160D54B0"/>
    <w:rsid w:val="16117F11"/>
    <w:rsid w:val="16204B67"/>
    <w:rsid w:val="16223ECC"/>
    <w:rsid w:val="162612BE"/>
    <w:rsid w:val="162C6A78"/>
    <w:rsid w:val="163261E3"/>
    <w:rsid w:val="1647748F"/>
    <w:rsid w:val="16521566"/>
    <w:rsid w:val="165322D8"/>
    <w:rsid w:val="16551BAC"/>
    <w:rsid w:val="16616D2D"/>
    <w:rsid w:val="167069E6"/>
    <w:rsid w:val="16956BD9"/>
    <w:rsid w:val="169C77DB"/>
    <w:rsid w:val="16A1371C"/>
    <w:rsid w:val="16B34B25"/>
    <w:rsid w:val="16BB723D"/>
    <w:rsid w:val="16BE2824"/>
    <w:rsid w:val="16CD32FE"/>
    <w:rsid w:val="16CE66B1"/>
    <w:rsid w:val="16E3365C"/>
    <w:rsid w:val="16F04F5D"/>
    <w:rsid w:val="16F16684"/>
    <w:rsid w:val="16F76FA7"/>
    <w:rsid w:val="16FC038D"/>
    <w:rsid w:val="170279C7"/>
    <w:rsid w:val="170D2487"/>
    <w:rsid w:val="170F4451"/>
    <w:rsid w:val="17153ED4"/>
    <w:rsid w:val="171C16DE"/>
    <w:rsid w:val="171D362E"/>
    <w:rsid w:val="17204540"/>
    <w:rsid w:val="172444D2"/>
    <w:rsid w:val="1735378C"/>
    <w:rsid w:val="17463BEB"/>
    <w:rsid w:val="17481711"/>
    <w:rsid w:val="17685054"/>
    <w:rsid w:val="176C67CF"/>
    <w:rsid w:val="17872239"/>
    <w:rsid w:val="178F0C8C"/>
    <w:rsid w:val="17941EE6"/>
    <w:rsid w:val="179A72C5"/>
    <w:rsid w:val="17B2424B"/>
    <w:rsid w:val="17B648CC"/>
    <w:rsid w:val="17BF7EE9"/>
    <w:rsid w:val="17CB7CFD"/>
    <w:rsid w:val="17DF030F"/>
    <w:rsid w:val="17E75258"/>
    <w:rsid w:val="180A325C"/>
    <w:rsid w:val="1821268E"/>
    <w:rsid w:val="18214C16"/>
    <w:rsid w:val="18377B03"/>
    <w:rsid w:val="18430A84"/>
    <w:rsid w:val="185D5D75"/>
    <w:rsid w:val="186420A8"/>
    <w:rsid w:val="18657FE9"/>
    <w:rsid w:val="187327BD"/>
    <w:rsid w:val="1876405C"/>
    <w:rsid w:val="18841DFC"/>
    <w:rsid w:val="188E3A9B"/>
    <w:rsid w:val="189473FF"/>
    <w:rsid w:val="18A92683"/>
    <w:rsid w:val="18AC4E42"/>
    <w:rsid w:val="18BA5AC0"/>
    <w:rsid w:val="18BF1EA7"/>
    <w:rsid w:val="18CA33A8"/>
    <w:rsid w:val="18D14FE6"/>
    <w:rsid w:val="18DC67C1"/>
    <w:rsid w:val="18E832AF"/>
    <w:rsid w:val="18F25025"/>
    <w:rsid w:val="18FE29CF"/>
    <w:rsid w:val="19017DC9"/>
    <w:rsid w:val="19072B33"/>
    <w:rsid w:val="191C2C23"/>
    <w:rsid w:val="19287A4C"/>
    <w:rsid w:val="192E48BC"/>
    <w:rsid w:val="19393A07"/>
    <w:rsid w:val="193A039E"/>
    <w:rsid w:val="193B11E7"/>
    <w:rsid w:val="193C7053"/>
    <w:rsid w:val="194B3DAD"/>
    <w:rsid w:val="194D275B"/>
    <w:rsid w:val="19616ABA"/>
    <w:rsid w:val="19634B89"/>
    <w:rsid w:val="19776290"/>
    <w:rsid w:val="19841CE4"/>
    <w:rsid w:val="198A2065"/>
    <w:rsid w:val="19941C2C"/>
    <w:rsid w:val="199C5D44"/>
    <w:rsid w:val="199C7AF2"/>
    <w:rsid w:val="19A76BC3"/>
    <w:rsid w:val="19A846E9"/>
    <w:rsid w:val="19AD6DCF"/>
    <w:rsid w:val="19AF7825"/>
    <w:rsid w:val="19CE1432"/>
    <w:rsid w:val="19EB067F"/>
    <w:rsid w:val="19F53DD2"/>
    <w:rsid w:val="19FE18D2"/>
    <w:rsid w:val="1A077661"/>
    <w:rsid w:val="1A0F29BA"/>
    <w:rsid w:val="1A1A5AAF"/>
    <w:rsid w:val="1A2665DC"/>
    <w:rsid w:val="1A271AB1"/>
    <w:rsid w:val="1A3721FE"/>
    <w:rsid w:val="1A4172C6"/>
    <w:rsid w:val="1A5152AC"/>
    <w:rsid w:val="1A607B17"/>
    <w:rsid w:val="1A6525DA"/>
    <w:rsid w:val="1A6E4847"/>
    <w:rsid w:val="1A725422"/>
    <w:rsid w:val="1A846F04"/>
    <w:rsid w:val="1A8567D8"/>
    <w:rsid w:val="1A90316E"/>
    <w:rsid w:val="1A9F3ADF"/>
    <w:rsid w:val="1AA23AB8"/>
    <w:rsid w:val="1AA34E5A"/>
    <w:rsid w:val="1AA94BBC"/>
    <w:rsid w:val="1AC76DF0"/>
    <w:rsid w:val="1AD1000B"/>
    <w:rsid w:val="1AE23C2A"/>
    <w:rsid w:val="1B2E06BF"/>
    <w:rsid w:val="1B3D369E"/>
    <w:rsid w:val="1B480073"/>
    <w:rsid w:val="1B4E4242"/>
    <w:rsid w:val="1B587E06"/>
    <w:rsid w:val="1B634A37"/>
    <w:rsid w:val="1B666A52"/>
    <w:rsid w:val="1B743092"/>
    <w:rsid w:val="1B832EDA"/>
    <w:rsid w:val="1B9C202B"/>
    <w:rsid w:val="1BA858DC"/>
    <w:rsid w:val="1BB73992"/>
    <w:rsid w:val="1BBC4D10"/>
    <w:rsid w:val="1BE20386"/>
    <w:rsid w:val="1BE614F8"/>
    <w:rsid w:val="1BEA32F7"/>
    <w:rsid w:val="1BEB412A"/>
    <w:rsid w:val="1BF04572"/>
    <w:rsid w:val="1BFB0973"/>
    <w:rsid w:val="1BFE79D7"/>
    <w:rsid w:val="1C0C0F5F"/>
    <w:rsid w:val="1C132404"/>
    <w:rsid w:val="1C147F20"/>
    <w:rsid w:val="1C2838BF"/>
    <w:rsid w:val="1C3B2F83"/>
    <w:rsid w:val="1C3D2C9D"/>
    <w:rsid w:val="1C4873AE"/>
    <w:rsid w:val="1C4D3377"/>
    <w:rsid w:val="1C5203F3"/>
    <w:rsid w:val="1C6568C1"/>
    <w:rsid w:val="1C6A585A"/>
    <w:rsid w:val="1C6C4E54"/>
    <w:rsid w:val="1C7B4336"/>
    <w:rsid w:val="1C93342E"/>
    <w:rsid w:val="1C99656B"/>
    <w:rsid w:val="1C9C2F5E"/>
    <w:rsid w:val="1CAA3022"/>
    <w:rsid w:val="1CB724ED"/>
    <w:rsid w:val="1CBB2985"/>
    <w:rsid w:val="1CBF48D9"/>
    <w:rsid w:val="1CC3634B"/>
    <w:rsid w:val="1CCE27A8"/>
    <w:rsid w:val="1CCE7D38"/>
    <w:rsid w:val="1CD13F56"/>
    <w:rsid w:val="1CD14CF3"/>
    <w:rsid w:val="1CD43DFF"/>
    <w:rsid w:val="1CDC3027"/>
    <w:rsid w:val="1CE4512B"/>
    <w:rsid w:val="1CE47B60"/>
    <w:rsid w:val="1CE6794B"/>
    <w:rsid w:val="1CF06AD2"/>
    <w:rsid w:val="1CFD2F9D"/>
    <w:rsid w:val="1D0379D2"/>
    <w:rsid w:val="1D046FEC"/>
    <w:rsid w:val="1D1C5C4F"/>
    <w:rsid w:val="1D2B5895"/>
    <w:rsid w:val="1D350989"/>
    <w:rsid w:val="1D38006D"/>
    <w:rsid w:val="1D5B013E"/>
    <w:rsid w:val="1D6152DA"/>
    <w:rsid w:val="1D6904F3"/>
    <w:rsid w:val="1D766EE4"/>
    <w:rsid w:val="1D940003"/>
    <w:rsid w:val="1D9751A0"/>
    <w:rsid w:val="1DAF5289"/>
    <w:rsid w:val="1DD149D8"/>
    <w:rsid w:val="1DD715AA"/>
    <w:rsid w:val="1DE06B47"/>
    <w:rsid w:val="1DFD3A7E"/>
    <w:rsid w:val="1E0B5246"/>
    <w:rsid w:val="1E0F4D36"/>
    <w:rsid w:val="1E1D0EEE"/>
    <w:rsid w:val="1E34479D"/>
    <w:rsid w:val="1E5B441F"/>
    <w:rsid w:val="1E672DC4"/>
    <w:rsid w:val="1E6F0640"/>
    <w:rsid w:val="1E734C01"/>
    <w:rsid w:val="1E7B6870"/>
    <w:rsid w:val="1E875215"/>
    <w:rsid w:val="1E9E60BA"/>
    <w:rsid w:val="1E9F0C43"/>
    <w:rsid w:val="1EA336D1"/>
    <w:rsid w:val="1EBA7398"/>
    <w:rsid w:val="1EC27FFB"/>
    <w:rsid w:val="1ECF0151"/>
    <w:rsid w:val="1EDB5D45"/>
    <w:rsid w:val="1EDD4465"/>
    <w:rsid w:val="1F022AED"/>
    <w:rsid w:val="1F0319FC"/>
    <w:rsid w:val="1F057A7F"/>
    <w:rsid w:val="1F075B1E"/>
    <w:rsid w:val="1F0B7BF4"/>
    <w:rsid w:val="1F1978CE"/>
    <w:rsid w:val="1F236CF9"/>
    <w:rsid w:val="1F291E28"/>
    <w:rsid w:val="1F346E23"/>
    <w:rsid w:val="1F38650F"/>
    <w:rsid w:val="1F491D9C"/>
    <w:rsid w:val="1F5056CB"/>
    <w:rsid w:val="1F6115C2"/>
    <w:rsid w:val="1F747D8B"/>
    <w:rsid w:val="1F8A02DD"/>
    <w:rsid w:val="1F903C55"/>
    <w:rsid w:val="1F982921"/>
    <w:rsid w:val="1FD06747"/>
    <w:rsid w:val="1FD46237"/>
    <w:rsid w:val="1FDE41C6"/>
    <w:rsid w:val="1FDE60AF"/>
    <w:rsid w:val="1FF01746"/>
    <w:rsid w:val="1FFB1A16"/>
    <w:rsid w:val="200F794B"/>
    <w:rsid w:val="2010167F"/>
    <w:rsid w:val="20146634"/>
    <w:rsid w:val="201C198C"/>
    <w:rsid w:val="20201257"/>
    <w:rsid w:val="2027017A"/>
    <w:rsid w:val="203751A7"/>
    <w:rsid w:val="203E0B22"/>
    <w:rsid w:val="204D1B46"/>
    <w:rsid w:val="2059673D"/>
    <w:rsid w:val="20632976"/>
    <w:rsid w:val="206F41B2"/>
    <w:rsid w:val="209009E9"/>
    <w:rsid w:val="20973E3C"/>
    <w:rsid w:val="209B4C56"/>
    <w:rsid w:val="209E2E9D"/>
    <w:rsid w:val="20BA6069"/>
    <w:rsid w:val="20C076C5"/>
    <w:rsid w:val="20C80621"/>
    <w:rsid w:val="20CE1E39"/>
    <w:rsid w:val="20D57AC1"/>
    <w:rsid w:val="20E574E1"/>
    <w:rsid w:val="20F12E19"/>
    <w:rsid w:val="20FD356C"/>
    <w:rsid w:val="21014D9B"/>
    <w:rsid w:val="21053BE9"/>
    <w:rsid w:val="210963B5"/>
    <w:rsid w:val="21110DC5"/>
    <w:rsid w:val="211508B6"/>
    <w:rsid w:val="21295CC0"/>
    <w:rsid w:val="212A2DB7"/>
    <w:rsid w:val="212E529C"/>
    <w:rsid w:val="21412668"/>
    <w:rsid w:val="214C223A"/>
    <w:rsid w:val="21617F9F"/>
    <w:rsid w:val="21714243"/>
    <w:rsid w:val="2178301E"/>
    <w:rsid w:val="218D2B42"/>
    <w:rsid w:val="21950844"/>
    <w:rsid w:val="21A04252"/>
    <w:rsid w:val="21A43926"/>
    <w:rsid w:val="21AA4035"/>
    <w:rsid w:val="21AB6C7C"/>
    <w:rsid w:val="21B7196D"/>
    <w:rsid w:val="21B741FC"/>
    <w:rsid w:val="21B76E47"/>
    <w:rsid w:val="21CB4956"/>
    <w:rsid w:val="21CB71C6"/>
    <w:rsid w:val="21CF156F"/>
    <w:rsid w:val="21D21962"/>
    <w:rsid w:val="21D43E59"/>
    <w:rsid w:val="21E307BA"/>
    <w:rsid w:val="21E64C7F"/>
    <w:rsid w:val="21E82A48"/>
    <w:rsid w:val="21EF5F5A"/>
    <w:rsid w:val="21F229A5"/>
    <w:rsid w:val="21FF50C2"/>
    <w:rsid w:val="220A18A0"/>
    <w:rsid w:val="222039B6"/>
    <w:rsid w:val="22235254"/>
    <w:rsid w:val="22251588"/>
    <w:rsid w:val="22352420"/>
    <w:rsid w:val="223E208E"/>
    <w:rsid w:val="22426B6F"/>
    <w:rsid w:val="224408DA"/>
    <w:rsid w:val="22441FBF"/>
    <w:rsid w:val="225E628C"/>
    <w:rsid w:val="22676596"/>
    <w:rsid w:val="226C301E"/>
    <w:rsid w:val="227166C2"/>
    <w:rsid w:val="22756E9F"/>
    <w:rsid w:val="22804455"/>
    <w:rsid w:val="22934188"/>
    <w:rsid w:val="22A37FEC"/>
    <w:rsid w:val="22AC22D0"/>
    <w:rsid w:val="22AD4B1E"/>
    <w:rsid w:val="22B90FF4"/>
    <w:rsid w:val="22B95703"/>
    <w:rsid w:val="22BC108A"/>
    <w:rsid w:val="22C829AA"/>
    <w:rsid w:val="22D60519"/>
    <w:rsid w:val="22DC08E7"/>
    <w:rsid w:val="22DC2D73"/>
    <w:rsid w:val="22E76282"/>
    <w:rsid w:val="22E81D6C"/>
    <w:rsid w:val="22F15352"/>
    <w:rsid w:val="22F7419C"/>
    <w:rsid w:val="23235D71"/>
    <w:rsid w:val="232E3EB1"/>
    <w:rsid w:val="233A2855"/>
    <w:rsid w:val="233B4498"/>
    <w:rsid w:val="235544E7"/>
    <w:rsid w:val="237F00C9"/>
    <w:rsid w:val="237F295E"/>
    <w:rsid w:val="2381673E"/>
    <w:rsid w:val="23843AD1"/>
    <w:rsid w:val="239D1398"/>
    <w:rsid w:val="23A02913"/>
    <w:rsid w:val="23A962BD"/>
    <w:rsid w:val="23AC5629"/>
    <w:rsid w:val="23BE5E34"/>
    <w:rsid w:val="23E427C1"/>
    <w:rsid w:val="23E9602A"/>
    <w:rsid w:val="23ED78C8"/>
    <w:rsid w:val="240371BF"/>
    <w:rsid w:val="24042E63"/>
    <w:rsid w:val="24061426"/>
    <w:rsid w:val="241035B6"/>
    <w:rsid w:val="243948BB"/>
    <w:rsid w:val="24443260"/>
    <w:rsid w:val="245711E5"/>
    <w:rsid w:val="24592C78"/>
    <w:rsid w:val="245E2A64"/>
    <w:rsid w:val="246B1C72"/>
    <w:rsid w:val="247F0054"/>
    <w:rsid w:val="249D75A3"/>
    <w:rsid w:val="24A3234B"/>
    <w:rsid w:val="24A74469"/>
    <w:rsid w:val="24B048ED"/>
    <w:rsid w:val="24B24C20"/>
    <w:rsid w:val="24BC235C"/>
    <w:rsid w:val="24BF4EE7"/>
    <w:rsid w:val="24C62964"/>
    <w:rsid w:val="24D51609"/>
    <w:rsid w:val="24DE660C"/>
    <w:rsid w:val="24E443DB"/>
    <w:rsid w:val="24E75556"/>
    <w:rsid w:val="25013924"/>
    <w:rsid w:val="250D6F78"/>
    <w:rsid w:val="251D02E4"/>
    <w:rsid w:val="25201F1F"/>
    <w:rsid w:val="252A68FA"/>
    <w:rsid w:val="25393AF9"/>
    <w:rsid w:val="253B76FD"/>
    <w:rsid w:val="25441769"/>
    <w:rsid w:val="25494778"/>
    <w:rsid w:val="254B24B7"/>
    <w:rsid w:val="255F47F5"/>
    <w:rsid w:val="257B22BB"/>
    <w:rsid w:val="25850B6F"/>
    <w:rsid w:val="25852111"/>
    <w:rsid w:val="25867BC1"/>
    <w:rsid w:val="25B0260A"/>
    <w:rsid w:val="25C96113"/>
    <w:rsid w:val="25C97EC1"/>
    <w:rsid w:val="25EA6663"/>
    <w:rsid w:val="25ED1E01"/>
    <w:rsid w:val="25F332C3"/>
    <w:rsid w:val="25F35685"/>
    <w:rsid w:val="25FD5DBC"/>
    <w:rsid w:val="26094761"/>
    <w:rsid w:val="2616465B"/>
    <w:rsid w:val="26223452"/>
    <w:rsid w:val="26356758"/>
    <w:rsid w:val="263D61F1"/>
    <w:rsid w:val="264216D3"/>
    <w:rsid w:val="264D6D44"/>
    <w:rsid w:val="266820C6"/>
    <w:rsid w:val="266B5E9A"/>
    <w:rsid w:val="267047E0"/>
    <w:rsid w:val="26764B50"/>
    <w:rsid w:val="267C53D2"/>
    <w:rsid w:val="267E514F"/>
    <w:rsid w:val="268E3834"/>
    <w:rsid w:val="26946032"/>
    <w:rsid w:val="269653FD"/>
    <w:rsid w:val="26A13B8B"/>
    <w:rsid w:val="26C07516"/>
    <w:rsid w:val="26CC1E10"/>
    <w:rsid w:val="26E40734"/>
    <w:rsid w:val="26E77410"/>
    <w:rsid w:val="2702779B"/>
    <w:rsid w:val="27035654"/>
    <w:rsid w:val="2704013D"/>
    <w:rsid w:val="270C275B"/>
    <w:rsid w:val="270C62B7"/>
    <w:rsid w:val="27111B1F"/>
    <w:rsid w:val="271664C5"/>
    <w:rsid w:val="272D447F"/>
    <w:rsid w:val="27421CD9"/>
    <w:rsid w:val="27587F53"/>
    <w:rsid w:val="27590276"/>
    <w:rsid w:val="275A2A66"/>
    <w:rsid w:val="2767173F"/>
    <w:rsid w:val="27893DAB"/>
    <w:rsid w:val="27913A3A"/>
    <w:rsid w:val="2793271D"/>
    <w:rsid w:val="279B763B"/>
    <w:rsid w:val="27A91D58"/>
    <w:rsid w:val="27A949AB"/>
    <w:rsid w:val="27AE736E"/>
    <w:rsid w:val="27B150B0"/>
    <w:rsid w:val="27B72D86"/>
    <w:rsid w:val="27CA6D17"/>
    <w:rsid w:val="27D55B15"/>
    <w:rsid w:val="27D720E8"/>
    <w:rsid w:val="27DE3A10"/>
    <w:rsid w:val="27E153A4"/>
    <w:rsid w:val="27EB4D1A"/>
    <w:rsid w:val="27F136FF"/>
    <w:rsid w:val="27F85A7F"/>
    <w:rsid w:val="28081174"/>
    <w:rsid w:val="280E605F"/>
    <w:rsid w:val="28153891"/>
    <w:rsid w:val="28335925"/>
    <w:rsid w:val="283830DC"/>
    <w:rsid w:val="28430FA5"/>
    <w:rsid w:val="28486FB9"/>
    <w:rsid w:val="284F6DA3"/>
    <w:rsid w:val="285C501C"/>
    <w:rsid w:val="28650375"/>
    <w:rsid w:val="286F11F3"/>
    <w:rsid w:val="28720D12"/>
    <w:rsid w:val="28A31390"/>
    <w:rsid w:val="28BC3D0D"/>
    <w:rsid w:val="28BE7A85"/>
    <w:rsid w:val="28C11323"/>
    <w:rsid w:val="28CF2FB9"/>
    <w:rsid w:val="28D64548"/>
    <w:rsid w:val="28D8027D"/>
    <w:rsid w:val="28D94980"/>
    <w:rsid w:val="28D9666D"/>
    <w:rsid w:val="28DA0C65"/>
    <w:rsid w:val="28DE3220"/>
    <w:rsid w:val="28DE3C83"/>
    <w:rsid w:val="28EA2628"/>
    <w:rsid w:val="28EF7C3E"/>
    <w:rsid w:val="29055C2F"/>
    <w:rsid w:val="290B259E"/>
    <w:rsid w:val="291122AA"/>
    <w:rsid w:val="292024ED"/>
    <w:rsid w:val="29396E5C"/>
    <w:rsid w:val="293B10D5"/>
    <w:rsid w:val="29436B8B"/>
    <w:rsid w:val="294A30C6"/>
    <w:rsid w:val="29534671"/>
    <w:rsid w:val="29543F45"/>
    <w:rsid w:val="295A2961"/>
    <w:rsid w:val="295A5D43"/>
    <w:rsid w:val="296B1368"/>
    <w:rsid w:val="296F5223"/>
    <w:rsid w:val="297F1DF0"/>
    <w:rsid w:val="298F01E8"/>
    <w:rsid w:val="299914E5"/>
    <w:rsid w:val="29A0718A"/>
    <w:rsid w:val="29A24CB1"/>
    <w:rsid w:val="29B6075C"/>
    <w:rsid w:val="29BA25C2"/>
    <w:rsid w:val="29BC4885"/>
    <w:rsid w:val="29EE6148"/>
    <w:rsid w:val="29EF1145"/>
    <w:rsid w:val="29F85218"/>
    <w:rsid w:val="29FD04D3"/>
    <w:rsid w:val="29FF3084"/>
    <w:rsid w:val="2A094D30"/>
    <w:rsid w:val="2A0E148E"/>
    <w:rsid w:val="2A135BAE"/>
    <w:rsid w:val="2A1C29FE"/>
    <w:rsid w:val="2A217A8F"/>
    <w:rsid w:val="2A2953D2"/>
    <w:rsid w:val="2A2A66F4"/>
    <w:rsid w:val="2A443FBA"/>
    <w:rsid w:val="2A4D566C"/>
    <w:rsid w:val="2A500BB0"/>
    <w:rsid w:val="2A550005"/>
    <w:rsid w:val="2A5E6661"/>
    <w:rsid w:val="2A6F17F0"/>
    <w:rsid w:val="2A942C05"/>
    <w:rsid w:val="2AA00633"/>
    <w:rsid w:val="2AAA6466"/>
    <w:rsid w:val="2AB0014A"/>
    <w:rsid w:val="2AB05499"/>
    <w:rsid w:val="2AB650E9"/>
    <w:rsid w:val="2AC42568"/>
    <w:rsid w:val="2AC945D7"/>
    <w:rsid w:val="2ACE7CDD"/>
    <w:rsid w:val="2AD215C5"/>
    <w:rsid w:val="2AE17C45"/>
    <w:rsid w:val="2AF375A4"/>
    <w:rsid w:val="2B0A0D5F"/>
    <w:rsid w:val="2B1971F4"/>
    <w:rsid w:val="2B230073"/>
    <w:rsid w:val="2B235236"/>
    <w:rsid w:val="2B277B63"/>
    <w:rsid w:val="2B2E1645"/>
    <w:rsid w:val="2B321E23"/>
    <w:rsid w:val="2B404781"/>
    <w:rsid w:val="2B5841C1"/>
    <w:rsid w:val="2B6748A7"/>
    <w:rsid w:val="2B8D373E"/>
    <w:rsid w:val="2B8E13E9"/>
    <w:rsid w:val="2B9A2D5C"/>
    <w:rsid w:val="2B9C02E8"/>
    <w:rsid w:val="2BA22523"/>
    <w:rsid w:val="2BB34DC6"/>
    <w:rsid w:val="2BC01D66"/>
    <w:rsid w:val="2BC52ED8"/>
    <w:rsid w:val="2BCA4992"/>
    <w:rsid w:val="2BCA6741"/>
    <w:rsid w:val="2BCB33C5"/>
    <w:rsid w:val="2BCC24B9"/>
    <w:rsid w:val="2BCE3931"/>
    <w:rsid w:val="2BE912BD"/>
    <w:rsid w:val="2BFC211B"/>
    <w:rsid w:val="2C075BD9"/>
    <w:rsid w:val="2C334D5E"/>
    <w:rsid w:val="2C364CAA"/>
    <w:rsid w:val="2C4B162F"/>
    <w:rsid w:val="2C6B7F24"/>
    <w:rsid w:val="2C6F2007"/>
    <w:rsid w:val="2C736DD8"/>
    <w:rsid w:val="2C7E0782"/>
    <w:rsid w:val="2CC50238"/>
    <w:rsid w:val="2CDE6947"/>
    <w:rsid w:val="2CE61358"/>
    <w:rsid w:val="2CE72CA0"/>
    <w:rsid w:val="2CE766FE"/>
    <w:rsid w:val="2CE87418"/>
    <w:rsid w:val="2CED6E45"/>
    <w:rsid w:val="2CF4657C"/>
    <w:rsid w:val="2D05201C"/>
    <w:rsid w:val="2D095047"/>
    <w:rsid w:val="2D2D1B91"/>
    <w:rsid w:val="2D41227D"/>
    <w:rsid w:val="2D452FB4"/>
    <w:rsid w:val="2D461EDF"/>
    <w:rsid w:val="2D5C6C0C"/>
    <w:rsid w:val="2D5F6161"/>
    <w:rsid w:val="2D654973"/>
    <w:rsid w:val="2D686211"/>
    <w:rsid w:val="2D6A35C7"/>
    <w:rsid w:val="2D8E160E"/>
    <w:rsid w:val="2D917516"/>
    <w:rsid w:val="2DA90D03"/>
    <w:rsid w:val="2DBB1E93"/>
    <w:rsid w:val="2DCC2C44"/>
    <w:rsid w:val="2DCD4D76"/>
    <w:rsid w:val="2DE10859"/>
    <w:rsid w:val="2DE23A4F"/>
    <w:rsid w:val="2E04418C"/>
    <w:rsid w:val="2E0A551A"/>
    <w:rsid w:val="2E0B3395"/>
    <w:rsid w:val="2E103E50"/>
    <w:rsid w:val="2E120E98"/>
    <w:rsid w:val="2E1B75F3"/>
    <w:rsid w:val="2E1D12C2"/>
    <w:rsid w:val="2E1F0FC6"/>
    <w:rsid w:val="2E286154"/>
    <w:rsid w:val="2E30139B"/>
    <w:rsid w:val="2E32697E"/>
    <w:rsid w:val="2E444588"/>
    <w:rsid w:val="2E5658B0"/>
    <w:rsid w:val="2E690037"/>
    <w:rsid w:val="2E766096"/>
    <w:rsid w:val="2E7B4D2F"/>
    <w:rsid w:val="2E862C28"/>
    <w:rsid w:val="2E9F3EFB"/>
    <w:rsid w:val="2EA24FD3"/>
    <w:rsid w:val="2EA96251"/>
    <w:rsid w:val="2EB17D19"/>
    <w:rsid w:val="2EB20798"/>
    <w:rsid w:val="2EB51735"/>
    <w:rsid w:val="2EB72FAC"/>
    <w:rsid w:val="2EB837D1"/>
    <w:rsid w:val="2EBD433B"/>
    <w:rsid w:val="2ED909E7"/>
    <w:rsid w:val="2EE229F7"/>
    <w:rsid w:val="2EFF4953"/>
    <w:rsid w:val="2F137725"/>
    <w:rsid w:val="2F1A226B"/>
    <w:rsid w:val="2F2D0CA7"/>
    <w:rsid w:val="2F2D326E"/>
    <w:rsid w:val="2F6C2527"/>
    <w:rsid w:val="2F6D2233"/>
    <w:rsid w:val="2F6F7D2B"/>
    <w:rsid w:val="2F7075FF"/>
    <w:rsid w:val="2F7B2A97"/>
    <w:rsid w:val="2F950E14"/>
    <w:rsid w:val="2FA01C92"/>
    <w:rsid w:val="2FA5374C"/>
    <w:rsid w:val="2FB15C4D"/>
    <w:rsid w:val="2FB437DE"/>
    <w:rsid w:val="2FB76FDC"/>
    <w:rsid w:val="2FC57C37"/>
    <w:rsid w:val="2FC94FF2"/>
    <w:rsid w:val="2FC976FD"/>
    <w:rsid w:val="2FD302BA"/>
    <w:rsid w:val="2FD7142C"/>
    <w:rsid w:val="300264A9"/>
    <w:rsid w:val="301B756B"/>
    <w:rsid w:val="302428C3"/>
    <w:rsid w:val="302C483D"/>
    <w:rsid w:val="302E54F0"/>
    <w:rsid w:val="304A01B2"/>
    <w:rsid w:val="305331A8"/>
    <w:rsid w:val="305B1267"/>
    <w:rsid w:val="30656A38"/>
    <w:rsid w:val="3078676B"/>
    <w:rsid w:val="30794EE0"/>
    <w:rsid w:val="308C0A01"/>
    <w:rsid w:val="308C2F71"/>
    <w:rsid w:val="3091180F"/>
    <w:rsid w:val="30977539"/>
    <w:rsid w:val="30A43A04"/>
    <w:rsid w:val="30A510F8"/>
    <w:rsid w:val="30AD596C"/>
    <w:rsid w:val="30B023A9"/>
    <w:rsid w:val="30C86FF5"/>
    <w:rsid w:val="30C916BD"/>
    <w:rsid w:val="30E23DA7"/>
    <w:rsid w:val="30E6301D"/>
    <w:rsid w:val="30E870DC"/>
    <w:rsid w:val="30E87D95"/>
    <w:rsid w:val="30E97669"/>
    <w:rsid w:val="30E97CDF"/>
    <w:rsid w:val="30FC55EE"/>
    <w:rsid w:val="30FD13CA"/>
    <w:rsid w:val="31142A49"/>
    <w:rsid w:val="31181F0C"/>
    <w:rsid w:val="31205204"/>
    <w:rsid w:val="31331D0B"/>
    <w:rsid w:val="314840DC"/>
    <w:rsid w:val="314B0324"/>
    <w:rsid w:val="315A3DD0"/>
    <w:rsid w:val="315D1BBA"/>
    <w:rsid w:val="316C1DA2"/>
    <w:rsid w:val="316F1614"/>
    <w:rsid w:val="319F7F4E"/>
    <w:rsid w:val="31AA773F"/>
    <w:rsid w:val="31AB009B"/>
    <w:rsid w:val="31AC3D89"/>
    <w:rsid w:val="31C14509"/>
    <w:rsid w:val="321150C9"/>
    <w:rsid w:val="3223667A"/>
    <w:rsid w:val="32304621"/>
    <w:rsid w:val="32353ABB"/>
    <w:rsid w:val="323A4620"/>
    <w:rsid w:val="323B5CA2"/>
    <w:rsid w:val="325356E2"/>
    <w:rsid w:val="325430F4"/>
    <w:rsid w:val="325C72F3"/>
    <w:rsid w:val="325D030E"/>
    <w:rsid w:val="325F105C"/>
    <w:rsid w:val="326376B2"/>
    <w:rsid w:val="3271131B"/>
    <w:rsid w:val="32744097"/>
    <w:rsid w:val="327F63D6"/>
    <w:rsid w:val="328533C1"/>
    <w:rsid w:val="32921343"/>
    <w:rsid w:val="32A97024"/>
    <w:rsid w:val="32B613FF"/>
    <w:rsid w:val="32BB12EC"/>
    <w:rsid w:val="32CF37E3"/>
    <w:rsid w:val="32CF4F2E"/>
    <w:rsid w:val="32D47E4A"/>
    <w:rsid w:val="32DA54BB"/>
    <w:rsid w:val="32E80B53"/>
    <w:rsid w:val="330319D4"/>
    <w:rsid w:val="332B5D17"/>
    <w:rsid w:val="333F76D5"/>
    <w:rsid w:val="334F23F9"/>
    <w:rsid w:val="33521F74"/>
    <w:rsid w:val="33541711"/>
    <w:rsid w:val="33613E2E"/>
    <w:rsid w:val="33636C35"/>
    <w:rsid w:val="33753436"/>
    <w:rsid w:val="337E78EF"/>
    <w:rsid w:val="33837901"/>
    <w:rsid w:val="33976B33"/>
    <w:rsid w:val="33D4015C"/>
    <w:rsid w:val="33D740F0"/>
    <w:rsid w:val="33D96D5A"/>
    <w:rsid w:val="33EA6252"/>
    <w:rsid w:val="33EB36F8"/>
    <w:rsid w:val="33F71D10"/>
    <w:rsid w:val="34181880"/>
    <w:rsid w:val="341E112C"/>
    <w:rsid w:val="341E587B"/>
    <w:rsid w:val="343706EB"/>
    <w:rsid w:val="34466269"/>
    <w:rsid w:val="344707C8"/>
    <w:rsid w:val="344B10D0"/>
    <w:rsid w:val="34580853"/>
    <w:rsid w:val="345F7992"/>
    <w:rsid w:val="34637732"/>
    <w:rsid w:val="346534AA"/>
    <w:rsid w:val="346B3770"/>
    <w:rsid w:val="34723048"/>
    <w:rsid w:val="347A1512"/>
    <w:rsid w:val="347A5582"/>
    <w:rsid w:val="347B4A7C"/>
    <w:rsid w:val="347C6696"/>
    <w:rsid w:val="34874D41"/>
    <w:rsid w:val="348953EB"/>
    <w:rsid w:val="34A0420B"/>
    <w:rsid w:val="34A55E4B"/>
    <w:rsid w:val="34A65CED"/>
    <w:rsid w:val="34AB6EC1"/>
    <w:rsid w:val="34B63A34"/>
    <w:rsid w:val="34C32FE7"/>
    <w:rsid w:val="34C60F1D"/>
    <w:rsid w:val="34DB376C"/>
    <w:rsid w:val="34E42621"/>
    <w:rsid w:val="34E56399"/>
    <w:rsid w:val="34FF7CAC"/>
    <w:rsid w:val="350D433C"/>
    <w:rsid w:val="35154ED0"/>
    <w:rsid w:val="351A6C89"/>
    <w:rsid w:val="35270760"/>
    <w:rsid w:val="353069CB"/>
    <w:rsid w:val="354A54F3"/>
    <w:rsid w:val="35552828"/>
    <w:rsid w:val="3573263B"/>
    <w:rsid w:val="35773495"/>
    <w:rsid w:val="3586419F"/>
    <w:rsid w:val="35A46E69"/>
    <w:rsid w:val="35B37521"/>
    <w:rsid w:val="35C86649"/>
    <w:rsid w:val="35E31E91"/>
    <w:rsid w:val="35EF5721"/>
    <w:rsid w:val="35F20D6E"/>
    <w:rsid w:val="35F66AB0"/>
    <w:rsid w:val="36015455"/>
    <w:rsid w:val="361E0076"/>
    <w:rsid w:val="362B229C"/>
    <w:rsid w:val="362F02DA"/>
    <w:rsid w:val="36467823"/>
    <w:rsid w:val="36486BE0"/>
    <w:rsid w:val="364C2B74"/>
    <w:rsid w:val="366237A9"/>
    <w:rsid w:val="367B0D63"/>
    <w:rsid w:val="36806386"/>
    <w:rsid w:val="368131F4"/>
    <w:rsid w:val="36833572"/>
    <w:rsid w:val="368942C5"/>
    <w:rsid w:val="369462C9"/>
    <w:rsid w:val="3694774F"/>
    <w:rsid w:val="3696590D"/>
    <w:rsid w:val="369E4E7B"/>
    <w:rsid w:val="36AF696A"/>
    <w:rsid w:val="36CB719A"/>
    <w:rsid w:val="36D210E4"/>
    <w:rsid w:val="36D87BEA"/>
    <w:rsid w:val="36DE1B8B"/>
    <w:rsid w:val="36E63059"/>
    <w:rsid w:val="36FC0064"/>
    <w:rsid w:val="370F76FD"/>
    <w:rsid w:val="37135440"/>
    <w:rsid w:val="371D006C"/>
    <w:rsid w:val="3723763D"/>
    <w:rsid w:val="37321D6A"/>
    <w:rsid w:val="373B5224"/>
    <w:rsid w:val="373C6E77"/>
    <w:rsid w:val="37421881"/>
    <w:rsid w:val="37575F53"/>
    <w:rsid w:val="37610ABB"/>
    <w:rsid w:val="37623CD1"/>
    <w:rsid w:val="376A4413"/>
    <w:rsid w:val="37753A04"/>
    <w:rsid w:val="377679E9"/>
    <w:rsid w:val="377C6805"/>
    <w:rsid w:val="3780016F"/>
    <w:rsid w:val="37887BDC"/>
    <w:rsid w:val="378900C3"/>
    <w:rsid w:val="378928B2"/>
    <w:rsid w:val="379364E0"/>
    <w:rsid w:val="379A7EE1"/>
    <w:rsid w:val="37A86872"/>
    <w:rsid w:val="37C64260"/>
    <w:rsid w:val="37C87FD8"/>
    <w:rsid w:val="37CB6D2D"/>
    <w:rsid w:val="37EA519B"/>
    <w:rsid w:val="37EC181C"/>
    <w:rsid w:val="37FC2CD3"/>
    <w:rsid w:val="380513FB"/>
    <w:rsid w:val="381256F7"/>
    <w:rsid w:val="38126F39"/>
    <w:rsid w:val="381274A5"/>
    <w:rsid w:val="382611A3"/>
    <w:rsid w:val="382E237A"/>
    <w:rsid w:val="382E58BF"/>
    <w:rsid w:val="38367638"/>
    <w:rsid w:val="383B2EA0"/>
    <w:rsid w:val="383E25D3"/>
    <w:rsid w:val="38474720"/>
    <w:rsid w:val="384752C2"/>
    <w:rsid w:val="384D2BD3"/>
    <w:rsid w:val="385C6972"/>
    <w:rsid w:val="38637D01"/>
    <w:rsid w:val="386C3FF5"/>
    <w:rsid w:val="386F48F8"/>
    <w:rsid w:val="388C54AA"/>
    <w:rsid w:val="388E7474"/>
    <w:rsid w:val="38902BE0"/>
    <w:rsid w:val="389E342F"/>
    <w:rsid w:val="38A9042D"/>
    <w:rsid w:val="38B92017"/>
    <w:rsid w:val="38C06F01"/>
    <w:rsid w:val="38CC5B33"/>
    <w:rsid w:val="38D01D7F"/>
    <w:rsid w:val="38F51831"/>
    <w:rsid w:val="38FC699E"/>
    <w:rsid w:val="39330CBD"/>
    <w:rsid w:val="393C5763"/>
    <w:rsid w:val="393C6ED0"/>
    <w:rsid w:val="39400042"/>
    <w:rsid w:val="394E09B1"/>
    <w:rsid w:val="39606395"/>
    <w:rsid w:val="39782677"/>
    <w:rsid w:val="39783C80"/>
    <w:rsid w:val="39806889"/>
    <w:rsid w:val="399B34CA"/>
    <w:rsid w:val="39CC0CA5"/>
    <w:rsid w:val="39D27F09"/>
    <w:rsid w:val="39D642B8"/>
    <w:rsid w:val="39DE5537"/>
    <w:rsid w:val="39E15381"/>
    <w:rsid w:val="39F74BA5"/>
    <w:rsid w:val="3A00614F"/>
    <w:rsid w:val="3A012C4B"/>
    <w:rsid w:val="3A0B68A2"/>
    <w:rsid w:val="3A1270F5"/>
    <w:rsid w:val="3A1C285D"/>
    <w:rsid w:val="3A1F5EA9"/>
    <w:rsid w:val="3A2A31CC"/>
    <w:rsid w:val="3A3F02FA"/>
    <w:rsid w:val="3A502507"/>
    <w:rsid w:val="3A52627F"/>
    <w:rsid w:val="3A540249"/>
    <w:rsid w:val="3A557EEA"/>
    <w:rsid w:val="3A594B03"/>
    <w:rsid w:val="3A5B3A0E"/>
    <w:rsid w:val="3A69151E"/>
    <w:rsid w:val="3A79380C"/>
    <w:rsid w:val="3A7F2D0C"/>
    <w:rsid w:val="3A810912"/>
    <w:rsid w:val="3A8C71F0"/>
    <w:rsid w:val="3A8C79E3"/>
    <w:rsid w:val="3A946897"/>
    <w:rsid w:val="3AA67AB6"/>
    <w:rsid w:val="3AC23405"/>
    <w:rsid w:val="3AC32CD9"/>
    <w:rsid w:val="3AD2116E"/>
    <w:rsid w:val="3ADB2718"/>
    <w:rsid w:val="3AE01ABF"/>
    <w:rsid w:val="3AE315CD"/>
    <w:rsid w:val="3B090257"/>
    <w:rsid w:val="3B113AD3"/>
    <w:rsid w:val="3B4200A1"/>
    <w:rsid w:val="3B576905"/>
    <w:rsid w:val="3B5F50F7"/>
    <w:rsid w:val="3B5F7412"/>
    <w:rsid w:val="3B670838"/>
    <w:rsid w:val="3B6E2E5F"/>
    <w:rsid w:val="3B787F67"/>
    <w:rsid w:val="3BA278AB"/>
    <w:rsid w:val="3BA44E87"/>
    <w:rsid w:val="3BB07701"/>
    <w:rsid w:val="3BB35922"/>
    <w:rsid w:val="3BB437C5"/>
    <w:rsid w:val="3BC74A4B"/>
    <w:rsid w:val="3BDF06EF"/>
    <w:rsid w:val="3BDF1D94"/>
    <w:rsid w:val="3BE06273"/>
    <w:rsid w:val="3BEE647B"/>
    <w:rsid w:val="3BF62FBD"/>
    <w:rsid w:val="3C0B0DDB"/>
    <w:rsid w:val="3C145EE2"/>
    <w:rsid w:val="3C166B63"/>
    <w:rsid w:val="3C2B4FD9"/>
    <w:rsid w:val="3C2B5B34"/>
    <w:rsid w:val="3C3F7ED2"/>
    <w:rsid w:val="3C491DFE"/>
    <w:rsid w:val="3C54604B"/>
    <w:rsid w:val="3C703A9C"/>
    <w:rsid w:val="3C7406F6"/>
    <w:rsid w:val="3C754F42"/>
    <w:rsid w:val="3C795D45"/>
    <w:rsid w:val="3C850B8E"/>
    <w:rsid w:val="3C861056"/>
    <w:rsid w:val="3C973464"/>
    <w:rsid w:val="3C9949C6"/>
    <w:rsid w:val="3C9A5CBB"/>
    <w:rsid w:val="3C9E13A9"/>
    <w:rsid w:val="3CAE1C87"/>
    <w:rsid w:val="3CB62602"/>
    <w:rsid w:val="3CC86A1F"/>
    <w:rsid w:val="3CCE49FE"/>
    <w:rsid w:val="3CE138EA"/>
    <w:rsid w:val="3CEA279F"/>
    <w:rsid w:val="3CF351EC"/>
    <w:rsid w:val="3CF67395"/>
    <w:rsid w:val="3D2263DC"/>
    <w:rsid w:val="3D2D452C"/>
    <w:rsid w:val="3D4C3459"/>
    <w:rsid w:val="3D4E28D2"/>
    <w:rsid w:val="3D4F11F0"/>
    <w:rsid w:val="3D570BAE"/>
    <w:rsid w:val="3D6F121C"/>
    <w:rsid w:val="3D7529B0"/>
    <w:rsid w:val="3D7966F3"/>
    <w:rsid w:val="3D7C5DEB"/>
    <w:rsid w:val="3D7F07BE"/>
    <w:rsid w:val="3D804EB1"/>
    <w:rsid w:val="3D8A6036"/>
    <w:rsid w:val="3D9036E5"/>
    <w:rsid w:val="3D98669F"/>
    <w:rsid w:val="3D992A7A"/>
    <w:rsid w:val="3D9B484E"/>
    <w:rsid w:val="3DA45043"/>
    <w:rsid w:val="3DA9265A"/>
    <w:rsid w:val="3DAA09F4"/>
    <w:rsid w:val="3DAD7E78"/>
    <w:rsid w:val="3DAE5EC2"/>
    <w:rsid w:val="3DAE7F3F"/>
    <w:rsid w:val="3DB01741"/>
    <w:rsid w:val="3DB95B2E"/>
    <w:rsid w:val="3DC72AE0"/>
    <w:rsid w:val="3DD4793B"/>
    <w:rsid w:val="3DE74F30"/>
    <w:rsid w:val="3DF77869"/>
    <w:rsid w:val="3E0429B8"/>
    <w:rsid w:val="3E063608"/>
    <w:rsid w:val="3E077380"/>
    <w:rsid w:val="3E173A67"/>
    <w:rsid w:val="3E516127"/>
    <w:rsid w:val="3E5D51F2"/>
    <w:rsid w:val="3E6226C2"/>
    <w:rsid w:val="3E6740C2"/>
    <w:rsid w:val="3E834C59"/>
    <w:rsid w:val="3E9A1FA2"/>
    <w:rsid w:val="3EAB41B0"/>
    <w:rsid w:val="3EAD43CC"/>
    <w:rsid w:val="3EB656E0"/>
    <w:rsid w:val="3EBA5355"/>
    <w:rsid w:val="3EC95A69"/>
    <w:rsid w:val="3ED41958"/>
    <w:rsid w:val="3EE37DED"/>
    <w:rsid w:val="3EFD0EAF"/>
    <w:rsid w:val="3F0C267A"/>
    <w:rsid w:val="3F2006FA"/>
    <w:rsid w:val="3F256CB7"/>
    <w:rsid w:val="3F4502EE"/>
    <w:rsid w:val="3F497802"/>
    <w:rsid w:val="3F656A54"/>
    <w:rsid w:val="3F746C97"/>
    <w:rsid w:val="3F776B16"/>
    <w:rsid w:val="3F9E536A"/>
    <w:rsid w:val="3FA219AC"/>
    <w:rsid w:val="3FA532F5"/>
    <w:rsid w:val="3FAC2FE9"/>
    <w:rsid w:val="3FB15479"/>
    <w:rsid w:val="3FB51036"/>
    <w:rsid w:val="3FB53538"/>
    <w:rsid w:val="3FBA6DA0"/>
    <w:rsid w:val="3FEE5E89"/>
    <w:rsid w:val="3FF43934"/>
    <w:rsid w:val="4000423C"/>
    <w:rsid w:val="401244FA"/>
    <w:rsid w:val="401B7113"/>
    <w:rsid w:val="402204A1"/>
    <w:rsid w:val="40292457"/>
    <w:rsid w:val="4031131E"/>
    <w:rsid w:val="403F1053"/>
    <w:rsid w:val="405A7C3B"/>
    <w:rsid w:val="406A79B7"/>
    <w:rsid w:val="408B1997"/>
    <w:rsid w:val="409273D5"/>
    <w:rsid w:val="40A23390"/>
    <w:rsid w:val="40A61A24"/>
    <w:rsid w:val="40B071CC"/>
    <w:rsid w:val="40B25CC9"/>
    <w:rsid w:val="40B636DE"/>
    <w:rsid w:val="40B82149"/>
    <w:rsid w:val="40B95959"/>
    <w:rsid w:val="40BE01CA"/>
    <w:rsid w:val="40C31C84"/>
    <w:rsid w:val="40CD2B03"/>
    <w:rsid w:val="40D519B8"/>
    <w:rsid w:val="40F57964"/>
    <w:rsid w:val="40FB182B"/>
    <w:rsid w:val="410730DA"/>
    <w:rsid w:val="41092CC5"/>
    <w:rsid w:val="411D0A56"/>
    <w:rsid w:val="4139538A"/>
    <w:rsid w:val="413A6711"/>
    <w:rsid w:val="413F2C79"/>
    <w:rsid w:val="41456B3D"/>
    <w:rsid w:val="41504E33"/>
    <w:rsid w:val="415B1EBD"/>
    <w:rsid w:val="415B3C6B"/>
    <w:rsid w:val="416645AF"/>
    <w:rsid w:val="4168282C"/>
    <w:rsid w:val="41744D2D"/>
    <w:rsid w:val="417625C9"/>
    <w:rsid w:val="417A52B0"/>
    <w:rsid w:val="419D4099"/>
    <w:rsid w:val="41B43857"/>
    <w:rsid w:val="41B82E6B"/>
    <w:rsid w:val="41CD79E2"/>
    <w:rsid w:val="41DF152E"/>
    <w:rsid w:val="41EB7AE9"/>
    <w:rsid w:val="41F32B95"/>
    <w:rsid w:val="41F847E6"/>
    <w:rsid w:val="4209489E"/>
    <w:rsid w:val="42097B6B"/>
    <w:rsid w:val="4213250A"/>
    <w:rsid w:val="421D0F9C"/>
    <w:rsid w:val="4230334A"/>
    <w:rsid w:val="42426BD9"/>
    <w:rsid w:val="424929CF"/>
    <w:rsid w:val="42534AF4"/>
    <w:rsid w:val="427D6434"/>
    <w:rsid w:val="428413E7"/>
    <w:rsid w:val="42862F6A"/>
    <w:rsid w:val="428D78D5"/>
    <w:rsid w:val="42B0448A"/>
    <w:rsid w:val="42C13FA2"/>
    <w:rsid w:val="42C27D1A"/>
    <w:rsid w:val="42C56CB6"/>
    <w:rsid w:val="42E163F2"/>
    <w:rsid w:val="42F30408"/>
    <w:rsid w:val="42FF280A"/>
    <w:rsid w:val="43065E58"/>
    <w:rsid w:val="432413AC"/>
    <w:rsid w:val="43496890"/>
    <w:rsid w:val="43752C7E"/>
    <w:rsid w:val="43943464"/>
    <w:rsid w:val="43966853"/>
    <w:rsid w:val="439671DC"/>
    <w:rsid w:val="43971E9B"/>
    <w:rsid w:val="43A37B4B"/>
    <w:rsid w:val="43A4275B"/>
    <w:rsid w:val="43C57AC2"/>
    <w:rsid w:val="43CD6976"/>
    <w:rsid w:val="43D321DE"/>
    <w:rsid w:val="43E633A2"/>
    <w:rsid w:val="43EC14F2"/>
    <w:rsid w:val="43F42155"/>
    <w:rsid w:val="43F572C4"/>
    <w:rsid w:val="43F81C45"/>
    <w:rsid w:val="44095C00"/>
    <w:rsid w:val="444C01E3"/>
    <w:rsid w:val="44513192"/>
    <w:rsid w:val="44546CEA"/>
    <w:rsid w:val="445F3A72"/>
    <w:rsid w:val="445F3DCE"/>
    <w:rsid w:val="44663053"/>
    <w:rsid w:val="44705C7F"/>
    <w:rsid w:val="44784B34"/>
    <w:rsid w:val="44860D2F"/>
    <w:rsid w:val="449D459A"/>
    <w:rsid w:val="44A26055"/>
    <w:rsid w:val="44D81A76"/>
    <w:rsid w:val="44E30302"/>
    <w:rsid w:val="44F00B6E"/>
    <w:rsid w:val="44F926E4"/>
    <w:rsid w:val="44F977FB"/>
    <w:rsid w:val="4507690A"/>
    <w:rsid w:val="451C7BB5"/>
    <w:rsid w:val="453639DC"/>
    <w:rsid w:val="45396F76"/>
    <w:rsid w:val="455E5366"/>
    <w:rsid w:val="456724E6"/>
    <w:rsid w:val="45790B64"/>
    <w:rsid w:val="457E34CC"/>
    <w:rsid w:val="458614D2"/>
    <w:rsid w:val="4593664E"/>
    <w:rsid w:val="45991206"/>
    <w:rsid w:val="459E2306"/>
    <w:rsid w:val="45A02594"/>
    <w:rsid w:val="45A03316"/>
    <w:rsid w:val="45A318F9"/>
    <w:rsid w:val="45A91DA8"/>
    <w:rsid w:val="45B72E83"/>
    <w:rsid w:val="45BC3B74"/>
    <w:rsid w:val="45C02C36"/>
    <w:rsid w:val="45C35A91"/>
    <w:rsid w:val="45DC5413"/>
    <w:rsid w:val="45ED3300"/>
    <w:rsid w:val="45EE1552"/>
    <w:rsid w:val="46057A36"/>
    <w:rsid w:val="46284338"/>
    <w:rsid w:val="46300A53"/>
    <w:rsid w:val="463B4667"/>
    <w:rsid w:val="463E76B7"/>
    <w:rsid w:val="46496788"/>
    <w:rsid w:val="464E0CEF"/>
    <w:rsid w:val="465A0FDC"/>
    <w:rsid w:val="465B295F"/>
    <w:rsid w:val="46607CD0"/>
    <w:rsid w:val="46696B6F"/>
    <w:rsid w:val="46706B24"/>
    <w:rsid w:val="46713F31"/>
    <w:rsid w:val="46843C64"/>
    <w:rsid w:val="46A527D2"/>
    <w:rsid w:val="46A71700"/>
    <w:rsid w:val="46A95965"/>
    <w:rsid w:val="46AE0CE1"/>
    <w:rsid w:val="46AF354B"/>
    <w:rsid w:val="46B30D7F"/>
    <w:rsid w:val="46C25D0A"/>
    <w:rsid w:val="46C658ED"/>
    <w:rsid w:val="46DA3C76"/>
    <w:rsid w:val="46EB2AE6"/>
    <w:rsid w:val="46EE05A7"/>
    <w:rsid w:val="46EE732F"/>
    <w:rsid w:val="470152B5"/>
    <w:rsid w:val="472B2331"/>
    <w:rsid w:val="473C009B"/>
    <w:rsid w:val="47473AEC"/>
    <w:rsid w:val="47532C27"/>
    <w:rsid w:val="4759085C"/>
    <w:rsid w:val="475F0064"/>
    <w:rsid w:val="47681BA0"/>
    <w:rsid w:val="478B6BC3"/>
    <w:rsid w:val="479E48B1"/>
    <w:rsid w:val="47B3367B"/>
    <w:rsid w:val="47BB269B"/>
    <w:rsid w:val="47CE794D"/>
    <w:rsid w:val="47DF3D46"/>
    <w:rsid w:val="47DF429E"/>
    <w:rsid w:val="47E33418"/>
    <w:rsid w:val="47EA7AF7"/>
    <w:rsid w:val="47ED0B7A"/>
    <w:rsid w:val="47F02AF4"/>
    <w:rsid w:val="47F46B31"/>
    <w:rsid w:val="48042AE4"/>
    <w:rsid w:val="48050D84"/>
    <w:rsid w:val="48092BA8"/>
    <w:rsid w:val="48217A6D"/>
    <w:rsid w:val="48223734"/>
    <w:rsid w:val="482E33A4"/>
    <w:rsid w:val="48464A3A"/>
    <w:rsid w:val="484704A3"/>
    <w:rsid w:val="485812CD"/>
    <w:rsid w:val="486569DE"/>
    <w:rsid w:val="487675DC"/>
    <w:rsid w:val="48790E7B"/>
    <w:rsid w:val="488156E9"/>
    <w:rsid w:val="48831CF9"/>
    <w:rsid w:val="48A86EAB"/>
    <w:rsid w:val="48B3062A"/>
    <w:rsid w:val="48B60321"/>
    <w:rsid w:val="48BA0970"/>
    <w:rsid w:val="48BA393F"/>
    <w:rsid w:val="48C57852"/>
    <w:rsid w:val="48C716F1"/>
    <w:rsid w:val="48D10CB7"/>
    <w:rsid w:val="48D23B6F"/>
    <w:rsid w:val="48D932C9"/>
    <w:rsid w:val="48DD58AD"/>
    <w:rsid w:val="48E848D3"/>
    <w:rsid w:val="48FA1FBB"/>
    <w:rsid w:val="48FD5345"/>
    <w:rsid w:val="48FF24B6"/>
    <w:rsid w:val="4900334A"/>
    <w:rsid w:val="491A265E"/>
    <w:rsid w:val="493D7B42"/>
    <w:rsid w:val="49417BEA"/>
    <w:rsid w:val="494661D8"/>
    <w:rsid w:val="49546972"/>
    <w:rsid w:val="495D254A"/>
    <w:rsid w:val="49641EC5"/>
    <w:rsid w:val="4968419C"/>
    <w:rsid w:val="496F78E1"/>
    <w:rsid w:val="49846C92"/>
    <w:rsid w:val="4987342C"/>
    <w:rsid w:val="498E33A9"/>
    <w:rsid w:val="4998001A"/>
    <w:rsid w:val="499A554C"/>
    <w:rsid w:val="499D06DA"/>
    <w:rsid w:val="499E328F"/>
    <w:rsid w:val="49BA799D"/>
    <w:rsid w:val="49C10D2B"/>
    <w:rsid w:val="49E6252A"/>
    <w:rsid w:val="49E62540"/>
    <w:rsid w:val="49EE5C19"/>
    <w:rsid w:val="4A0C62AE"/>
    <w:rsid w:val="4A282114"/>
    <w:rsid w:val="4A282B58"/>
    <w:rsid w:val="4A291B65"/>
    <w:rsid w:val="4A2E03DD"/>
    <w:rsid w:val="4A365C49"/>
    <w:rsid w:val="4A413C1A"/>
    <w:rsid w:val="4A445CDC"/>
    <w:rsid w:val="4A5120AF"/>
    <w:rsid w:val="4A5D0A54"/>
    <w:rsid w:val="4A694F91"/>
    <w:rsid w:val="4A6F0787"/>
    <w:rsid w:val="4A914926"/>
    <w:rsid w:val="4A972A27"/>
    <w:rsid w:val="4A9F106C"/>
    <w:rsid w:val="4AB80290"/>
    <w:rsid w:val="4ABA7329"/>
    <w:rsid w:val="4ABF6B1B"/>
    <w:rsid w:val="4AC64607"/>
    <w:rsid w:val="4AC72371"/>
    <w:rsid w:val="4ACA77B7"/>
    <w:rsid w:val="4ACB2744"/>
    <w:rsid w:val="4AD131F0"/>
    <w:rsid w:val="4ADC153C"/>
    <w:rsid w:val="4AE253FD"/>
    <w:rsid w:val="4AEC002A"/>
    <w:rsid w:val="4AEF5206"/>
    <w:rsid w:val="4AF2790D"/>
    <w:rsid w:val="4AF62C56"/>
    <w:rsid w:val="4B047121"/>
    <w:rsid w:val="4B0A57CA"/>
    <w:rsid w:val="4B1B446B"/>
    <w:rsid w:val="4B252804"/>
    <w:rsid w:val="4B2D2F9B"/>
    <w:rsid w:val="4B3B68BB"/>
    <w:rsid w:val="4B3D2633"/>
    <w:rsid w:val="4B534CA2"/>
    <w:rsid w:val="4B620E2A"/>
    <w:rsid w:val="4B775B45"/>
    <w:rsid w:val="4B83273C"/>
    <w:rsid w:val="4B8D7117"/>
    <w:rsid w:val="4B8F59C4"/>
    <w:rsid w:val="4BA52C0B"/>
    <w:rsid w:val="4BA91A77"/>
    <w:rsid w:val="4BAA3565"/>
    <w:rsid w:val="4BAB5682"/>
    <w:rsid w:val="4BB0781C"/>
    <w:rsid w:val="4BB1658B"/>
    <w:rsid w:val="4BE8259F"/>
    <w:rsid w:val="4BED08C6"/>
    <w:rsid w:val="4BFA22D2"/>
    <w:rsid w:val="4C006F04"/>
    <w:rsid w:val="4C043151"/>
    <w:rsid w:val="4C123AC0"/>
    <w:rsid w:val="4C2900AF"/>
    <w:rsid w:val="4C2A02CA"/>
    <w:rsid w:val="4C35155C"/>
    <w:rsid w:val="4C356280"/>
    <w:rsid w:val="4C400428"/>
    <w:rsid w:val="4C465627"/>
    <w:rsid w:val="4C5859B2"/>
    <w:rsid w:val="4C606024"/>
    <w:rsid w:val="4C714C8A"/>
    <w:rsid w:val="4C72455F"/>
    <w:rsid w:val="4C794128"/>
    <w:rsid w:val="4C7C5920"/>
    <w:rsid w:val="4C7D53DD"/>
    <w:rsid w:val="4C864DB2"/>
    <w:rsid w:val="4C8A3440"/>
    <w:rsid w:val="4CA26BF2"/>
    <w:rsid w:val="4CD15729"/>
    <w:rsid w:val="4CD3324F"/>
    <w:rsid w:val="4CFF2296"/>
    <w:rsid w:val="4D0D55B7"/>
    <w:rsid w:val="4D11310F"/>
    <w:rsid w:val="4D14385B"/>
    <w:rsid w:val="4D21045F"/>
    <w:rsid w:val="4D321154"/>
    <w:rsid w:val="4D3B42F7"/>
    <w:rsid w:val="4D493511"/>
    <w:rsid w:val="4D6245D3"/>
    <w:rsid w:val="4D707840"/>
    <w:rsid w:val="4D735FD2"/>
    <w:rsid w:val="4D752558"/>
    <w:rsid w:val="4D855111"/>
    <w:rsid w:val="4D921460"/>
    <w:rsid w:val="4D97427D"/>
    <w:rsid w:val="4DAC44E6"/>
    <w:rsid w:val="4DBD2EDA"/>
    <w:rsid w:val="4DD263A3"/>
    <w:rsid w:val="4DD824B6"/>
    <w:rsid w:val="4DDD1514"/>
    <w:rsid w:val="4DDF6B76"/>
    <w:rsid w:val="4DE171F2"/>
    <w:rsid w:val="4DE84AD8"/>
    <w:rsid w:val="4DEA0694"/>
    <w:rsid w:val="4DED20EF"/>
    <w:rsid w:val="4DF94F37"/>
    <w:rsid w:val="4E0D56BD"/>
    <w:rsid w:val="4E1F0521"/>
    <w:rsid w:val="4E381E9D"/>
    <w:rsid w:val="4E407740"/>
    <w:rsid w:val="4E4B32B9"/>
    <w:rsid w:val="4E50267E"/>
    <w:rsid w:val="4E5120BF"/>
    <w:rsid w:val="4E5C54C6"/>
    <w:rsid w:val="4E5D7B99"/>
    <w:rsid w:val="4E5E20DE"/>
    <w:rsid w:val="4E746794"/>
    <w:rsid w:val="4E7D7917"/>
    <w:rsid w:val="4E8642F1"/>
    <w:rsid w:val="4E885789"/>
    <w:rsid w:val="4E9336BA"/>
    <w:rsid w:val="4EA96822"/>
    <w:rsid w:val="4EB15AD9"/>
    <w:rsid w:val="4EC2262D"/>
    <w:rsid w:val="4EC512BE"/>
    <w:rsid w:val="4ED964BD"/>
    <w:rsid w:val="4EDE6ADD"/>
    <w:rsid w:val="4EE96D5A"/>
    <w:rsid w:val="4EFF4D1A"/>
    <w:rsid w:val="4F1F2F5A"/>
    <w:rsid w:val="4F493C9D"/>
    <w:rsid w:val="4F51788E"/>
    <w:rsid w:val="4F561F16"/>
    <w:rsid w:val="4F5D3557"/>
    <w:rsid w:val="4F5F0DCA"/>
    <w:rsid w:val="4F6603AB"/>
    <w:rsid w:val="4F786330"/>
    <w:rsid w:val="4F7954F3"/>
    <w:rsid w:val="4F7C4F39"/>
    <w:rsid w:val="4F9220E5"/>
    <w:rsid w:val="4F9759D2"/>
    <w:rsid w:val="4F976F04"/>
    <w:rsid w:val="4FA47D29"/>
    <w:rsid w:val="4FA974E9"/>
    <w:rsid w:val="4FAA6566"/>
    <w:rsid w:val="4FAF33E0"/>
    <w:rsid w:val="4FB21842"/>
    <w:rsid w:val="4FB31116"/>
    <w:rsid w:val="4FB55188"/>
    <w:rsid w:val="4FC64569"/>
    <w:rsid w:val="4FCB6460"/>
    <w:rsid w:val="4FCF212F"/>
    <w:rsid w:val="4FD06C6A"/>
    <w:rsid w:val="4FD6417A"/>
    <w:rsid w:val="4FF031F3"/>
    <w:rsid w:val="4FFC486B"/>
    <w:rsid w:val="4FFF3DF5"/>
    <w:rsid w:val="50064BAD"/>
    <w:rsid w:val="500D0826"/>
    <w:rsid w:val="5023629C"/>
    <w:rsid w:val="502C051E"/>
    <w:rsid w:val="50335A76"/>
    <w:rsid w:val="504C1022"/>
    <w:rsid w:val="5051576C"/>
    <w:rsid w:val="505B30E7"/>
    <w:rsid w:val="50615016"/>
    <w:rsid w:val="50627B98"/>
    <w:rsid w:val="506A211C"/>
    <w:rsid w:val="508825A3"/>
    <w:rsid w:val="50960969"/>
    <w:rsid w:val="50AB003F"/>
    <w:rsid w:val="50AF2A8A"/>
    <w:rsid w:val="50CB2B39"/>
    <w:rsid w:val="50D373B1"/>
    <w:rsid w:val="50DC53A0"/>
    <w:rsid w:val="50E52C18"/>
    <w:rsid w:val="50ED7E4A"/>
    <w:rsid w:val="50FC1ECA"/>
    <w:rsid w:val="510460CD"/>
    <w:rsid w:val="51062C86"/>
    <w:rsid w:val="51071719"/>
    <w:rsid w:val="510F4A73"/>
    <w:rsid w:val="511107EA"/>
    <w:rsid w:val="51147380"/>
    <w:rsid w:val="51167BAE"/>
    <w:rsid w:val="51183927"/>
    <w:rsid w:val="512E1F27"/>
    <w:rsid w:val="51311F03"/>
    <w:rsid w:val="51624EB8"/>
    <w:rsid w:val="516651C5"/>
    <w:rsid w:val="51670A56"/>
    <w:rsid w:val="516A1CA8"/>
    <w:rsid w:val="516C5386"/>
    <w:rsid w:val="516F2748"/>
    <w:rsid w:val="51735001"/>
    <w:rsid w:val="51787E51"/>
    <w:rsid w:val="517D5E7F"/>
    <w:rsid w:val="517E76C6"/>
    <w:rsid w:val="5185073B"/>
    <w:rsid w:val="51874608"/>
    <w:rsid w:val="518A5EA7"/>
    <w:rsid w:val="51946687"/>
    <w:rsid w:val="51A60673"/>
    <w:rsid w:val="51AC3E75"/>
    <w:rsid w:val="51BA7F4C"/>
    <w:rsid w:val="51BD0657"/>
    <w:rsid w:val="51C92E73"/>
    <w:rsid w:val="51CC64BF"/>
    <w:rsid w:val="51D84E64"/>
    <w:rsid w:val="51EA7063"/>
    <w:rsid w:val="51EE1D2F"/>
    <w:rsid w:val="51FF6894"/>
    <w:rsid w:val="522531DB"/>
    <w:rsid w:val="52287B99"/>
    <w:rsid w:val="52317854"/>
    <w:rsid w:val="52383B54"/>
    <w:rsid w:val="52481182"/>
    <w:rsid w:val="52537F1D"/>
    <w:rsid w:val="5258103A"/>
    <w:rsid w:val="52691292"/>
    <w:rsid w:val="52691F60"/>
    <w:rsid w:val="526D0C52"/>
    <w:rsid w:val="529D55C5"/>
    <w:rsid w:val="52B70F1D"/>
    <w:rsid w:val="52B90EF2"/>
    <w:rsid w:val="52C61160"/>
    <w:rsid w:val="52CA6EA2"/>
    <w:rsid w:val="52D52A1B"/>
    <w:rsid w:val="52EF3DCD"/>
    <w:rsid w:val="52F263F9"/>
    <w:rsid w:val="52F51336"/>
    <w:rsid w:val="52FE55A4"/>
    <w:rsid w:val="53193079"/>
    <w:rsid w:val="532F1796"/>
    <w:rsid w:val="53312A7E"/>
    <w:rsid w:val="53316F22"/>
    <w:rsid w:val="533C17AF"/>
    <w:rsid w:val="53430A03"/>
    <w:rsid w:val="534D2396"/>
    <w:rsid w:val="53517F2D"/>
    <w:rsid w:val="535876D7"/>
    <w:rsid w:val="53603363"/>
    <w:rsid w:val="53764934"/>
    <w:rsid w:val="537B63EF"/>
    <w:rsid w:val="537F5EDF"/>
    <w:rsid w:val="53803A05"/>
    <w:rsid w:val="538A01A3"/>
    <w:rsid w:val="538B4884"/>
    <w:rsid w:val="5391176E"/>
    <w:rsid w:val="53A53996"/>
    <w:rsid w:val="53A74930"/>
    <w:rsid w:val="53B813F1"/>
    <w:rsid w:val="53CD6672"/>
    <w:rsid w:val="53D13BDA"/>
    <w:rsid w:val="53D31D87"/>
    <w:rsid w:val="53E41588"/>
    <w:rsid w:val="53EA002E"/>
    <w:rsid w:val="53EC109A"/>
    <w:rsid w:val="53EC14CB"/>
    <w:rsid w:val="53F34B34"/>
    <w:rsid w:val="53F9193E"/>
    <w:rsid w:val="54041F40"/>
    <w:rsid w:val="541D7852"/>
    <w:rsid w:val="543C792C"/>
    <w:rsid w:val="544007AB"/>
    <w:rsid w:val="54422A68"/>
    <w:rsid w:val="54427FEE"/>
    <w:rsid w:val="54462559"/>
    <w:rsid w:val="544E0625"/>
    <w:rsid w:val="544E184D"/>
    <w:rsid w:val="5454111A"/>
    <w:rsid w:val="545A292D"/>
    <w:rsid w:val="54792955"/>
    <w:rsid w:val="547B550C"/>
    <w:rsid w:val="548D0188"/>
    <w:rsid w:val="54906687"/>
    <w:rsid w:val="54A30D42"/>
    <w:rsid w:val="54A6749B"/>
    <w:rsid w:val="54AE00FE"/>
    <w:rsid w:val="54BC3423"/>
    <w:rsid w:val="54C811C0"/>
    <w:rsid w:val="54E16725"/>
    <w:rsid w:val="54EF2BF0"/>
    <w:rsid w:val="54F3656F"/>
    <w:rsid w:val="55015585"/>
    <w:rsid w:val="550A03B3"/>
    <w:rsid w:val="55105588"/>
    <w:rsid w:val="5516503E"/>
    <w:rsid w:val="55264138"/>
    <w:rsid w:val="55322ADD"/>
    <w:rsid w:val="55482300"/>
    <w:rsid w:val="555311BE"/>
    <w:rsid w:val="55545149"/>
    <w:rsid w:val="555A7710"/>
    <w:rsid w:val="55716E53"/>
    <w:rsid w:val="55792317"/>
    <w:rsid w:val="55943798"/>
    <w:rsid w:val="55A433F1"/>
    <w:rsid w:val="55B7285D"/>
    <w:rsid w:val="55CB4433"/>
    <w:rsid w:val="55D83684"/>
    <w:rsid w:val="55DF0EB7"/>
    <w:rsid w:val="55DF14DA"/>
    <w:rsid w:val="55E262B1"/>
    <w:rsid w:val="560B54F2"/>
    <w:rsid w:val="56225402"/>
    <w:rsid w:val="56235DDD"/>
    <w:rsid w:val="56383062"/>
    <w:rsid w:val="563C47E7"/>
    <w:rsid w:val="563F58D5"/>
    <w:rsid w:val="56455510"/>
    <w:rsid w:val="566273F2"/>
    <w:rsid w:val="566975FC"/>
    <w:rsid w:val="56754187"/>
    <w:rsid w:val="56786C15"/>
    <w:rsid w:val="56A87A9C"/>
    <w:rsid w:val="56AA59A6"/>
    <w:rsid w:val="56B32644"/>
    <w:rsid w:val="56B714EC"/>
    <w:rsid w:val="56CB4D9D"/>
    <w:rsid w:val="56CC293F"/>
    <w:rsid w:val="56D55E16"/>
    <w:rsid w:val="56E17D3C"/>
    <w:rsid w:val="56E26B7B"/>
    <w:rsid w:val="56EB2115"/>
    <w:rsid w:val="56F828E4"/>
    <w:rsid w:val="5708357D"/>
    <w:rsid w:val="57092C6F"/>
    <w:rsid w:val="57194F0E"/>
    <w:rsid w:val="57202FE4"/>
    <w:rsid w:val="57206163"/>
    <w:rsid w:val="572C4895"/>
    <w:rsid w:val="57385AE3"/>
    <w:rsid w:val="574014E1"/>
    <w:rsid w:val="57454D4A"/>
    <w:rsid w:val="57487DD0"/>
    <w:rsid w:val="574B3646"/>
    <w:rsid w:val="57515DCB"/>
    <w:rsid w:val="57530C2A"/>
    <w:rsid w:val="575B6563"/>
    <w:rsid w:val="576B6DDE"/>
    <w:rsid w:val="5774562F"/>
    <w:rsid w:val="57805D82"/>
    <w:rsid w:val="5787349C"/>
    <w:rsid w:val="578E4E7B"/>
    <w:rsid w:val="57913D15"/>
    <w:rsid w:val="579730CB"/>
    <w:rsid w:val="579F6785"/>
    <w:rsid w:val="57A9125C"/>
    <w:rsid w:val="57BC209D"/>
    <w:rsid w:val="57C064C4"/>
    <w:rsid w:val="57E04663"/>
    <w:rsid w:val="581F559B"/>
    <w:rsid w:val="58272540"/>
    <w:rsid w:val="58353010"/>
    <w:rsid w:val="58360B36"/>
    <w:rsid w:val="58413D11"/>
    <w:rsid w:val="58464271"/>
    <w:rsid w:val="58782BD5"/>
    <w:rsid w:val="58825B29"/>
    <w:rsid w:val="588731E0"/>
    <w:rsid w:val="588E0972"/>
    <w:rsid w:val="589B08C7"/>
    <w:rsid w:val="58A02A92"/>
    <w:rsid w:val="58A37A89"/>
    <w:rsid w:val="58A60E68"/>
    <w:rsid w:val="58BC54DF"/>
    <w:rsid w:val="58BE6652"/>
    <w:rsid w:val="58C30317"/>
    <w:rsid w:val="58CA7BFC"/>
    <w:rsid w:val="58D25436"/>
    <w:rsid w:val="58D8399B"/>
    <w:rsid w:val="58E10AA2"/>
    <w:rsid w:val="58FE04B5"/>
    <w:rsid w:val="591E5852"/>
    <w:rsid w:val="5949385A"/>
    <w:rsid w:val="5953490D"/>
    <w:rsid w:val="595E450A"/>
    <w:rsid w:val="59636CFC"/>
    <w:rsid w:val="59671DB6"/>
    <w:rsid w:val="597653C3"/>
    <w:rsid w:val="59815DE1"/>
    <w:rsid w:val="59973856"/>
    <w:rsid w:val="59A97303"/>
    <w:rsid w:val="59B46974"/>
    <w:rsid w:val="59CE15C2"/>
    <w:rsid w:val="59D9361D"/>
    <w:rsid w:val="59E3084A"/>
    <w:rsid w:val="59E85E60"/>
    <w:rsid w:val="59E9048C"/>
    <w:rsid w:val="59F3324B"/>
    <w:rsid w:val="59F91E1B"/>
    <w:rsid w:val="5A074538"/>
    <w:rsid w:val="5A084780"/>
    <w:rsid w:val="5A252C10"/>
    <w:rsid w:val="5A2B0941"/>
    <w:rsid w:val="5A366B23"/>
    <w:rsid w:val="5A3D43FE"/>
    <w:rsid w:val="5A410A17"/>
    <w:rsid w:val="5A4A2677"/>
    <w:rsid w:val="5A584D94"/>
    <w:rsid w:val="5A5874C6"/>
    <w:rsid w:val="5A5B6804"/>
    <w:rsid w:val="5A81078E"/>
    <w:rsid w:val="5A9810FD"/>
    <w:rsid w:val="5AA20C28"/>
    <w:rsid w:val="5ABD4B01"/>
    <w:rsid w:val="5AC767DE"/>
    <w:rsid w:val="5AD00DCE"/>
    <w:rsid w:val="5AD36B10"/>
    <w:rsid w:val="5AD55D90"/>
    <w:rsid w:val="5AF91B85"/>
    <w:rsid w:val="5B006F58"/>
    <w:rsid w:val="5B01542B"/>
    <w:rsid w:val="5B136F0D"/>
    <w:rsid w:val="5B1705D8"/>
    <w:rsid w:val="5B2A2BD4"/>
    <w:rsid w:val="5B2D4472"/>
    <w:rsid w:val="5B32183B"/>
    <w:rsid w:val="5B4C4753"/>
    <w:rsid w:val="5B4D663F"/>
    <w:rsid w:val="5B507358"/>
    <w:rsid w:val="5B57657C"/>
    <w:rsid w:val="5B786EFE"/>
    <w:rsid w:val="5BA05936"/>
    <w:rsid w:val="5BB3793B"/>
    <w:rsid w:val="5BC327ED"/>
    <w:rsid w:val="5BD40D92"/>
    <w:rsid w:val="5BDB53FD"/>
    <w:rsid w:val="5C005BD6"/>
    <w:rsid w:val="5C0A2DA0"/>
    <w:rsid w:val="5C166CB5"/>
    <w:rsid w:val="5C335AB8"/>
    <w:rsid w:val="5C4A57E8"/>
    <w:rsid w:val="5C6A5252"/>
    <w:rsid w:val="5C6B3833"/>
    <w:rsid w:val="5C766AF5"/>
    <w:rsid w:val="5C797243"/>
    <w:rsid w:val="5C7E6225"/>
    <w:rsid w:val="5C844566"/>
    <w:rsid w:val="5C8A6243"/>
    <w:rsid w:val="5C8E1496"/>
    <w:rsid w:val="5C8F73A1"/>
    <w:rsid w:val="5C9365AD"/>
    <w:rsid w:val="5C961EBE"/>
    <w:rsid w:val="5C9A1694"/>
    <w:rsid w:val="5CB577EF"/>
    <w:rsid w:val="5CB85FBE"/>
    <w:rsid w:val="5CC11316"/>
    <w:rsid w:val="5CCB2156"/>
    <w:rsid w:val="5CD11F99"/>
    <w:rsid w:val="5CDE7503"/>
    <w:rsid w:val="5CE76078"/>
    <w:rsid w:val="5CFF2C16"/>
    <w:rsid w:val="5D015BB7"/>
    <w:rsid w:val="5D102C3A"/>
    <w:rsid w:val="5D1808C2"/>
    <w:rsid w:val="5D215911"/>
    <w:rsid w:val="5D235B2D"/>
    <w:rsid w:val="5D243653"/>
    <w:rsid w:val="5D4050EB"/>
    <w:rsid w:val="5D487342"/>
    <w:rsid w:val="5D4D6CC2"/>
    <w:rsid w:val="5D5421B1"/>
    <w:rsid w:val="5D662A37"/>
    <w:rsid w:val="5D6B1F62"/>
    <w:rsid w:val="5D7802E2"/>
    <w:rsid w:val="5D973E25"/>
    <w:rsid w:val="5D9F0F2C"/>
    <w:rsid w:val="5DA25102"/>
    <w:rsid w:val="5DAA7FFC"/>
    <w:rsid w:val="5DB46785"/>
    <w:rsid w:val="5DB9564C"/>
    <w:rsid w:val="5DC0337C"/>
    <w:rsid w:val="5DC437AD"/>
    <w:rsid w:val="5DCD0FAB"/>
    <w:rsid w:val="5DDE3802"/>
    <w:rsid w:val="5DDE528B"/>
    <w:rsid w:val="5DF12C38"/>
    <w:rsid w:val="5DFF5854"/>
    <w:rsid w:val="5E0A1DA8"/>
    <w:rsid w:val="5E0C37A5"/>
    <w:rsid w:val="5E211975"/>
    <w:rsid w:val="5E22722F"/>
    <w:rsid w:val="5E49258B"/>
    <w:rsid w:val="5E541D16"/>
    <w:rsid w:val="5E612635"/>
    <w:rsid w:val="5E6C7060"/>
    <w:rsid w:val="5E8301E9"/>
    <w:rsid w:val="5E940365"/>
    <w:rsid w:val="5EA27A04"/>
    <w:rsid w:val="5EA30D5C"/>
    <w:rsid w:val="5EC614D7"/>
    <w:rsid w:val="5ECB022A"/>
    <w:rsid w:val="5F0D7CDD"/>
    <w:rsid w:val="5F24793A"/>
    <w:rsid w:val="5F294F51"/>
    <w:rsid w:val="5F2B1258"/>
    <w:rsid w:val="5F341B12"/>
    <w:rsid w:val="5F3F6042"/>
    <w:rsid w:val="5F401F13"/>
    <w:rsid w:val="5F536764"/>
    <w:rsid w:val="5F5F1572"/>
    <w:rsid w:val="5F602730"/>
    <w:rsid w:val="5F7206A6"/>
    <w:rsid w:val="5F7F7267"/>
    <w:rsid w:val="5F8A3786"/>
    <w:rsid w:val="5F906D7E"/>
    <w:rsid w:val="5F955BCE"/>
    <w:rsid w:val="5F9E2AEE"/>
    <w:rsid w:val="5FA04B99"/>
    <w:rsid w:val="5FB92BD8"/>
    <w:rsid w:val="5FC6118B"/>
    <w:rsid w:val="5FCA6734"/>
    <w:rsid w:val="5FCC24AC"/>
    <w:rsid w:val="5FE22C7D"/>
    <w:rsid w:val="5FF91C9F"/>
    <w:rsid w:val="60025ECE"/>
    <w:rsid w:val="600514C1"/>
    <w:rsid w:val="6005151A"/>
    <w:rsid w:val="600913B9"/>
    <w:rsid w:val="601B6F8F"/>
    <w:rsid w:val="6027264A"/>
    <w:rsid w:val="603D1FA6"/>
    <w:rsid w:val="604D0916"/>
    <w:rsid w:val="607246D5"/>
    <w:rsid w:val="6073092C"/>
    <w:rsid w:val="607B75A7"/>
    <w:rsid w:val="607D617F"/>
    <w:rsid w:val="60823C9C"/>
    <w:rsid w:val="60824919"/>
    <w:rsid w:val="60874625"/>
    <w:rsid w:val="609512FA"/>
    <w:rsid w:val="609B1E7E"/>
    <w:rsid w:val="609B76AB"/>
    <w:rsid w:val="60A51BBC"/>
    <w:rsid w:val="60B7760A"/>
    <w:rsid w:val="60BF5335"/>
    <w:rsid w:val="60C01006"/>
    <w:rsid w:val="60C35353"/>
    <w:rsid w:val="60CC028A"/>
    <w:rsid w:val="60D3367C"/>
    <w:rsid w:val="60E05AE3"/>
    <w:rsid w:val="61125ADE"/>
    <w:rsid w:val="6118702B"/>
    <w:rsid w:val="612752F6"/>
    <w:rsid w:val="61292A0A"/>
    <w:rsid w:val="613226D4"/>
    <w:rsid w:val="6134423D"/>
    <w:rsid w:val="61396750"/>
    <w:rsid w:val="61450CC1"/>
    <w:rsid w:val="615540E3"/>
    <w:rsid w:val="6158021C"/>
    <w:rsid w:val="61734BA9"/>
    <w:rsid w:val="61761FA3"/>
    <w:rsid w:val="617E542A"/>
    <w:rsid w:val="617F354E"/>
    <w:rsid w:val="61964934"/>
    <w:rsid w:val="61A60A09"/>
    <w:rsid w:val="61AD1E69"/>
    <w:rsid w:val="61AD698D"/>
    <w:rsid w:val="61AF3E33"/>
    <w:rsid w:val="61BC3E5A"/>
    <w:rsid w:val="61BC5407"/>
    <w:rsid w:val="61C80A51"/>
    <w:rsid w:val="61DC2C55"/>
    <w:rsid w:val="61E8684E"/>
    <w:rsid w:val="61F5736C"/>
    <w:rsid w:val="621554DF"/>
    <w:rsid w:val="6231670D"/>
    <w:rsid w:val="62361E5F"/>
    <w:rsid w:val="623E170D"/>
    <w:rsid w:val="62410803"/>
    <w:rsid w:val="624176FE"/>
    <w:rsid w:val="626C30FD"/>
    <w:rsid w:val="62822680"/>
    <w:rsid w:val="62886432"/>
    <w:rsid w:val="628B4C86"/>
    <w:rsid w:val="628F5A13"/>
    <w:rsid w:val="62976675"/>
    <w:rsid w:val="629B7F14"/>
    <w:rsid w:val="62B2525D"/>
    <w:rsid w:val="62B31701"/>
    <w:rsid w:val="62C276D3"/>
    <w:rsid w:val="62CB7554"/>
    <w:rsid w:val="62CC51ED"/>
    <w:rsid w:val="62D64089"/>
    <w:rsid w:val="62E278F0"/>
    <w:rsid w:val="62F07EBF"/>
    <w:rsid w:val="62FD74D1"/>
    <w:rsid w:val="633F489C"/>
    <w:rsid w:val="63514A76"/>
    <w:rsid w:val="63617031"/>
    <w:rsid w:val="636D5D54"/>
    <w:rsid w:val="6370314E"/>
    <w:rsid w:val="63815CC6"/>
    <w:rsid w:val="638F283F"/>
    <w:rsid w:val="63931964"/>
    <w:rsid w:val="639808F7"/>
    <w:rsid w:val="639C7B9A"/>
    <w:rsid w:val="63B60EA2"/>
    <w:rsid w:val="63BC6393"/>
    <w:rsid w:val="63C024C4"/>
    <w:rsid w:val="63C25896"/>
    <w:rsid w:val="63D422F9"/>
    <w:rsid w:val="63F00904"/>
    <w:rsid w:val="63F043EC"/>
    <w:rsid w:val="6409444B"/>
    <w:rsid w:val="641935F7"/>
    <w:rsid w:val="64204EC5"/>
    <w:rsid w:val="64210398"/>
    <w:rsid w:val="642D103F"/>
    <w:rsid w:val="643416F3"/>
    <w:rsid w:val="643F0D73"/>
    <w:rsid w:val="64437408"/>
    <w:rsid w:val="64456C7A"/>
    <w:rsid w:val="64520181"/>
    <w:rsid w:val="64542A70"/>
    <w:rsid w:val="645C7B76"/>
    <w:rsid w:val="645E6918"/>
    <w:rsid w:val="64607667"/>
    <w:rsid w:val="646305C3"/>
    <w:rsid w:val="64632FCC"/>
    <w:rsid w:val="64656A1C"/>
    <w:rsid w:val="64AE0327"/>
    <w:rsid w:val="64B23BF0"/>
    <w:rsid w:val="64C25075"/>
    <w:rsid w:val="64C73A44"/>
    <w:rsid w:val="64E42046"/>
    <w:rsid w:val="64E63481"/>
    <w:rsid w:val="64FB171A"/>
    <w:rsid w:val="6502307D"/>
    <w:rsid w:val="650C5F68"/>
    <w:rsid w:val="651E6BDA"/>
    <w:rsid w:val="65301E06"/>
    <w:rsid w:val="65423FBD"/>
    <w:rsid w:val="65440165"/>
    <w:rsid w:val="65465868"/>
    <w:rsid w:val="65595268"/>
    <w:rsid w:val="655F347A"/>
    <w:rsid w:val="65677667"/>
    <w:rsid w:val="65736F26"/>
    <w:rsid w:val="6585641F"/>
    <w:rsid w:val="65856C59"/>
    <w:rsid w:val="65AE4402"/>
    <w:rsid w:val="65B22D49"/>
    <w:rsid w:val="65B732B6"/>
    <w:rsid w:val="65B87918"/>
    <w:rsid w:val="65BF03BD"/>
    <w:rsid w:val="65BF0940"/>
    <w:rsid w:val="65C16A98"/>
    <w:rsid w:val="65C459D3"/>
    <w:rsid w:val="65C90C1D"/>
    <w:rsid w:val="65DA0D43"/>
    <w:rsid w:val="65E57634"/>
    <w:rsid w:val="65F04A1A"/>
    <w:rsid w:val="65F45903"/>
    <w:rsid w:val="66052086"/>
    <w:rsid w:val="66055786"/>
    <w:rsid w:val="66176929"/>
    <w:rsid w:val="66184628"/>
    <w:rsid w:val="66287D10"/>
    <w:rsid w:val="6632293D"/>
    <w:rsid w:val="66377F53"/>
    <w:rsid w:val="663A6012"/>
    <w:rsid w:val="66410DD2"/>
    <w:rsid w:val="66426D59"/>
    <w:rsid w:val="66443BE4"/>
    <w:rsid w:val="66525F16"/>
    <w:rsid w:val="665F74AA"/>
    <w:rsid w:val="66605EFF"/>
    <w:rsid w:val="66650F64"/>
    <w:rsid w:val="66725F9B"/>
    <w:rsid w:val="667D1EF3"/>
    <w:rsid w:val="667F18FA"/>
    <w:rsid w:val="66805BED"/>
    <w:rsid w:val="668D4017"/>
    <w:rsid w:val="669B2BD8"/>
    <w:rsid w:val="66A30875"/>
    <w:rsid w:val="66CC0FE3"/>
    <w:rsid w:val="66DD19F5"/>
    <w:rsid w:val="66DF0B71"/>
    <w:rsid w:val="66DF3D47"/>
    <w:rsid w:val="66E40516"/>
    <w:rsid w:val="66F1487B"/>
    <w:rsid w:val="670562A3"/>
    <w:rsid w:val="67065B78"/>
    <w:rsid w:val="67087B42"/>
    <w:rsid w:val="67095D94"/>
    <w:rsid w:val="671B35CC"/>
    <w:rsid w:val="67204E8B"/>
    <w:rsid w:val="672973AE"/>
    <w:rsid w:val="673F4393"/>
    <w:rsid w:val="67634F5B"/>
    <w:rsid w:val="678E6299"/>
    <w:rsid w:val="67957627"/>
    <w:rsid w:val="67985039"/>
    <w:rsid w:val="679F4002"/>
    <w:rsid w:val="67A14E36"/>
    <w:rsid w:val="67A55390"/>
    <w:rsid w:val="67AA333B"/>
    <w:rsid w:val="67C361A4"/>
    <w:rsid w:val="67C63C85"/>
    <w:rsid w:val="67DC3EBC"/>
    <w:rsid w:val="67E22875"/>
    <w:rsid w:val="67EE4F89"/>
    <w:rsid w:val="67F1049D"/>
    <w:rsid w:val="67F611D8"/>
    <w:rsid w:val="67F661EB"/>
    <w:rsid w:val="68071BA7"/>
    <w:rsid w:val="681E31E8"/>
    <w:rsid w:val="682730F0"/>
    <w:rsid w:val="68353A3E"/>
    <w:rsid w:val="68653D5D"/>
    <w:rsid w:val="68831B76"/>
    <w:rsid w:val="68864D0C"/>
    <w:rsid w:val="689041F6"/>
    <w:rsid w:val="68940B52"/>
    <w:rsid w:val="689D5BED"/>
    <w:rsid w:val="68AC5CE4"/>
    <w:rsid w:val="68CB7E9E"/>
    <w:rsid w:val="68E50078"/>
    <w:rsid w:val="68F80320"/>
    <w:rsid w:val="68FC6024"/>
    <w:rsid w:val="69087867"/>
    <w:rsid w:val="69226A6C"/>
    <w:rsid w:val="69280027"/>
    <w:rsid w:val="69407A67"/>
    <w:rsid w:val="69434E61"/>
    <w:rsid w:val="6958090C"/>
    <w:rsid w:val="69610002"/>
    <w:rsid w:val="69615558"/>
    <w:rsid w:val="698164B4"/>
    <w:rsid w:val="69817394"/>
    <w:rsid w:val="699252CA"/>
    <w:rsid w:val="69A2602B"/>
    <w:rsid w:val="69A70B72"/>
    <w:rsid w:val="69CC422B"/>
    <w:rsid w:val="69D00DEB"/>
    <w:rsid w:val="69EC54F9"/>
    <w:rsid w:val="69F41B94"/>
    <w:rsid w:val="6A0C4C44"/>
    <w:rsid w:val="6A0D5B9B"/>
    <w:rsid w:val="6A12596B"/>
    <w:rsid w:val="6A2B7DCF"/>
    <w:rsid w:val="6A3A2708"/>
    <w:rsid w:val="6A440E91"/>
    <w:rsid w:val="6A4B221F"/>
    <w:rsid w:val="6A5D1F52"/>
    <w:rsid w:val="6A6E136A"/>
    <w:rsid w:val="6A7E6C14"/>
    <w:rsid w:val="6A9C45DF"/>
    <w:rsid w:val="6AB80E58"/>
    <w:rsid w:val="6AC23318"/>
    <w:rsid w:val="6AD55D65"/>
    <w:rsid w:val="6AE0505D"/>
    <w:rsid w:val="6AEE3DFC"/>
    <w:rsid w:val="6AF4688F"/>
    <w:rsid w:val="6AF97ECD"/>
    <w:rsid w:val="6B1734E6"/>
    <w:rsid w:val="6B2D37A8"/>
    <w:rsid w:val="6B3B2294"/>
    <w:rsid w:val="6B3D4721"/>
    <w:rsid w:val="6B443F8C"/>
    <w:rsid w:val="6B4E3D8A"/>
    <w:rsid w:val="6B5C220A"/>
    <w:rsid w:val="6B6537B4"/>
    <w:rsid w:val="6B6F018F"/>
    <w:rsid w:val="6B7019E5"/>
    <w:rsid w:val="6B771714"/>
    <w:rsid w:val="6B981494"/>
    <w:rsid w:val="6BA15AF0"/>
    <w:rsid w:val="6BA30C87"/>
    <w:rsid w:val="6BA77929"/>
    <w:rsid w:val="6BBD0EFB"/>
    <w:rsid w:val="6BD7607A"/>
    <w:rsid w:val="6BE40B7D"/>
    <w:rsid w:val="6BE550C8"/>
    <w:rsid w:val="6BEC3F9B"/>
    <w:rsid w:val="6C00528B"/>
    <w:rsid w:val="6C023553"/>
    <w:rsid w:val="6C0758C5"/>
    <w:rsid w:val="6C21592D"/>
    <w:rsid w:val="6C256AA0"/>
    <w:rsid w:val="6C302AB9"/>
    <w:rsid w:val="6C36701B"/>
    <w:rsid w:val="6C395AE6"/>
    <w:rsid w:val="6C404060"/>
    <w:rsid w:val="6C636C41"/>
    <w:rsid w:val="6C655DFE"/>
    <w:rsid w:val="6C6A4059"/>
    <w:rsid w:val="6C6D4B93"/>
    <w:rsid w:val="6C8163CC"/>
    <w:rsid w:val="6C822B46"/>
    <w:rsid w:val="6C8D0615"/>
    <w:rsid w:val="6C961D42"/>
    <w:rsid w:val="6CA85974"/>
    <w:rsid w:val="6CBA695A"/>
    <w:rsid w:val="6CC60283"/>
    <w:rsid w:val="6CCF2CB3"/>
    <w:rsid w:val="6CD17AD3"/>
    <w:rsid w:val="6CD57731"/>
    <w:rsid w:val="6CD57C97"/>
    <w:rsid w:val="6CE8644B"/>
    <w:rsid w:val="6CEB5F3B"/>
    <w:rsid w:val="6CF353F3"/>
    <w:rsid w:val="6CF44DF0"/>
    <w:rsid w:val="6D042B59"/>
    <w:rsid w:val="6D205BE5"/>
    <w:rsid w:val="6D261AD0"/>
    <w:rsid w:val="6D30394E"/>
    <w:rsid w:val="6D427AAD"/>
    <w:rsid w:val="6D5174AE"/>
    <w:rsid w:val="6D6506E3"/>
    <w:rsid w:val="6D7B7D66"/>
    <w:rsid w:val="6D8D4247"/>
    <w:rsid w:val="6D963E1E"/>
    <w:rsid w:val="6D9914F3"/>
    <w:rsid w:val="6DB27941"/>
    <w:rsid w:val="6DBB2D6D"/>
    <w:rsid w:val="6DC24EEE"/>
    <w:rsid w:val="6DD33635"/>
    <w:rsid w:val="6DDD39B4"/>
    <w:rsid w:val="6DEC2A36"/>
    <w:rsid w:val="6E03324D"/>
    <w:rsid w:val="6E0E5A3E"/>
    <w:rsid w:val="6E3000AA"/>
    <w:rsid w:val="6E483ABD"/>
    <w:rsid w:val="6E5621BD"/>
    <w:rsid w:val="6E7855AD"/>
    <w:rsid w:val="6E7A30D3"/>
    <w:rsid w:val="6E7B6E4B"/>
    <w:rsid w:val="6E910B04"/>
    <w:rsid w:val="6EA17BA1"/>
    <w:rsid w:val="6EBF7E2D"/>
    <w:rsid w:val="6EC66318"/>
    <w:rsid w:val="6EC73E91"/>
    <w:rsid w:val="6EC971E2"/>
    <w:rsid w:val="6ED521FB"/>
    <w:rsid w:val="6EDD7255"/>
    <w:rsid w:val="6EE71F02"/>
    <w:rsid w:val="6EE80984"/>
    <w:rsid w:val="6F256596"/>
    <w:rsid w:val="6F5F73FC"/>
    <w:rsid w:val="6F635391"/>
    <w:rsid w:val="6F7375CA"/>
    <w:rsid w:val="6F7D3BD1"/>
    <w:rsid w:val="6F834209"/>
    <w:rsid w:val="6F8F7052"/>
    <w:rsid w:val="6F9401C4"/>
    <w:rsid w:val="6FA83C70"/>
    <w:rsid w:val="6FB3520E"/>
    <w:rsid w:val="6FB42615"/>
    <w:rsid w:val="6FC7059A"/>
    <w:rsid w:val="6FCD39F5"/>
    <w:rsid w:val="6FCF744E"/>
    <w:rsid w:val="6FEC63DE"/>
    <w:rsid w:val="6FEE7E83"/>
    <w:rsid w:val="6FF86E6E"/>
    <w:rsid w:val="700C6B99"/>
    <w:rsid w:val="700D56C1"/>
    <w:rsid w:val="701337DF"/>
    <w:rsid w:val="701D5CD8"/>
    <w:rsid w:val="7027728A"/>
    <w:rsid w:val="702F0FE0"/>
    <w:rsid w:val="703379DD"/>
    <w:rsid w:val="705A7660"/>
    <w:rsid w:val="70636317"/>
    <w:rsid w:val="70937B68"/>
    <w:rsid w:val="70A456A4"/>
    <w:rsid w:val="70B13B2E"/>
    <w:rsid w:val="70C668B9"/>
    <w:rsid w:val="70C83E2E"/>
    <w:rsid w:val="70CC63C2"/>
    <w:rsid w:val="70CD5BE5"/>
    <w:rsid w:val="70CE16E6"/>
    <w:rsid w:val="70CE5958"/>
    <w:rsid w:val="70E00AA4"/>
    <w:rsid w:val="70E944EF"/>
    <w:rsid w:val="70EE35BA"/>
    <w:rsid w:val="70FE5E9F"/>
    <w:rsid w:val="70FF27D5"/>
    <w:rsid w:val="71175551"/>
    <w:rsid w:val="711D3FBC"/>
    <w:rsid w:val="71306613"/>
    <w:rsid w:val="71325A7E"/>
    <w:rsid w:val="71502811"/>
    <w:rsid w:val="715A301C"/>
    <w:rsid w:val="71681909"/>
    <w:rsid w:val="716969B9"/>
    <w:rsid w:val="716A5681"/>
    <w:rsid w:val="71777BE9"/>
    <w:rsid w:val="718304F0"/>
    <w:rsid w:val="71AB3AFD"/>
    <w:rsid w:val="71B27806"/>
    <w:rsid w:val="71B96866"/>
    <w:rsid w:val="71BF2D2D"/>
    <w:rsid w:val="71D83191"/>
    <w:rsid w:val="71DE606F"/>
    <w:rsid w:val="720158B9"/>
    <w:rsid w:val="72043649"/>
    <w:rsid w:val="721A5BA5"/>
    <w:rsid w:val="721F290F"/>
    <w:rsid w:val="72204622"/>
    <w:rsid w:val="72363911"/>
    <w:rsid w:val="723E4571"/>
    <w:rsid w:val="723E6316"/>
    <w:rsid w:val="723F11BD"/>
    <w:rsid w:val="72404D0E"/>
    <w:rsid w:val="724072A5"/>
    <w:rsid w:val="72465EB5"/>
    <w:rsid w:val="724C0895"/>
    <w:rsid w:val="72895FDA"/>
    <w:rsid w:val="729534D5"/>
    <w:rsid w:val="72964CB9"/>
    <w:rsid w:val="72A04933"/>
    <w:rsid w:val="72A50545"/>
    <w:rsid w:val="72A56A1A"/>
    <w:rsid w:val="72AB6B0C"/>
    <w:rsid w:val="72B05A0A"/>
    <w:rsid w:val="72B50B7E"/>
    <w:rsid w:val="72CD2D24"/>
    <w:rsid w:val="72DF61AF"/>
    <w:rsid w:val="72F316A6"/>
    <w:rsid w:val="72F339F7"/>
    <w:rsid w:val="730A5C87"/>
    <w:rsid w:val="730C2768"/>
    <w:rsid w:val="73124068"/>
    <w:rsid w:val="7323071B"/>
    <w:rsid w:val="732A5193"/>
    <w:rsid w:val="732C6966"/>
    <w:rsid w:val="733703A2"/>
    <w:rsid w:val="73372053"/>
    <w:rsid w:val="733A0D80"/>
    <w:rsid w:val="733E1DB5"/>
    <w:rsid w:val="734463A5"/>
    <w:rsid w:val="734F4B44"/>
    <w:rsid w:val="73591E51"/>
    <w:rsid w:val="73644352"/>
    <w:rsid w:val="73781BAB"/>
    <w:rsid w:val="737C169B"/>
    <w:rsid w:val="739015EB"/>
    <w:rsid w:val="739A7D73"/>
    <w:rsid w:val="73A37DCF"/>
    <w:rsid w:val="73AF7CC3"/>
    <w:rsid w:val="73B96FA0"/>
    <w:rsid w:val="73D94D40"/>
    <w:rsid w:val="73F92CEC"/>
    <w:rsid w:val="74100F18"/>
    <w:rsid w:val="7440091B"/>
    <w:rsid w:val="745850ED"/>
    <w:rsid w:val="74587C06"/>
    <w:rsid w:val="74626AE3"/>
    <w:rsid w:val="74667495"/>
    <w:rsid w:val="74690AD2"/>
    <w:rsid w:val="747C4C24"/>
    <w:rsid w:val="74874B46"/>
    <w:rsid w:val="748D3258"/>
    <w:rsid w:val="7491561A"/>
    <w:rsid w:val="74952DBD"/>
    <w:rsid w:val="74962C31"/>
    <w:rsid w:val="749B4582"/>
    <w:rsid w:val="74A76B0A"/>
    <w:rsid w:val="74A76BEC"/>
    <w:rsid w:val="74B3733F"/>
    <w:rsid w:val="74B82BA7"/>
    <w:rsid w:val="74BC1189"/>
    <w:rsid w:val="74C23A26"/>
    <w:rsid w:val="74C710B4"/>
    <w:rsid w:val="74D13F15"/>
    <w:rsid w:val="74DB0149"/>
    <w:rsid w:val="74DF1EE2"/>
    <w:rsid w:val="74E05C5A"/>
    <w:rsid w:val="74E67714"/>
    <w:rsid w:val="75031B05"/>
    <w:rsid w:val="7504311A"/>
    <w:rsid w:val="751D2A0A"/>
    <w:rsid w:val="752551EB"/>
    <w:rsid w:val="75263FB5"/>
    <w:rsid w:val="75280083"/>
    <w:rsid w:val="752F4FD8"/>
    <w:rsid w:val="75394021"/>
    <w:rsid w:val="75451320"/>
    <w:rsid w:val="754A1192"/>
    <w:rsid w:val="754C32EF"/>
    <w:rsid w:val="7553682D"/>
    <w:rsid w:val="755718FF"/>
    <w:rsid w:val="75581C94"/>
    <w:rsid w:val="755E2058"/>
    <w:rsid w:val="757E7F8B"/>
    <w:rsid w:val="75824A26"/>
    <w:rsid w:val="75893F96"/>
    <w:rsid w:val="758D387F"/>
    <w:rsid w:val="759301BA"/>
    <w:rsid w:val="75954C96"/>
    <w:rsid w:val="759929D8"/>
    <w:rsid w:val="759D7C92"/>
    <w:rsid w:val="75BC49DF"/>
    <w:rsid w:val="75BF2CB8"/>
    <w:rsid w:val="75C32144"/>
    <w:rsid w:val="75C45308"/>
    <w:rsid w:val="75C80BC8"/>
    <w:rsid w:val="75C822EE"/>
    <w:rsid w:val="75CA0DE4"/>
    <w:rsid w:val="75D237F5"/>
    <w:rsid w:val="75D55519"/>
    <w:rsid w:val="75E46E44"/>
    <w:rsid w:val="75F6301F"/>
    <w:rsid w:val="75F75951"/>
    <w:rsid w:val="76153C59"/>
    <w:rsid w:val="762D4ECF"/>
    <w:rsid w:val="7633181F"/>
    <w:rsid w:val="76522B87"/>
    <w:rsid w:val="766D176F"/>
    <w:rsid w:val="766F4DE5"/>
    <w:rsid w:val="768A281D"/>
    <w:rsid w:val="76A07D97"/>
    <w:rsid w:val="76A12E6A"/>
    <w:rsid w:val="76AA2A57"/>
    <w:rsid w:val="76C07AF1"/>
    <w:rsid w:val="76C75323"/>
    <w:rsid w:val="76D25FE6"/>
    <w:rsid w:val="76D96422"/>
    <w:rsid w:val="76DE7D12"/>
    <w:rsid w:val="76FC74DF"/>
    <w:rsid w:val="77055E86"/>
    <w:rsid w:val="77161E07"/>
    <w:rsid w:val="7720787A"/>
    <w:rsid w:val="773C18DD"/>
    <w:rsid w:val="775306A5"/>
    <w:rsid w:val="777234E1"/>
    <w:rsid w:val="777436CD"/>
    <w:rsid w:val="777A05E8"/>
    <w:rsid w:val="777A4144"/>
    <w:rsid w:val="77846D70"/>
    <w:rsid w:val="778802EA"/>
    <w:rsid w:val="778A4D6C"/>
    <w:rsid w:val="77905715"/>
    <w:rsid w:val="77B978DC"/>
    <w:rsid w:val="77C62A67"/>
    <w:rsid w:val="77CD051F"/>
    <w:rsid w:val="77D23670"/>
    <w:rsid w:val="77D73344"/>
    <w:rsid w:val="77D9530E"/>
    <w:rsid w:val="77EA2286"/>
    <w:rsid w:val="77F51A1C"/>
    <w:rsid w:val="77F57FF2"/>
    <w:rsid w:val="77F60C2B"/>
    <w:rsid w:val="780B7C76"/>
    <w:rsid w:val="7817118D"/>
    <w:rsid w:val="781D7D3A"/>
    <w:rsid w:val="78250553"/>
    <w:rsid w:val="782D11B6"/>
    <w:rsid w:val="782E476F"/>
    <w:rsid w:val="7831202D"/>
    <w:rsid w:val="784309DA"/>
    <w:rsid w:val="78436C2C"/>
    <w:rsid w:val="784A45AC"/>
    <w:rsid w:val="785A2B83"/>
    <w:rsid w:val="785D2852"/>
    <w:rsid w:val="78621C1A"/>
    <w:rsid w:val="786C5BD6"/>
    <w:rsid w:val="78704614"/>
    <w:rsid w:val="78770683"/>
    <w:rsid w:val="78857FC3"/>
    <w:rsid w:val="789456D9"/>
    <w:rsid w:val="789B186F"/>
    <w:rsid w:val="78AF7BCB"/>
    <w:rsid w:val="78D87374"/>
    <w:rsid w:val="78DA5F1A"/>
    <w:rsid w:val="78E0480F"/>
    <w:rsid w:val="78E92905"/>
    <w:rsid w:val="79040B19"/>
    <w:rsid w:val="790E7239"/>
    <w:rsid w:val="7911716C"/>
    <w:rsid w:val="79181E66"/>
    <w:rsid w:val="792310FF"/>
    <w:rsid w:val="792C73D8"/>
    <w:rsid w:val="793D2B8C"/>
    <w:rsid w:val="794718DD"/>
    <w:rsid w:val="7950323D"/>
    <w:rsid w:val="7951348B"/>
    <w:rsid w:val="79515378"/>
    <w:rsid w:val="795F4876"/>
    <w:rsid w:val="796432FD"/>
    <w:rsid w:val="79670DA6"/>
    <w:rsid w:val="796B1D8E"/>
    <w:rsid w:val="796D1736"/>
    <w:rsid w:val="79706BBE"/>
    <w:rsid w:val="79765BE4"/>
    <w:rsid w:val="797F6DFF"/>
    <w:rsid w:val="79815796"/>
    <w:rsid w:val="799553BD"/>
    <w:rsid w:val="79A25BD4"/>
    <w:rsid w:val="79A86280"/>
    <w:rsid w:val="79AE7519"/>
    <w:rsid w:val="79B81438"/>
    <w:rsid w:val="79BD0DE1"/>
    <w:rsid w:val="79C1605A"/>
    <w:rsid w:val="79C773E8"/>
    <w:rsid w:val="79CC2A0B"/>
    <w:rsid w:val="79E81839"/>
    <w:rsid w:val="7A02093C"/>
    <w:rsid w:val="7A083C89"/>
    <w:rsid w:val="7A0F534A"/>
    <w:rsid w:val="7A122D59"/>
    <w:rsid w:val="7A30118D"/>
    <w:rsid w:val="7A315FF3"/>
    <w:rsid w:val="7A4D3D91"/>
    <w:rsid w:val="7A543372"/>
    <w:rsid w:val="7A580F77"/>
    <w:rsid w:val="7A613399"/>
    <w:rsid w:val="7A6C06BC"/>
    <w:rsid w:val="7A6F5AB6"/>
    <w:rsid w:val="7A765096"/>
    <w:rsid w:val="7A8B119B"/>
    <w:rsid w:val="7A8F1DDE"/>
    <w:rsid w:val="7AA66419"/>
    <w:rsid w:val="7AC019EB"/>
    <w:rsid w:val="7AD41030"/>
    <w:rsid w:val="7AF1296F"/>
    <w:rsid w:val="7B037877"/>
    <w:rsid w:val="7B042906"/>
    <w:rsid w:val="7B191EC6"/>
    <w:rsid w:val="7B252618"/>
    <w:rsid w:val="7B272834"/>
    <w:rsid w:val="7B2A40D3"/>
    <w:rsid w:val="7B2C77F5"/>
    <w:rsid w:val="7B2E1570"/>
    <w:rsid w:val="7B2E731B"/>
    <w:rsid w:val="7B2F5245"/>
    <w:rsid w:val="7B3B7F9D"/>
    <w:rsid w:val="7B3E7249"/>
    <w:rsid w:val="7B476FEF"/>
    <w:rsid w:val="7B4927AB"/>
    <w:rsid w:val="7B536E0C"/>
    <w:rsid w:val="7B6770A1"/>
    <w:rsid w:val="7B690757"/>
    <w:rsid w:val="7B69649F"/>
    <w:rsid w:val="7B791881"/>
    <w:rsid w:val="7B95779E"/>
    <w:rsid w:val="7B98103C"/>
    <w:rsid w:val="7BB30D38"/>
    <w:rsid w:val="7BB47244"/>
    <w:rsid w:val="7BBB4D2B"/>
    <w:rsid w:val="7BCC5E4D"/>
    <w:rsid w:val="7BD16BA3"/>
    <w:rsid w:val="7BD227A0"/>
    <w:rsid w:val="7BDF4EBD"/>
    <w:rsid w:val="7BE95D3C"/>
    <w:rsid w:val="7BF85654"/>
    <w:rsid w:val="7BFB65B9"/>
    <w:rsid w:val="7C413482"/>
    <w:rsid w:val="7C4D1E27"/>
    <w:rsid w:val="7C540E66"/>
    <w:rsid w:val="7C561A4F"/>
    <w:rsid w:val="7C6B49A3"/>
    <w:rsid w:val="7C6E0F92"/>
    <w:rsid w:val="7C8617DD"/>
    <w:rsid w:val="7C8B294F"/>
    <w:rsid w:val="7C910269"/>
    <w:rsid w:val="7C941065"/>
    <w:rsid w:val="7CAB053D"/>
    <w:rsid w:val="7CAB4D9F"/>
    <w:rsid w:val="7CB023B6"/>
    <w:rsid w:val="7CBC0D5A"/>
    <w:rsid w:val="7CBD4939"/>
    <w:rsid w:val="7CBE4AD3"/>
    <w:rsid w:val="7CC07216"/>
    <w:rsid w:val="7CE15E09"/>
    <w:rsid w:val="7CE64029"/>
    <w:rsid w:val="7CEB6FBF"/>
    <w:rsid w:val="7CF9087C"/>
    <w:rsid w:val="7D0F532E"/>
    <w:rsid w:val="7D2267E5"/>
    <w:rsid w:val="7D2F777E"/>
    <w:rsid w:val="7D3835D7"/>
    <w:rsid w:val="7D395781"/>
    <w:rsid w:val="7D471D28"/>
    <w:rsid w:val="7D5D3ABA"/>
    <w:rsid w:val="7D5E1E12"/>
    <w:rsid w:val="7D7564C5"/>
    <w:rsid w:val="7D983CF2"/>
    <w:rsid w:val="7D9F66B2"/>
    <w:rsid w:val="7DA25D9F"/>
    <w:rsid w:val="7DA46410"/>
    <w:rsid w:val="7DB303AF"/>
    <w:rsid w:val="7DB663FC"/>
    <w:rsid w:val="7DDB3D1A"/>
    <w:rsid w:val="7DE60785"/>
    <w:rsid w:val="7DF12C86"/>
    <w:rsid w:val="7DF22407"/>
    <w:rsid w:val="7DF260E7"/>
    <w:rsid w:val="7E0473A2"/>
    <w:rsid w:val="7E221091"/>
    <w:rsid w:val="7E445F91"/>
    <w:rsid w:val="7E576706"/>
    <w:rsid w:val="7E6046F4"/>
    <w:rsid w:val="7E694F12"/>
    <w:rsid w:val="7E7333BA"/>
    <w:rsid w:val="7E7F5971"/>
    <w:rsid w:val="7E8305DC"/>
    <w:rsid w:val="7E8B6C36"/>
    <w:rsid w:val="7EA321D2"/>
    <w:rsid w:val="7EA70E1C"/>
    <w:rsid w:val="7EA71639"/>
    <w:rsid w:val="7EBB5E73"/>
    <w:rsid w:val="7EBE4E7C"/>
    <w:rsid w:val="7EF62424"/>
    <w:rsid w:val="7F0359A2"/>
    <w:rsid w:val="7F0A36B9"/>
    <w:rsid w:val="7F152144"/>
    <w:rsid w:val="7F260A13"/>
    <w:rsid w:val="7F2E248D"/>
    <w:rsid w:val="7F405C73"/>
    <w:rsid w:val="7F623E3B"/>
    <w:rsid w:val="7F6F0306"/>
    <w:rsid w:val="7F7818B1"/>
    <w:rsid w:val="7F817D3C"/>
    <w:rsid w:val="7F820039"/>
    <w:rsid w:val="7F8C5B7C"/>
    <w:rsid w:val="7F9145BD"/>
    <w:rsid w:val="7F966333"/>
    <w:rsid w:val="7FAC2685"/>
    <w:rsid w:val="7FAE52D2"/>
    <w:rsid w:val="7FC06DB4"/>
    <w:rsid w:val="7FC42638"/>
    <w:rsid w:val="7FC70142"/>
    <w:rsid w:val="7FDF219C"/>
    <w:rsid w:val="7FE36802"/>
    <w:rsid w:val="7FEB3414"/>
    <w:rsid w:val="7FEC71E2"/>
    <w:rsid w:val="7FEE042D"/>
    <w:rsid w:val="7FFD59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14" textRotate="1"/>
    <customShpInfo spid="_x0000_s4115" textRotate="1"/>
    <customShpInfo spid="_x0000_s411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C178E-27CF-49DF-9227-C0C0361C55D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9130</Words>
  <Characters>9931</Characters>
  <Lines>79</Lines>
  <Paragraphs>22</Paragraphs>
  <TotalTime>32</TotalTime>
  <ScaleCrop>false</ScaleCrop>
  <LinksUpToDate>false</LinksUpToDate>
  <CharactersWithSpaces>10010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2019-08-29T02:17:00Z</dcterms:created>
  <dc:creator>张彬茜</dc:creator>
  <cp:lastModifiedBy>轩妈</cp:lastModifiedBy>
  <cp:lastPrinted>2023-08-23T07:50:00Z</cp:lastPrinted>
  <dcterms:modified xsi:type="dcterms:W3CDTF">2023-08-23T08:19:04Z</dcterms:modified>
  <dc:title>四川省***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E62D6F78ACB242629F8E416EA4D11606</vt:lpwstr>
  </property>
</Properties>
</file>