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keepNext w:val="0"/>
        <w:keepLines w:val="0"/>
        <w:pageBreakBefore w:val="0"/>
        <w:widowControl w:val="0"/>
        <w:kinsoku/>
        <w:wordWrap/>
        <w:overflowPunct/>
        <w:topLinePunct w:val="0"/>
        <w:autoSpaceDE/>
        <w:autoSpaceDN/>
        <w:bidi w:val="0"/>
        <w:adjustRightInd/>
        <w:snapToGrid/>
        <w:spacing w:line="1080" w:lineRule="auto"/>
        <w:ind w:firstLine="2880" w:firstLineChars="400"/>
        <w:jc w:val="both"/>
        <w:textAlignment w:val="auto"/>
        <w:rPr>
          <w:rFonts w:hint="eastAsia" w:ascii="黑体" w:hAnsi="黑体" w:eastAsia="黑体" w:cs="黑体"/>
          <w:sz w:val="72"/>
          <w:szCs w:val="72"/>
        </w:rPr>
      </w:pPr>
      <w:bookmarkStart w:id="1" w:name="_Toc15378441"/>
      <w:bookmarkStart w:id="2" w:name="_Toc15396475"/>
      <w:bookmarkStart w:id="3" w:name="_Toc15377425"/>
      <w:bookmarkStart w:id="4" w:name="_Toc15396597"/>
      <w:bookmarkStart w:id="5" w:name="_Toc17103546"/>
      <w:bookmarkStart w:id="6" w:name="_Toc15377193"/>
      <w:r>
        <w:rPr>
          <w:rFonts w:hint="eastAsia" w:ascii="黑体" w:hAnsi="黑体" w:eastAsia="黑体" w:cs="黑体"/>
          <w:sz w:val="72"/>
          <w:szCs w:val="72"/>
        </w:rPr>
        <w:t>202</w:t>
      </w:r>
      <w:r>
        <w:rPr>
          <w:rFonts w:hint="eastAsia" w:ascii="黑体" w:hAnsi="黑体" w:eastAsia="黑体" w:cs="黑体"/>
          <w:sz w:val="72"/>
          <w:szCs w:val="72"/>
          <w:lang w:val="en-US" w:eastAsia="zh-CN"/>
        </w:rPr>
        <w:t>2</w:t>
      </w:r>
      <w:r>
        <w:rPr>
          <w:rFonts w:hint="eastAsia" w:ascii="黑体" w:hAnsi="黑体" w:eastAsia="黑体" w:cs="黑体"/>
          <w:sz w:val="72"/>
          <w:szCs w:val="72"/>
        </w:rPr>
        <w:t>年度</w:t>
      </w:r>
      <w:bookmarkEnd w:id="1"/>
      <w:bookmarkEnd w:id="2"/>
      <w:bookmarkEnd w:id="3"/>
      <w:bookmarkEnd w:id="4"/>
      <w:bookmarkEnd w:id="5"/>
      <w:bookmarkEnd w:id="6"/>
    </w:p>
    <w:bookmarkEnd w:id="0"/>
    <w:p>
      <w:pPr>
        <w:keepNext w:val="0"/>
        <w:keepLines w:val="0"/>
        <w:pageBreakBefore w:val="0"/>
        <w:widowControl w:val="0"/>
        <w:kinsoku/>
        <w:wordWrap/>
        <w:overflowPunct/>
        <w:topLinePunct w:val="0"/>
        <w:autoSpaceDE/>
        <w:autoSpaceDN/>
        <w:bidi w:val="0"/>
        <w:adjustRightInd/>
        <w:snapToGrid/>
        <w:spacing w:line="1080" w:lineRule="auto"/>
        <w:ind w:left="0" w:leftChars="0" w:firstLine="0" w:firstLineChars="0"/>
        <w:jc w:val="center"/>
        <w:textAlignment w:val="auto"/>
        <w:rPr>
          <w:rFonts w:hint="eastAsia" w:ascii="黑体" w:hAnsi="黑体" w:eastAsia="黑体" w:cs="黑体"/>
          <w:sz w:val="72"/>
          <w:szCs w:val="72"/>
          <w:lang w:eastAsia="zh-CN"/>
        </w:rPr>
      </w:pPr>
      <w:r>
        <w:rPr>
          <w:rFonts w:hint="eastAsia" w:ascii="黑体" w:hAnsi="黑体" w:eastAsia="黑体" w:cs="黑体"/>
          <w:sz w:val="72"/>
          <w:szCs w:val="72"/>
          <w:lang w:eastAsia="zh-CN"/>
        </w:rPr>
        <w:t>资阳市雁江区渡口管理所</w:t>
      </w:r>
    </w:p>
    <w:p>
      <w:pPr>
        <w:keepNext w:val="0"/>
        <w:keepLines w:val="0"/>
        <w:pageBreakBefore w:val="0"/>
        <w:widowControl w:val="0"/>
        <w:kinsoku/>
        <w:wordWrap/>
        <w:overflowPunct/>
        <w:topLinePunct w:val="0"/>
        <w:autoSpaceDE/>
        <w:autoSpaceDN/>
        <w:bidi w:val="0"/>
        <w:adjustRightInd/>
        <w:snapToGrid/>
        <w:spacing w:line="1080" w:lineRule="auto"/>
        <w:jc w:val="both"/>
        <w:textAlignment w:val="auto"/>
        <w:rPr>
          <w:rFonts w:hint="eastAsia" w:ascii="黑体" w:hAnsi="黑体" w:eastAsia="黑体" w:cs="黑体"/>
          <w:sz w:val="72"/>
          <w:szCs w:val="72"/>
        </w:rPr>
      </w:pPr>
      <w:r>
        <w:rPr>
          <w:rFonts w:hint="eastAsia" w:ascii="黑体" w:hAnsi="黑体" w:eastAsia="黑体" w:cs="黑体"/>
          <w:sz w:val="72"/>
          <w:szCs w:val="72"/>
          <w:lang w:val="en-US" w:eastAsia="zh-CN"/>
        </w:rPr>
        <w:t>单位</w:t>
      </w:r>
      <w:r>
        <w:rPr>
          <w:rFonts w:hint="eastAsia" w:ascii="黑体" w:hAnsi="黑体" w:eastAsia="黑体" w:cs="黑体"/>
          <w:sz w:val="72"/>
          <w:szCs w:val="72"/>
        </w:rPr>
        <w:t>决算公开说明</w:t>
      </w:r>
    </w:p>
    <w:p>
      <w:pPr>
        <w:bidi w:val="0"/>
        <w:jc w:val="center"/>
        <w:rPr>
          <w:rFonts w:hint="eastAsia"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pStyle w:val="2"/>
        <w:rPr>
          <w:rFonts w:hint="eastAsia"/>
        </w:rPr>
      </w:pPr>
    </w:p>
    <w:p>
      <w:pPr>
        <w:pStyle w:val="10"/>
      </w:pPr>
      <w:r>
        <w:rPr>
          <w:rFonts w:hint="eastAsia"/>
        </w:rPr>
        <w:t>公开时间：</w:t>
      </w: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年8月2</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日</w:t>
      </w:r>
    </w:p>
    <w:p>
      <w:pPr>
        <w:pStyle w:val="4"/>
        <w:rPr>
          <w:rFonts w:hint="eastAsia" w:ascii="仿宋" w:hAnsi="仿宋" w:eastAsia="仿宋"/>
          <w:color w:val="000000"/>
          <w:sz w:val="24"/>
          <w:lang w:val="en-US" w:eastAsia="zh-CN"/>
        </w:rPr>
      </w:pPr>
      <w:bookmarkStart w:id="7" w:name="_Toc15377196"/>
      <w:r>
        <w:rPr>
          <w:rFonts w:hint="eastAsia" w:ascii="仿宋" w:hAnsi="仿宋" w:eastAsia="仿宋"/>
          <w:color w:val="000000"/>
          <w:sz w:val="24"/>
          <w:lang w:val="en-US" w:eastAsia="zh-CN"/>
        </w:rPr>
        <w:t xml:space="preserve"> </w:t>
      </w:r>
    </w:p>
    <w:p>
      <w:pPr>
        <w:pStyle w:val="10"/>
        <w:tabs>
          <w:tab w:val="right" w:leader="middleDot" w:pos="8306"/>
          <w:tab w:val="clear" w:pos="8296"/>
        </w:tabs>
        <w:ind w:left="0" w:leftChars="0" w:firstLine="0" w:firstLineChars="0"/>
        <w:jc w:val="both"/>
      </w:pPr>
      <w:r>
        <w:rPr>
          <w:rFonts w:hint="eastAsia"/>
          <w:lang w:val="en-US" w:eastAsia="zh-CN"/>
        </w:rPr>
        <w:fldChar w:fldCharType="begin"/>
      </w:r>
      <w:r>
        <w:rPr>
          <w:rFonts w:hint="eastAsia"/>
          <w:lang w:val="en-US" w:eastAsia="zh-CN"/>
        </w:rPr>
        <w:instrText xml:space="preserve">TOC \o "1-2" \h \u </w:instrText>
      </w:r>
      <w:r>
        <w:rPr>
          <w:rFonts w:hint="eastAsia"/>
          <w:lang w:val="en-US" w:eastAsia="zh-CN"/>
        </w:rPr>
        <w:fldChar w:fldCharType="separate"/>
      </w:r>
      <w:r>
        <w:rPr>
          <w:rFonts w:hint="eastAsia"/>
          <w:lang w:val="en-US" w:eastAsia="zh-CN"/>
        </w:rPr>
        <w:fldChar w:fldCharType="begin"/>
      </w:r>
      <w:r>
        <w:rPr>
          <w:rFonts w:hint="eastAsia"/>
          <w:lang w:val="en-US" w:eastAsia="zh-CN"/>
        </w:rPr>
        <w:instrText xml:space="preserve"> HYPERLINK \l _Toc6212 </w:instrText>
      </w:r>
      <w:r>
        <w:rPr>
          <w:rFonts w:hint="eastAsia"/>
          <w:lang w:val="en-US" w:eastAsia="zh-CN"/>
        </w:rPr>
        <w:fldChar w:fldCharType="separate"/>
      </w:r>
      <w:r>
        <w:rPr>
          <w:rFonts w:hint="eastAsia" w:ascii="黑体" w:hAnsi="黑体" w:eastAsia="黑体"/>
        </w:rPr>
        <w:t xml:space="preserve">第一部分 </w:t>
      </w:r>
      <w:r>
        <w:rPr>
          <w:rFonts w:hint="eastAsia" w:ascii="黑体" w:hAnsi="黑体" w:eastAsia="黑体"/>
          <w:bCs w:val="0"/>
          <w:lang w:val="en-US" w:eastAsia="zh-CN"/>
        </w:rPr>
        <w:t>单位</w:t>
      </w:r>
      <w:r>
        <w:rPr>
          <w:rFonts w:hint="eastAsia" w:ascii="黑体" w:hAnsi="黑体" w:eastAsia="黑体"/>
          <w:bCs w:val="0"/>
        </w:rPr>
        <w:t>概况</w:t>
      </w:r>
      <w:r>
        <w:rPr>
          <w:rFonts w:hint="eastAsia" w:ascii="黑体" w:hAnsi="黑体" w:eastAsia="黑体"/>
          <w:bCs w:val="0"/>
          <w:lang w:val="en-US" w:eastAsia="zh-CN"/>
        </w:rPr>
        <w:t>.........................................</w:t>
      </w:r>
      <w:r>
        <w:fldChar w:fldCharType="begin"/>
      </w:r>
      <w:r>
        <w:instrText xml:space="preserve"> PAGEREF _Toc6212 \h </w:instrText>
      </w:r>
      <w:r>
        <w:fldChar w:fldCharType="separate"/>
      </w:r>
      <w:r>
        <w:t>4</w:t>
      </w:r>
      <w: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_Toc5482 </w:instrText>
      </w:r>
      <w:r>
        <w:rPr>
          <w:rFonts w:hint="eastAsia"/>
          <w:lang w:val="en-US" w:eastAsia="zh-CN"/>
        </w:rPr>
        <w:fldChar w:fldCharType="separate"/>
      </w:r>
      <w:r>
        <w:rPr>
          <w:rFonts w:hint="eastAsia"/>
        </w:rPr>
        <w:t>一、基本职能及主要工作</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_Toc5482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4</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_Toc31176 </w:instrText>
      </w:r>
      <w:r>
        <w:rPr>
          <w:rFonts w:hint="eastAsia"/>
          <w:lang w:val="en-US" w:eastAsia="zh-CN"/>
        </w:rPr>
        <w:fldChar w:fldCharType="separate"/>
      </w:r>
      <w:r>
        <w:rPr>
          <w:rFonts w:hint="eastAsia"/>
        </w:rPr>
        <w:t>二、 机构设置</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_Toc31176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4</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0"/>
        <w:tabs>
          <w:tab w:val="right" w:leader="middleDot" w:pos="8306"/>
          <w:tab w:val="clear" w:pos="8296"/>
        </w:tabs>
        <w:ind w:left="0" w:leftChars="0" w:firstLine="0" w:firstLineChars="0"/>
        <w:jc w:val="both"/>
      </w:pPr>
      <w:r>
        <w:rPr>
          <w:rFonts w:hint="eastAsia"/>
          <w:lang w:val="en-US" w:eastAsia="zh-CN"/>
        </w:rPr>
        <w:fldChar w:fldCharType="begin"/>
      </w:r>
      <w:r>
        <w:rPr>
          <w:rFonts w:hint="eastAsia"/>
          <w:lang w:val="en-US" w:eastAsia="zh-CN"/>
        </w:rPr>
        <w:instrText xml:space="preserve"> HYPERLINK \l _Toc19692 </w:instrText>
      </w:r>
      <w:r>
        <w:rPr>
          <w:rFonts w:hint="eastAsia"/>
          <w:lang w:val="en-US" w:eastAsia="zh-CN"/>
        </w:rPr>
        <w:fldChar w:fldCharType="separate"/>
      </w:r>
      <w:r>
        <w:rPr>
          <w:rFonts w:hint="eastAsia" w:ascii="黑体" w:hAnsi="黑体" w:eastAsia="黑体"/>
        </w:rPr>
        <w:t xml:space="preserve">第二部分 </w:t>
      </w:r>
      <w:r>
        <w:rPr>
          <w:rFonts w:hint="eastAsia" w:ascii="黑体" w:hAnsi="黑体" w:eastAsia="黑体"/>
          <w:bCs w:val="0"/>
        </w:rPr>
        <w:t>202</w:t>
      </w:r>
      <w:r>
        <w:rPr>
          <w:rFonts w:hint="eastAsia" w:ascii="黑体" w:hAnsi="黑体" w:eastAsia="黑体"/>
          <w:bCs w:val="0"/>
          <w:lang w:val="en-US" w:eastAsia="zh-CN"/>
        </w:rPr>
        <w:t>2</w:t>
      </w:r>
      <w:r>
        <w:rPr>
          <w:rFonts w:hint="eastAsia" w:ascii="黑体" w:hAnsi="黑体" w:eastAsia="黑体"/>
          <w:bCs w:val="0"/>
        </w:rPr>
        <w:t>年度</w:t>
      </w:r>
      <w:r>
        <w:rPr>
          <w:rFonts w:hint="eastAsia" w:ascii="黑体" w:hAnsi="黑体" w:eastAsia="黑体"/>
          <w:bCs w:val="0"/>
          <w:lang w:val="en-US" w:eastAsia="zh-CN"/>
        </w:rPr>
        <w:t>单位</w:t>
      </w:r>
      <w:r>
        <w:rPr>
          <w:rFonts w:hint="eastAsia" w:ascii="黑体" w:hAnsi="黑体" w:eastAsia="黑体"/>
          <w:bCs w:val="0"/>
        </w:rPr>
        <w:t>决算情况说明</w:t>
      </w:r>
      <w:r>
        <w:rPr>
          <w:rFonts w:hint="eastAsia" w:ascii="黑体" w:hAnsi="黑体" w:eastAsia="黑体"/>
          <w:bCs w:val="0"/>
          <w:lang w:val="en-US" w:eastAsia="zh-CN"/>
        </w:rPr>
        <w:t>.........................</w:t>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_Toc19692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6</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_Toc22459 </w:instrText>
      </w:r>
      <w:r>
        <w:rPr>
          <w:rFonts w:hint="eastAsia"/>
          <w:lang w:val="en-US" w:eastAsia="zh-CN"/>
        </w:rPr>
        <w:fldChar w:fldCharType="separate"/>
      </w:r>
      <w:r>
        <w:rPr>
          <w:rFonts w:hint="default"/>
        </w:rPr>
        <w:t xml:space="preserve">一、 </w:t>
      </w:r>
      <w:r>
        <w:rPr>
          <w:rFonts w:hint="eastAsia"/>
        </w:rPr>
        <w:t>收入支出决算总体情况说明</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_Toc22459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6</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_Toc23502 </w:instrText>
      </w:r>
      <w:r>
        <w:rPr>
          <w:rFonts w:hint="eastAsia"/>
          <w:lang w:val="en-US" w:eastAsia="zh-CN"/>
        </w:rPr>
        <w:fldChar w:fldCharType="separate"/>
      </w:r>
      <w:r>
        <w:rPr>
          <w:rFonts w:hint="default"/>
        </w:rPr>
        <w:t xml:space="preserve">二、 </w:t>
      </w:r>
      <w:r>
        <w:rPr>
          <w:rFonts w:hint="eastAsia"/>
        </w:rPr>
        <w:t>收入决算情况说明</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_Toc23502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6</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_Toc3715 </w:instrText>
      </w:r>
      <w:r>
        <w:rPr>
          <w:rFonts w:hint="eastAsia"/>
          <w:lang w:val="en-US" w:eastAsia="zh-CN"/>
        </w:rPr>
        <w:fldChar w:fldCharType="separate"/>
      </w:r>
      <w:r>
        <w:rPr>
          <w:rFonts w:hint="default"/>
        </w:rPr>
        <w:t xml:space="preserve">三、 </w:t>
      </w:r>
      <w:r>
        <w:rPr>
          <w:rFonts w:hint="eastAsia"/>
        </w:rPr>
        <w:t>支出决算情况说明</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_Toc3715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7</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_Toc29767 </w:instrText>
      </w:r>
      <w:r>
        <w:rPr>
          <w:rFonts w:hint="eastAsia"/>
          <w:lang w:val="en-US" w:eastAsia="zh-CN"/>
        </w:rPr>
        <w:fldChar w:fldCharType="separate"/>
      </w:r>
      <w:r>
        <w:rPr>
          <w:rFonts w:hint="eastAsia"/>
        </w:rPr>
        <w:t>四、财政拨款收入支出决算总体情况说明</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_Toc29767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8</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_Toc22851 </w:instrText>
      </w:r>
      <w:r>
        <w:rPr>
          <w:rFonts w:hint="eastAsia"/>
          <w:lang w:val="en-US" w:eastAsia="zh-CN"/>
        </w:rPr>
        <w:fldChar w:fldCharType="separate"/>
      </w:r>
      <w:r>
        <w:rPr>
          <w:rFonts w:hint="eastAsia"/>
        </w:rPr>
        <w:t>五、一般公共预算财政拨款支出决算情况说明</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_Toc22851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9</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_Toc30635 </w:instrText>
      </w:r>
      <w:r>
        <w:rPr>
          <w:rFonts w:hint="eastAsia"/>
          <w:lang w:val="en-US" w:eastAsia="zh-CN"/>
        </w:rPr>
        <w:fldChar w:fldCharType="separate"/>
      </w:r>
      <w:r>
        <w:rPr>
          <w:rFonts w:hint="eastAsia"/>
          <w:bCs/>
        </w:rPr>
        <w:t>六、一般公共预算财政拨款基本支出决算情况说明</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_Toc30635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11</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_Toc17354 </w:instrText>
      </w:r>
      <w:r>
        <w:rPr>
          <w:rFonts w:hint="eastAsia"/>
          <w:lang w:val="en-US" w:eastAsia="zh-CN"/>
        </w:rPr>
        <w:fldChar w:fldCharType="separate"/>
      </w:r>
      <w:r>
        <w:rPr>
          <w:rFonts w:hint="eastAsia"/>
        </w:rPr>
        <w:t>七、“三公”经费财政拨款支出决算情况说明</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_Toc17354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12</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_Toc31509 </w:instrText>
      </w:r>
      <w:r>
        <w:rPr>
          <w:rFonts w:hint="eastAsia"/>
          <w:lang w:val="en-US" w:eastAsia="zh-CN"/>
        </w:rPr>
        <w:fldChar w:fldCharType="separate"/>
      </w:r>
      <w:r>
        <w:rPr>
          <w:rFonts w:hint="eastAsia"/>
        </w:rPr>
        <w:t>八、政府性基金预算支出决算情况说明</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_Toc31509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13</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_Toc3378 </w:instrText>
      </w:r>
      <w:r>
        <w:rPr>
          <w:rFonts w:hint="eastAsia"/>
          <w:lang w:val="en-US" w:eastAsia="zh-CN"/>
        </w:rPr>
        <w:fldChar w:fldCharType="separate"/>
      </w:r>
      <w:r>
        <w:rPr>
          <w:rFonts w:hint="eastAsia"/>
        </w:rPr>
        <w:t>九、 国有资本经营预算支出决算情况说明</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_Toc3378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13</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_Toc19984 </w:instrText>
      </w:r>
      <w:r>
        <w:rPr>
          <w:rFonts w:hint="eastAsia"/>
          <w:lang w:val="en-US" w:eastAsia="zh-CN"/>
        </w:rPr>
        <w:fldChar w:fldCharType="separate"/>
      </w:r>
      <w:r>
        <w:rPr>
          <w:rFonts w:hint="eastAsia"/>
        </w:rPr>
        <w:t>十、其他重要事项的情况说明</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_Toc19984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14</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0"/>
        <w:tabs>
          <w:tab w:val="right" w:leader="middleDot" w:pos="8306"/>
          <w:tab w:val="clear" w:pos="8296"/>
        </w:tabs>
        <w:ind w:left="0" w:leftChars="0" w:firstLine="0" w:firstLineChars="0"/>
        <w:jc w:val="both"/>
        <w:rPr>
          <w:rFonts w:hint="eastAsia"/>
          <w:lang w:val="en-US" w:eastAsia="zh-CN"/>
        </w:rPr>
      </w:pPr>
      <w:r>
        <w:rPr>
          <w:rFonts w:hint="eastAsia"/>
          <w:lang w:val="en-US" w:eastAsia="zh-CN"/>
        </w:rPr>
        <w:fldChar w:fldCharType="begin"/>
      </w:r>
      <w:r>
        <w:rPr>
          <w:rFonts w:hint="eastAsia"/>
          <w:lang w:val="en-US" w:eastAsia="zh-CN"/>
        </w:rPr>
        <w:instrText xml:space="preserve"> HYPERLINK \l _Toc2116 </w:instrText>
      </w:r>
      <w:r>
        <w:rPr>
          <w:rFonts w:hint="eastAsia"/>
          <w:lang w:val="en-US" w:eastAsia="zh-CN"/>
        </w:rPr>
        <w:fldChar w:fldCharType="separate"/>
      </w:r>
      <w:r>
        <w:rPr>
          <w:rFonts w:hint="eastAsia" w:ascii="黑体" w:hAnsi="黑体" w:eastAsia="黑体"/>
        </w:rPr>
        <w:t xml:space="preserve">第三部分 </w:t>
      </w:r>
      <w:r>
        <w:rPr>
          <w:rFonts w:hint="eastAsia" w:ascii="黑体" w:hAnsi="黑体" w:eastAsia="黑体"/>
          <w:szCs w:val="44"/>
        </w:rPr>
        <w:t>名</w:t>
      </w:r>
      <w:r>
        <w:rPr>
          <w:rFonts w:hint="eastAsia" w:ascii="黑体" w:hAnsi="黑体" w:eastAsia="黑体"/>
          <w:bCs/>
        </w:rPr>
        <w:t>词解释</w:t>
      </w:r>
      <w:r>
        <w:rPr>
          <w:rFonts w:hint="eastAsia" w:ascii="黑体" w:hAnsi="黑体" w:eastAsia="黑体"/>
          <w:bCs/>
          <w:lang w:val="en-US" w:eastAsia="zh-CN"/>
        </w:rPr>
        <w:t>........................................</w:t>
      </w:r>
      <w:r>
        <w:rPr>
          <w:rFonts w:hint="eastAsia" w:eastAsia="黑体"/>
          <w:lang w:val="en-US" w:eastAsia="zh-CN"/>
        </w:rPr>
        <w:t>1</w:t>
      </w:r>
      <w:r>
        <w:rPr>
          <w:rFonts w:hint="eastAsia"/>
          <w:lang w:val="en-US" w:eastAsia="zh-CN"/>
        </w:rPr>
        <w:fldChar w:fldCharType="end"/>
      </w:r>
      <w:r>
        <w:rPr>
          <w:rFonts w:hint="eastAsia"/>
          <w:lang w:val="en-US" w:eastAsia="zh-CN"/>
        </w:rPr>
        <w:t>6</w:t>
      </w:r>
    </w:p>
    <w:p>
      <w:pPr>
        <w:pStyle w:val="10"/>
        <w:tabs>
          <w:tab w:val="right" w:leader="middleDot" w:pos="8306"/>
          <w:tab w:val="clear" w:pos="8296"/>
        </w:tabs>
        <w:ind w:left="0" w:leftChars="0" w:firstLine="0" w:firstLineChars="0"/>
        <w:jc w:val="both"/>
        <w:rPr>
          <w:rFonts w:hint="eastAsia"/>
          <w:lang w:val="en-US" w:eastAsia="zh-CN"/>
        </w:rPr>
      </w:pPr>
      <w:r>
        <w:rPr>
          <w:rFonts w:hint="eastAsia"/>
          <w:lang w:val="en-US" w:eastAsia="zh-CN"/>
        </w:rPr>
        <w:fldChar w:fldCharType="begin"/>
      </w:r>
      <w:r>
        <w:rPr>
          <w:rFonts w:hint="eastAsia"/>
          <w:lang w:val="en-US" w:eastAsia="zh-CN"/>
        </w:rPr>
        <w:instrText xml:space="preserve"> HYPERLINK \l _Toc2116 </w:instrText>
      </w:r>
      <w:r>
        <w:rPr>
          <w:rFonts w:hint="eastAsia"/>
          <w:lang w:val="en-US" w:eastAsia="zh-CN"/>
        </w:rPr>
        <w:fldChar w:fldCharType="separate"/>
      </w:r>
      <w:r>
        <w:rPr>
          <w:rFonts w:hint="eastAsia" w:ascii="黑体" w:hAnsi="黑体" w:eastAsia="黑体"/>
        </w:rPr>
        <w:t>第</w:t>
      </w:r>
      <w:r>
        <w:rPr>
          <w:rFonts w:hint="eastAsia" w:ascii="黑体" w:hAnsi="黑体" w:eastAsia="黑体"/>
          <w:lang w:val="en-US" w:eastAsia="zh-CN"/>
        </w:rPr>
        <w:t>四</w:t>
      </w:r>
      <w:r>
        <w:rPr>
          <w:rFonts w:hint="eastAsia" w:ascii="黑体" w:hAnsi="黑体" w:eastAsia="黑体"/>
        </w:rPr>
        <w:t xml:space="preserve">部分 </w:t>
      </w:r>
      <w:r>
        <w:rPr>
          <w:rFonts w:hint="eastAsia" w:ascii="黑体" w:hAnsi="黑体" w:eastAsia="黑体"/>
          <w:szCs w:val="44"/>
          <w:lang w:val="en-US" w:eastAsia="zh-CN"/>
        </w:rPr>
        <w:t>附件</w:t>
      </w:r>
      <w:r>
        <w:rPr>
          <w:rFonts w:hint="eastAsia" w:ascii="黑体" w:hAnsi="黑体" w:eastAsia="黑体"/>
          <w:bCs/>
          <w:lang w:val="en-US" w:eastAsia="zh-CN"/>
        </w:rPr>
        <w:t>............................................</w:t>
      </w:r>
      <w:r>
        <w:rPr>
          <w:rFonts w:hint="eastAsia" w:eastAsia="黑体"/>
          <w:lang w:val="en-US" w:eastAsia="zh-CN"/>
        </w:rPr>
        <w:t>1</w:t>
      </w:r>
      <w:r>
        <w:rPr>
          <w:rFonts w:hint="eastAsia"/>
          <w:lang w:val="en-US" w:eastAsia="zh-CN"/>
        </w:rPr>
        <w:fldChar w:fldCharType="end"/>
      </w:r>
      <w:r>
        <w:rPr>
          <w:rFonts w:hint="eastAsia"/>
          <w:lang w:val="en-US" w:eastAsia="zh-CN"/>
        </w:rPr>
        <w:t>9</w:t>
      </w:r>
    </w:p>
    <w:p>
      <w:pPr>
        <w:ind w:left="0" w:leftChars="0" w:firstLine="0" w:firstLineChars="0"/>
        <w:rPr>
          <w:rFonts w:hint="default"/>
          <w:lang w:val="en-US"/>
        </w:rPr>
      </w:pP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_Toc31725 </w:instrText>
      </w:r>
      <w:r>
        <w:rPr>
          <w:rFonts w:hint="eastAsia"/>
          <w:lang w:val="en-US" w:eastAsia="zh-CN"/>
        </w:rPr>
        <w:fldChar w:fldCharType="separate"/>
      </w:r>
      <w:r>
        <w:rPr>
          <w:rFonts w:hint="eastAsia" w:ascii="仿宋" w:hAnsi="仿宋" w:eastAsia="仿宋" w:cs="Times New Roman"/>
          <w:kern w:val="2"/>
          <w:sz w:val="28"/>
          <w:szCs w:val="28"/>
          <w:lang w:val="en-US" w:eastAsia="zh-CN" w:bidi="ar-SA"/>
        </w:rPr>
        <w:t>附件1</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_Toc31725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19</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0"/>
        <w:tabs>
          <w:tab w:val="right" w:leader="middleDot" w:pos="8306"/>
          <w:tab w:val="clear" w:pos="8296"/>
        </w:tabs>
        <w:ind w:left="0" w:leftChars="0" w:firstLine="280" w:firstLineChars="100"/>
        <w:jc w:val="both"/>
      </w:pPr>
      <w:r>
        <w:rPr>
          <w:rFonts w:hint="eastAsia"/>
          <w:lang w:val="en-US" w:eastAsia="zh-CN"/>
        </w:rPr>
        <w:fldChar w:fldCharType="begin"/>
      </w:r>
      <w:r>
        <w:rPr>
          <w:rFonts w:hint="eastAsia"/>
          <w:lang w:val="en-US" w:eastAsia="zh-CN"/>
        </w:rPr>
        <w:instrText xml:space="preserve"> HYPERLINK \l _Toc12308 </w:instrText>
      </w:r>
      <w:r>
        <w:rPr>
          <w:rFonts w:hint="eastAsia"/>
          <w:lang w:val="en-US" w:eastAsia="zh-CN"/>
        </w:rPr>
        <w:fldChar w:fldCharType="separate"/>
      </w:r>
      <w:r>
        <w:rPr>
          <w:rFonts w:hint="eastAsia"/>
        </w:rPr>
        <w:t>附件2</w:t>
      </w:r>
      <w:r>
        <w:rPr>
          <w:rFonts w:hint="eastAsia"/>
          <w:lang w:val="en-US" w:eastAsia="zh-CN"/>
        </w:rPr>
        <w:t>..................................................</w:t>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_Toc12308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6</w:t>
      </w:r>
      <w:r>
        <w:rPr>
          <w:rFonts w:hint="eastAsia" w:cs="Times New Roman"/>
          <w:kern w:val="2"/>
          <w:sz w:val="28"/>
          <w:szCs w:val="28"/>
          <w:lang w:val="en-US" w:eastAsia="zh-CN" w:bidi="ar-SA"/>
        </w:rPr>
        <w:t>1</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0"/>
        <w:tabs>
          <w:tab w:val="right" w:leader="middleDot" w:pos="8306"/>
          <w:tab w:val="clear" w:pos="8296"/>
        </w:tabs>
        <w:ind w:left="0" w:leftChars="0" w:firstLine="0" w:firstLineChars="0"/>
        <w:jc w:val="both"/>
      </w:pPr>
      <w:r>
        <w:rPr>
          <w:rFonts w:hint="eastAsia"/>
          <w:lang w:val="en-US" w:eastAsia="zh-CN"/>
        </w:rPr>
        <w:fldChar w:fldCharType="begin"/>
      </w:r>
      <w:r>
        <w:rPr>
          <w:rFonts w:hint="eastAsia"/>
          <w:lang w:val="en-US" w:eastAsia="zh-CN"/>
        </w:rPr>
        <w:instrText xml:space="preserve"> HYPERLINK \l _Toc17513 </w:instrText>
      </w:r>
      <w:r>
        <w:rPr>
          <w:rFonts w:hint="eastAsia"/>
          <w:lang w:val="en-US" w:eastAsia="zh-CN"/>
        </w:rPr>
        <w:fldChar w:fldCharType="separate"/>
      </w:r>
      <w:r>
        <w:rPr>
          <w:rFonts w:hint="eastAsia" w:ascii="黑体" w:hAnsi="黑体" w:eastAsia="黑体"/>
          <w:szCs w:val="44"/>
        </w:rPr>
        <w:t>第</w:t>
      </w:r>
      <w:r>
        <w:rPr>
          <w:rFonts w:hint="eastAsia" w:ascii="黑体" w:hAnsi="黑体" w:eastAsia="黑体"/>
          <w:bCs/>
        </w:rPr>
        <w:t>五部分 附表</w:t>
      </w:r>
      <w:r>
        <w:rPr>
          <w:rFonts w:hint="eastAsia" w:ascii="黑体" w:hAnsi="黑体" w:eastAsia="黑体"/>
          <w:bCs/>
          <w:lang w:val="en-US" w:eastAsia="zh-CN"/>
        </w:rPr>
        <w:t>............................................</w:t>
      </w:r>
      <w:r>
        <w:fldChar w:fldCharType="begin"/>
      </w:r>
      <w:r>
        <w:instrText xml:space="preserve"> PAGEREF _Toc17513 \h </w:instrText>
      </w:r>
      <w:r>
        <w:fldChar w:fldCharType="separate"/>
      </w:r>
      <w:r>
        <w:t>7</w:t>
      </w:r>
      <w:r>
        <w:rPr>
          <w:rFonts w:hint="eastAsia"/>
          <w:lang w:val="en-US" w:eastAsia="zh-CN"/>
        </w:rPr>
        <w:t>0</w:t>
      </w:r>
      <w: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_Toc6778 </w:instrText>
      </w:r>
      <w:r>
        <w:rPr>
          <w:rFonts w:hint="eastAsia"/>
          <w:lang w:val="en-US" w:eastAsia="zh-CN"/>
        </w:rPr>
        <w:fldChar w:fldCharType="separate"/>
      </w:r>
      <w:r>
        <w:rPr>
          <w:rFonts w:hint="eastAsia"/>
        </w:rPr>
        <w:t>一、收入支出决算总表</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_Toc6778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7</w:t>
      </w:r>
      <w:r>
        <w:rPr>
          <w:rFonts w:hint="eastAsia" w:ascii="仿宋" w:hAnsi="仿宋" w:cs="Times New Roman"/>
          <w:kern w:val="2"/>
          <w:sz w:val="28"/>
          <w:szCs w:val="28"/>
          <w:lang w:val="en-US" w:eastAsia="zh-CN" w:bidi="ar-SA"/>
        </w:rPr>
        <w:t>0</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_Toc11976 </w:instrText>
      </w:r>
      <w:r>
        <w:rPr>
          <w:rFonts w:hint="eastAsia"/>
          <w:lang w:val="en-US" w:eastAsia="zh-CN"/>
        </w:rPr>
        <w:fldChar w:fldCharType="separate"/>
      </w:r>
      <w:r>
        <w:rPr>
          <w:rFonts w:hint="eastAsia"/>
        </w:rPr>
        <w:t>二、收入决算表</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_Toc11976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7</w:t>
      </w:r>
      <w:r>
        <w:rPr>
          <w:rFonts w:hint="eastAsia" w:ascii="仿宋" w:hAnsi="仿宋" w:cs="Times New Roman"/>
          <w:kern w:val="2"/>
          <w:sz w:val="28"/>
          <w:szCs w:val="28"/>
          <w:lang w:val="en-US" w:eastAsia="zh-CN" w:bidi="ar-SA"/>
        </w:rPr>
        <w:t>0</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_Toc32590 </w:instrText>
      </w:r>
      <w:r>
        <w:rPr>
          <w:rFonts w:hint="eastAsia"/>
          <w:lang w:val="en-US" w:eastAsia="zh-CN"/>
        </w:rPr>
        <w:fldChar w:fldCharType="separate"/>
      </w:r>
      <w:r>
        <w:rPr>
          <w:rFonts w:hint="eastAsia"/>
        </w:rPr>
        <w:t>三、支出决算表</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_Toc32590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7</w:t>
      </w:r>
      <w:r>
        <w:rPr>
          <w:rFonts w:hint="eastAsia" w:ascii="仿宋" w:hAnsi="仿宋" w:cs="Times New Roman"/>
          <w:kern w:val="2"/>
          <w:sz w:val="28"/>
          <w:szCs w:val="28"/>
          <w:lang w:val="en-US" w:eastAsia="zh-CN" w:bidi="ar-SA"/>
        </w:rPr>
        <w:t>0</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_Toc12953 </w:instrText>
      </w:r>
      <w:r>
        <w:rPr>
          <w:rFonts w:hint="eastAsia"/>
          <w:lang w:val="en-US" w:eastAsia="zh-CN"/>
        </w:rPr>
        <w:fldChar w:fldCharType="separate"/>
      </w:r>
      <w:r>
        <w:rPr>
          <w:rFonts w:hint="eastAsia"/>
        </w:rPr>
        <w:t>四、财政拨款收入支出决算总表</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_Toc12953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7</w:t>
      </w:r>
      <w:r>
        <w:rPr>
          <w:rFonts w:hint="eastAsia" w:ascii="仿宋" w:hAnsi="仿宋" w:cs="Times New Roman"/>
          <w:kern w:val="2"/>
          <w:sz w:val="28"/>
          <w:szCs w:val="28"/>
          <w:lang w:val="en-US" w:eastAsia="zh-CN" w:bidi="ar-SA"/>
        </w:rPr>
        <w:t>0</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_Toc661 </w:instrText>
      </w:r>
      <w:r>
        <w:rPr>
          <w:rFonts w:hint="eastAsia"/>
          <w:lang w:val="en-US" w:eastAsia="zh-CN"/>
        </w:rPr>
        <w:fldChar w:fldCharType="separate"/>
      </w:r>
      <w:r>
        <w:rPr>
          <w:rFonts w:hint="eastAsia"/>
        </w:rPr>
        <w:t>五、财政拨款支出决算明细表</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_Toc661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7</w:t>
      </w:r>
      <w:r>
        <w:rPr>
          <w:rFonts w:hint="eastAsia" w:ascii="仿宋" w:hAnsi="仿宋" w:cs="Times New Roman"/>
          <w:kern w:val="2"/>
          <w:sz w:val="28"/>
          <w:szCs w:val="28"/>
          <w:lang w:val="en-US" w:eastAsia="zh-CN" w:bidi="ar-SA"/>
        </w:rPr>
        <w:t>0</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_Toc2998 </w:instrText>
      </w:r>
      <w:r>
        <w:rPr>
          <w:rFonts w:hint="eastAsia"/>
          <w:lang w:val="en-US" w:eastAsia="zh-CN"/>
        </w:rPr>
        <w:fldChar w:fldCharType="separate"/>
      </w:r>
      <w:r>
        <w:rPr>
          <w:rFonts w:hint="eastAsia"/>
        </w:rPr>
        <w:t>六、一般公共预算财政拨款支出决算表</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_Toc2998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7</w:t>
      </w:r>
      <w:r>
        <w:rPr>
          <w:rFonts w:hint="eastAsia" w:ascii="仿宋" w:hAnsi="仿宋" w:cs="Times New Roman"/>
          <w:kern w:val="2"/>
          <w:sz w:val="28"/>
          <w:szCs w:val="28"/>
          <w:lang w:val="en-US" w:eastAsia="zh-CN" w:bidi="ar-SA"/>
        </w:rPr>
        <w:t>0</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_Toc8449 </w:instrText>
      </w:r>
      <w:r>
        <w:rPr>
          <w:rFonts w:hint="eastAsia"/>
          <w:lang w:val="en-US" w:eastAsia="zh-CN"/>
        </w:rPr>
        <w:fldChar w:fldCharType="separate"/>
      </w:r>
      <w:r>
        <w:rPr>
          <w:rFonts w:hint="eastAsia"/>
        </w:rPr>
        <w:t>七、一般公共预算财政拨款支出决算明细表</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_Toc8449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7</w:t>
      </w:r>
      <w:r>
        <w:rPr>
          <w:rFonts w:hint="eastAsia" w:ascii="仿宋" w:hAnsi="仿宋" w:cs="Times New Roman"/>
          <w:kern w:val="2"/>
          <w:sz w:val="28"/>
          <w:szCs w:val="28"/>
          <w:lang w:val="en-US" w:eastAsia="zh-CN" w:bidi="ar-SA"/>
        </w:rPr>
        <w:t>0</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_Toc15177 </w:instrText>
      </w:r>
      <w:r>
        <w:rPr>
          <w:rFonts w:hint="eastAsia"/>
          <w:lang w:val="en-US" w:eastAsia="zh-CN"/>
        </w:rPr>
        <w:fldChar w:fldCharType="separate"/>
      </w:r>
      <w:r>
        <w:rPr>
          <w:rFonts w:hint="eastAsia"/>
        </w:rPr>
        <w:t>八、一般公共预算财政拨款基本支出决算表</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_Toc15177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7</w:t>
      </w:r>
      <w:r>
        <w:rPr>
          <w:rFonts w:hint="eastAsia" w:ascii="仿宋" w:hAnsi="仿宋" w:cs="Times New Roman"/>
          <w:kern w:val="2"/>
          <w:sz w:val="28"/>
          <w:szCs w:val="28"/>
          <w:lang w:val="en-US" w:eastAsia="zh-CN" w:bidi="ar-SA"/>
        </w:rPr>
        <w:t>0</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_Toc22889 </w:instrText>
      </w:r>
      <w:r>
        <w:rPr>
          <w:rFonts w:hint="eastAsia"/>
          <w:lang w:val="en-US" w:eastAsia="zh-CN"/>
        </w:rPr>
        <w:fldChar w:fldCharType="separate"/>
      </w:r>
      <w:r>
        <w:rPr>
          <w:rFonts w:hint="eastAsia"/>
        </w:rPr>
        <w:t>九、一般公共预算财政拨款项目支出决算表</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_Toc22889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7</w:t>
      </w:r>
      <w:r>
        <w:rPr>
          <w:rFonts w:hint="eastAsia" w:ascii="仿宋" w:hAnsi="仿宋" w:cs="Times New Roman"/>
          <w:kern w:val="2"/>
          <w:sz w:val="28"/>
          <w:szCs w:val="28"/>
          <w:lang w:val="en-US" w:eastAsia="zh-CN" w:bidi="ar-SA"/>
        </w:rPr>
        <w:t>0</w:t>
      </w:r>
      <w:r>
        <w:rPr>
          <w:rFonts w:ascii="仿宋" w:hAnsi="仿宋" w:eastAsia="仿宋" w:cs="Times New Roman"/>
          <w:kern w:val="2"/>
          <w:sz w:val="28"/>
          <w:szCs w:val="28"/>
          <w:lang w:val="en-US" w:eastAsia="zh-CN" w:bidi="ar-SA"/>
        </w:rPr>
        <w:fldChar w:fldCharType="end"/>
      </w:r>
      <w:r>
        <w:rPr>
          <w:rFonts w:hint="eastAsia" w:ascii="仿宋" w:hAnsi="仿宋" w:eastAsia="仿宋" w:cs="Times New Roman"/>
          <w:kern w:val="2"/>
          <w:sz w:val="28"/>
          <w:szCs w:val="28"/>
          <w:lang w:val="en-US" w:eastAsia="zh-CN" w:bidi="ar-SA"/>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_Toc1488 </w:instrText>
      </w:r>
      <w:r>
        <w:rPr>
          <w:rFonts w:hint="eastAsia"/>
          <w:lang w:val="en-US" w:eastAsia="zh-CN"/>
        </w:rPr>
        <w:fldChar w:fldCharType="separate"/>
      </w:r>
      <w:r>
        <w:rPr>
          <w:rFonts w:hint="eastAsia"/>
        </w:rPr>
        <w:t>十、政府性基金预算财政拨款收入支出决算表</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_Toc1488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7</w:t>
      </w:r>
      <w:r>
        <w:rPr>
          <w:rFonts w:hint="eastAsia" w:ascii="仿宋" w:hAnsi="仿宋" w:cs="Times New Roman"/>
          <w:kern w:val="2"/>
          <w:sz w:val="28"/>
          <w:szCs w:val="28"/>
          <w:lang w:val="en-US" w:eastAsia="zh-CN" w:bidi="ar-SA"/>
        </w:rPr>
        <w:t>0</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_Toc17201 </w:instrText>
      </w:r>
      <w:r>
        <w:rPr>
          <w:rFonts w:hint="eastAsia"/>
          <w:lang w:val="en-US" w:eastAsia="zh-CN"/>
        </w:rPr>
        <w:fldChar w:fldCharType="separate"/>
      </w:r>
      <w:r>
        <w:rPr>
          <w:rFonts w:hint="eastAsia"/>
        </w:rPr>
        <w:t>十一、国有资本经营预算财政拨款收入支出决算表</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_Toc17201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7</w:t>
      </w:r>
      <w:r>
        <w:rPr>
          <w:rFonts w:hint="eastAsia" w:ascii="仿宋" w:hAnsi="仿宋" w:cs="Times New Roman"/>
          <w:kern w:val="2"/>
          <w:sz w:val="28"/>
          <w:szCs w:val="28"/>
          <w:lang w:val="en-US" w:eastAsia="zh-CN" w:bidi="ar-SA"/>
        </w:rPr>
        <w:t>0</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_Toc32383 </w:instrText>
      </w:r>
      <w:r>
        <w:rPr>
          <w:rFonts w:hint="eastAsia"/>
          <w:lang w:val="en-US" w:eastAsia="zh-CN"/>
        </w:rPr>
        <w:fldChar w:fldCharType="separate"/>
      </w:r>
      <w:r>
        <w:rPr>
          <w:rFonts w:hint="eastAsia"/>
        </w:rPr>
        <w:t>十二、国有资本经营预算财政拨款支出决算表</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_Toc32383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7</w:t>
      </w:r>
      <w:r>
        <w:rPr>
          <w:rFonts w:hint="eastAsia" w:ascii="仿宋" w:hAnsi="仿宋" w:cs="Times New Roman"/>
          <w:kern w:val="2"/>
          <w:sz w:val="28"/>
          <w:szCs w:val="28"/>
          <w:lang w:val="en-US" w:eastAsia="zh-CN" w:bidi="ar-SA"/>
        </w:rPr>
        <w:t>0</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pStyle w:val="11"/>
        <w:tabs>
          <w:tab w:val="right" w:leader="middleDot" w:pos="8306"/>
          <w:tab w:val="clear" w:pos="8296"/>
        </w:tabs>
        <w:ind w:left="0" w:leftChars="0" w:firstLine="320" w:firstLineChars="100"/>
      </w:pPr>
      <w:r>
        <w:rPr>
          <w:rFonts w:hint="eastAsia"/>
          <w:lang w:val="en-US" w:eastAsia="zh-CN"/>
        </w:rPr>
        <w:fldChar w:fldCharType="begin"/>
      </w:r>
      <w:r>
        <w:rPr>
          <w:rFonts w:hint="eastAsia"/>
          <w:lang w:val="en-US" w:eastAsia="zh-CN"/>
        </w:rPr>
        <w:instrText xml:space="preserve"> HYPERLINK \l _Toc179 </w:instrText>
      </w:r>
      <w:r>
        <w:rPr>
          <w:rFonts w:hint="eastAsia"/>
          <w:lang w:val="en-US" w:eastAsia="zh-CN"/>
        </w:rPr>
        <w:fldChar w:fldCharType="separate"/>
      </w:r>
      <w:r>
        <w:rPr>
          <w:rFonts w:hint="eastAsia"/>
        </w:rPr>
        <w:t>十三、财政拨款“三公”经费支出决算表</w:t>
      </w:r>
      <w:r>
        <w:tab/>
      </w:r>
      <w:r>
        <w:rPr>
          <w:rFonts w:ascii="仿宋" w:hAnsi="仿宋" w:eastAsia="仿宋" w:cs="Times New Roman"/>
          <w:kern w:val="2"/>
          <w:sz w:val="28"/>
          <w:szCs w:val="28"/>
          <w:lang w:val="en-US" w:eastAsia="zh-CN" w:bidi="ar-SA"/>
        </w:rPr>
        <w:fldChar w:fldCharType="begin"/>
      </w:r>
      <w:r>
        <w:rPr>
          <w:rFonts w:ascii="仿宋" w:hAnsi="仿宋" w:eastAsia="仿宋" w:cs="Times New Roman"/>
          <w:kern w:val="2"/>
          <w:sz w:val="28"/>
          <w:szCs w:val="28"/>
          <w:lang w:val="en-US" w:eastAsia="zh-CN" w:bidi="ar-SA"/>
        </w:rPr>
        <w:instrText xml:space="preserve"> PAGEREF _Toc179 \h </w:instrText>
      </w:r>
      <w:r>
        <w:rPr>
          <w:rFonts w:ascii="仿宋" w:hAnsi="仿宋" w:eastAsia="仿宋" w:cs="Times New Roman"/>
          <w:kern w:val="2"/>
          <w:sz w:val="28"/>
          <w:szCs w:val="28"/>
          <w:lang w:val="en-US" w:eastAsia="zh-CN" w:bidi="ar-SA"/>
        </w:rPr>
        <w:fldChar w:fldCharType="separate"/>
      </w:r>
      <w:r>
        <w:rPr>
          <w:rFonts w:ascii="仿宋" w:hAnsi="仿宋" w:eastAsia="仿宋" w:cs="Times New Roman"/>
          <w:kern w:val="2"/>
          <w:sz w:val="28"/>
          <w:szCs w:val="28"/>
          <w:lang w:val="en-US" w:eastAsia="zh-CN" w:bidi="ar-SA"/>
        </w:rPr>
        <w:t>7</w:t>
      </w:r>
      <w:r>
        <w:rPr>
          <w:rFonts w:hint="eastAsia" w:ascii="仿宋" w:hAnsi="仿宋" w:cs="Times New Roman"/>
          <w:kern w:val="2"/>
          <w:sz w:val="28"/>
          <w:szCs w:val="28"/>
          <w:lang w:val="en-US" w:eastAsia="zh-CN" w:bidi="ar-SA"/>
        </w:rPr>
        <w:t>0</w:t>
      </w:r>
      <w:r>
        <w:rPr>
          <w:rFonts w:ascii="仿宋" w:hAnsi="仿宋" w:eastAsia="仿宋" w:cs="Times New Roman"/>
          <w:kern w:val="2"/>
          <w:sz w:val="28"/>
          <w:szCs w:val="28"/>
          <w:lang w:val="en-US" w:eastAsia="zh-CN" w:bidi="ar-SA"/>
        </w:rPr>
        <w:fldChar w:fldCharType="end"/>
      </w:r>
      <w:r>
        <w:rPr>
          <w:rFonts w:hint="eastAsia"/>
          <w:lang w:val="en-US" w:eastAsia="zh-CN"/>
        </w:rPr>
        <w:fldChar w:fldCharType="end"/>
      </w:r>
    </w:p>
    <w:p>
      <w:pPr>
        <w:rPr>
          <w:rFonts w:hint="eastAsia"/>
          <w:lang w:val="en-US" w:eastAsia="zh-CN"/>
        </w:rPr>
      </w:pPr>
      <w:r>
        <w:rPr>
          <w:rFonts w:hint="eastAsia"/>
          <w:lang w:val="en-US" w:eastAsia="zh-CN"/>
        </w:rPr>
        <w:fldChar w:fldCharType="end"/>
      </w:r>
    </w:p>
    <w:p>
      <w:pPr>
        <w:widowControl/>
        <w:jc w:val="left"/>
        <w:rPr>
          <w:rFonts w:ascii="仿宋" w:hAnsi="仿宋" w:eastAsia="仿宋"/>
          <w:color w:val="000000"/>
          <w:sz w:val="24"/>
        </w:rPr>
      </w:pPr>
    </w:p>
    <w:p>
      <w:pPr>
        <w:widowControl/>
        <w:jc w:val="left"/>
      </w:pPr>
      <w:r>
        <w:rPr>
          <w:rFonts w:ascii="黑体" w:hAnsi="黑体" w:eastAsia="黑体"/>
          <w:b/>
        </w:rPr>
        <w:br w:type="page"/>
      </w:r>
    </w:p>
    <w:p>
      <w:pPr>
        <w:pStyle w:val="3"/>
        <w:numPr>
          <w:ilvl w:val="0"/>
          <w:numId w:val="0"/>
        </w:numPr>
        <w:bidi w:val="0"/>
        <w:jc w:val="center"/>
        <w:rPr>
          <w:rFonts w:ascii="黑体" w:eastAsia="黑体"/>
          <w:color w:val="000000"/>
          <w:sz w:val="32"/>
          <w:szCs w:val="32"/>
        </w:rPr>
      </w:pPr>
      <w:bookmarkStart w:id="8" w:name="_Toc6212"/>
      <w:bookmarkStart w:id="9" w:name="_Toc24790"/>
      <w:bookmarkStart w:id="10" w:name="_Toc14581"/>
      <w:bookmarkStart w:id="11" w:name="_Toc17103549"/>
      <w:r>
        <w:rPr>
          <w:rStyle w:val="25"/>
          <w:rFonts w:hint="eastAsia" w:ascii="黑体" w:hAnsi="黑体" w:eastAsia="黑体"/>
          <w:b w:val="0"/>
          <w:bCs w:val="0"/>
          <w:lang w:val="en-US" w:eastAsia="zh-CN"/>
        </w:rPr>
        <w:t>第一部分 单位</w:t>
      </w:r>
      <w:r>
        <w:rPr>
          <w:rStyle w:val="25"/>
          <w:rFonts w:hint="eastAsia" w:ascii="黑体" w:hAnsi="黑体" w:eastAsia="黑体"/>
          <w:b w:val="0"/>
          <w:bCs w:val="0"/>
        </w:rPr>
        <w:t>概况</w:t>
      </w:r>
      <w:bookmarkEnd w:id="7"/>
      <w:bookmarkEnd w:id="8"/>
      <w:bookmarkEnd w:id="9"/>
      <w:bookmarkEnd w:id="10"/>
      <w:bookmarkEnd w:id="11"/>
    </w:p>
    <w:p>
      <w:pPr>
        <w:pStyle w:val="4"/>
        <w:bidi w:val="0"/>
      </w:pPr>
      <w:bookmarkStart w:id="12" w:name="_Toc5482"/>
      <w:bookmarkStart w:id="13" w:name="_Toc17103550"/>
      <w:bookmarkStart w:id="14" w:name="_Toc16407"/>
      <w:bookmarkStart w:id="15" w:name="_Toc15377197"/>
      <w:bookmarkStart w:id="16" w:name="_Toc17303"/>
      <w:r>
        <w:rPr>
          <w:rFonts w:hint="eastAsia"/>
        </w:rPr>
        <w:t>一、基本职能及主要工作</w:t>
      </w:r>
      <w:bookmarkEnd w:id="12"/>
      <w:bookmarkEnd w:id="13"/>
      <w:bookmarkEnd w:id="14"/>
      <w:bookmarkEnd w:id="15"/>
      <w:bookmarkEnd w:id="16"/>
    </w:p>
    <w:p>
      <w:pPr>
        <w:pStyle w:val="2"/>
        <w:adjustRightInd w:val="0"/>
        <w:snapToGrid w:val="0"/>
        <w:spacing w:before="93" w:line="600" w:lineRule="exact"/>
        <w:ind w:firstLine="672" w:firstLineChars="210"/>
        <w:outlineLvl w:val="2"/>
        <w:rPr>
          <w:rFonts w:ascii="仿宋" w:hAnsi="仿宋" w:eastAsia="仿宋"/>
          <w:bCs/>
          <w:color w:val="000000"/>
          <w:sz w:val="32"/>
          <w:szCs w:val="32"/>
        </w:rPr>
      </w:pPr>
      <w:bookmarkStart w:id="17" w:name="_Toc15377198"/>
      <w:bookmarkStart w:id="18" w:name="_Toc15378445"/>
      <w:r>
        <w:rPr>
          <w:rFonts w:hint="eastAsia" w:ascii="仿宋" w:hAnsi="仿宋" w:eastAsia="仿宋"/>
          <w:bCs/>
          <w:color w:val="000000"/>
          <w:sz w:val="32"/>
          <w:szCs w:val="32"/>
        </w:rPr>
        <w:t>（一）主要职能。</w:t>
      </w:r>
      <w:bookmarkEnd w:id="17"/>
      <w:bookmarkEnd w:id="18"/>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9" w:name="_Toc15378446"/>
      <w:bookmarkStart w:id="20" w:name="_Toc15377199"/>
      <w:r>
        <w:rPr>
          <w:rFonts w:hint="eastAsia" w:ascii="仿宋" w:hAnsi="仿宋" w:eastAsia="仿宋"/>
          <w:bCs/>
          <w:color w:val="000000"/>
          <w:sz w:val="32"/>
          <w:szCs w:val="32"/>
        </w:rPr>
        <w:t>资阳市雁江区渡口管理所严格执行《四川省渡口管理办法》，负责全区渡口日常安全管理工作，督促船工每年进行年检，完成上级部门安排的其他工作任务。</w:t>
      </w:r>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2．机构情况，包括当年变动情况及原因。</w:t>
      </w:r>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资阳市雁江区渡口管理所是雁江区交通运输局的下属财政一级预算管理的公益一类事业单位，本年无变动情况。</w:t>
      </w:r>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3．人员情况，包括当年变动情况及原因。</w:t>
      </w:r>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现有在职职工6人，编制内3人；退休人员3人。无变动情况。</w:t>
      </w:r>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w:t>
      </w:r>
      <w:r>
        <w:rPr>
          <w:rFonts w:hint="eastAsia" w:ascii="仿宋" w:hAnsi="仿宋" w:eastAsia="仿宋"/>
          <w:bCs/>
          <w:color w:val="000000"/>
          <w:sz w:val="32"/>
          <w:szCs w:val="32"/>
        </w:rPr>
        <w:t>2</w:t>
      </w:r>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rPr>
        <w:t>年重点工作完成情况。</w:t>
      </w:r>
      <w:bookmarkEnd w:id="19"/>
      <w:bookmarkEnd w:id="20"/>
      <w:bookmarkStart w:id="21" w:name="_Toc15377200"/>
      <w:bookmarkStart w:id="22" w:name="_Toc17103551"/>
    </w:p>
    <w:p>
      <w:pPr>
        <w:pStyle w:val="2"/>
        <w:adjustRightInd w:val="0"/>
        <w:snapToGrid w:val="0"/>
        <w:spacing w:before="93" w:line="600" w:lineRule="exact"/>
        <w:ind w:firstLine="672" w:firstLineChars="210"/>
        <w:outlineLvl w:val="2"/>
        <w:rPr>
          <w:rFonts w:hint="default" w:ascii="仿宋" w:hAnsi="仿宋" w:eastAsia="仿宋" w:cs="Times New Roman"/>
          <w:b w:val="0"/>
          <w:bCs/>
          <w:color w:val="000000"/>
          <w:kern w:val="0"/>
          <w:sz w:val="32"/>
          <w:szCs w:val="32"/>
          <w:lang w:val="en-US" w:eastAsia="zh-CN" w:bidi="ar-SA"/>
        </w:rPr>
      </w:pPr>
      <w:r>
        <w:rPr>
          <w:rFonts w:hint="eastAsia" w:ascii="仿宋" w:hAnsi="仿宋" w:eastAsia="仿宋" w:cs="Times New Roman"/>
          <w:b w:val="0"/>
          <w:bCs/>
          <w:color w:val="000000"/>
          <w:kern w:val="0"/>
          <w:sz w:val="32"/>
          <w:szCs w:val="32"/>
          <w:lang w:val="en-US" w:eastAsia="zh-CN" w:bidi="ar-SA"/>
        </w:rPr>
        <w:t>对渡口进行日常和汛期以及节假日现场安全检查，确保全年渡口安全无事故，按照职责开展百日安全整治和宣传工作，承担雁江区渡口管理及监管工作。</w:t>
      </w:r>
    </w:p>
    <w:p>
      <w:pPr>
        <w:pStyle w:val="4"/>
        <w:numPr>
          <w:ilvl w:val="0"/>
          <w:numId w:val="1"/>
        </w:numPr>
        <w:bidi w:val="0"/>
        <w:rPr>
          <w:rFonts w:hint="eastAsia"/>
        </w:rPr>
      </w:pPr>
      <w:bookmarkStart w:id="23" w:name="_Toc31176"/>
      <w:bookmarkStart w:id="24" w:name="_Toc2423"/>
      <w:bookmarkStart w:id="25" w:name="_Toc2656"/>
      <w:r>
        <w:rPr>
          <w:rFonts w:hint="eastAsia"/>
        </w:rPr>
        <w:t>机构设置</w:t>
      </w:r>
      <w:bookmarkEnd w:id="21"/>
      <w:bookmarkEnd w:id="22"/>
      <w:bookmarkEnd w:id="23"/>
      <w:bookmarkEnd w:id="24"/>
      <w:bookmarkEnd w:id="25"/>
    </w:p>
    <w:p>
      <w:pPr>
        <w:ind w:firstLine="800" w:firstLineChars="250"/>
        <w:rPr>
          <w:rFonts w:eastAsia="仿宋"/>
          <w:sz w:val="32"/>
          <w:szCs w:val="32"/>
        </w:rPr>
      </w:pPr>
      <w:r>
        <w:rPr>
          <w:rFonts w:hint="eastAsia"/>
          <w:lang w:val="en-US" w:eastAsia="zh-CN"/>
        </w:rPr>
        <w:t xml:space="preserve">  </w:t>
      </w:r>
      <w:r>
        <w:rPr>
          <w:rFonts w:hint="eastAsia" w:ascii="仿宋" w:hAnsi="仿宋" w:eastAsia="仿宋"/>
          <w:sz w:val="32"/>
          <w:szCs w:val="32"/>
          <w:lang w:eastAsia="zh-CN"/>
        </w:rPr>
        <w:t>资阳市雁江区渡口管理所</w:t>
      </w:r>
      <w:r>
        <w:rPr>
          <w:rFonts w:eastAsia="仿宋"/>
          <w:sz w:val="32"/>
          <w:szCs w:val="32"/>
        </w:rPr>
        <w:t>属</w:t>
      </w:r>
      <w:r>
        <w:rPr>
          <w:rFonts w:hint="eastAsia" w:eastAsia="仿宋"/>
          <w:sz w:val="32"/>
          <w:szCs w:val="32"/>
        </w:rPr>
        <w:t>于</w:t>
      </w:r>
      <w:r>
        <w:rPr>
          <w:rFonts w:hint="eastAsia" w:eastAsia="仿宋"/>
          <w:sz w:val="32"/>
          <w:szCs w:val="32"/>
          <w:lang w:eastAsia="zh-CN"/>
        </w:rPr>
        <w:t>雁江区政府</w:t>
      </w:r>
      <w:r>
        <w:rPr>
          <w:rFonts w:hint="eastAsia" w:eastAsia="仿宋"/>
          <w:sz w:val="32"/>
          <w:szCs w:val="32"/>
        </w:rPr>
        <w:t>下属的</w:t>
      </w:r>
      <w:r>
        <w:rPr>
          <w:rFonts w:hint="eastAsia" w:eastAsia="仿宋"/>
          <w:sz w:val="32"/>
          <w:szCs w:val="32"/>
          <w:lang w:val="en-US" w:eastAsia="zh-CN"/>
        </w:rPr>
        <w:t>一</w:t>
      </w:r>
      <w:r>
        <w:rPr>
          <w:rFonts w:eastAsia="仿宋"/>
          <w:sz w:val="32"/>
          <w:szCs w:val="32"/>
        </w:rPr>
        <w:t>级预算单位，下</w:t>
      </w:r>
      <w:r>
        <w:rPr>
          <w:rFonts w:hint="eastAsia" w:eastAsia="仿宋"/>
          <w:sz w:val="32"/>
          <w:szCs w:val="32"/>
        </w:rPr>
        <w:t>设独立编制机构</w:t>
      </w:r>
      <w:r>
        <w:rPr>
          <w:rFonts w:hint="eastAsia" w:eastAsia="仿宋"/>
          <w:sz w:val="32"/>
          <w:szCs w:val="32"/>
          <w:lang w:val="en-US" w:eastAsia="zh-CN"/>
        </w:rPr>
        <w:t>0</w:t>
      </w:r>
      <w:r>
        <w:rPr>
          <w:rFonts w:eastAsia="仿宋"/>
          <w:sz w:val="32"/>
          <w:szCs w:val="32"/>
        </w:rPr>
        <w:t>个，其中行政</w:t>
      </w:r>
      <w:r>
        <w:rPr>
          <w:rFonts w:hint="eastAsia" w:eastAsia="仿宋"/>
          <w:sz w:val="32"/>
          <w:szCs w:val="32"/>
        </w:rPr>
        <w:t>机构</w:t>
      </w:r>
      <w:r>
        <w:rPr>
          <w:rFonts w:hint="eastAsia" w:eastAsia="仿宋"/>
          <w:sz w:val="32"/>
          <w:szCs w:val="32"/>
          <w:lang w:val="en-US" w:eastAsia="zh-CN"/>
        </w:rPr>
        <w:t>0</w:t>
      </w:r>
      <w:r>
        <w:rPr>
          <w:rFonts w:eastAsia="仿宋"/>
          <w:sz w:val="32"/>
          <w:szCs w:val="32"/>
        </w:rPr>
        <w:t>个，参照公务员法管理的事业</w:t>
      </w:r>
      <w:r>
        <w:rPr>
          <w:rFonts w:hint="eastAsia" w:eastAsia="仿宋"/>
          <w:sz w:val="32"/>
          <w:szCs w:val="32"/>
        </w:rPr>
        <w:t>机构</w:t>
      </w:r>
      <w:r>
        <w:rPr>
          <w:rFonts w:hint="eastAsia" w:eastAsia="仿宋"/>
          <w:bCs/>
          <w:sz w:val="32"/>
          <w:szCs w:val="32"/>
          <w:lang w:val="en-US" w:eastAsia="zh-CN"/>
        </w:rPr>
        <w:t>0</w:t>
      </w:r>
      <w:r>
        <w:rPr>
          <w:rFonts w:eastAsia="仿宋"/>
          <w:sz w:val="32"/>
          <w:szCs w:val="32"/>
        </w:rPr>
        <w:t>个，其他事业</w:t>
      </w:r>
      <w:r>
        <w:rPr>
          <w:rFonts w:hint="eastAsia" w:eastAsia="仿宋"/>
          <w:sz w:val="32"/>
          <w:szCs w:val="32"/>
        </w:rPr>
        <w:t>机构</w:t>
      </w:r>
      <w:r>
        <w:rPr>
          <w:rFonts w:hint="eastAsia" w:eastAsia="仿宋"/>
          <w:sz w:val="32"/>
          <w:szCs w:val="32"/>
          <w:lang w:val="en-US" w:eastAsia="zh-CN"/>
        </w:rPr>
        <w:t>0</w:t>
      </w:r>
      <w:r>
        <w:rPr>
          <w:rFonts w:eastAsia="仿宋"/>
          <w:sz w:val="32"/>
          <w:szCs w:val="32"/>
        </w:rPr>
        <w:t>个。</w:t>
      </w:r>
    </w:p>
    <w:p>
      <w:pPr>
        <w:pStyle w:val="2"/>
        <w:adjustRightInd w:val="0"/>
        <w:snapToGrid w:val="0"/>
        <w:spacing w:before="93" w:line="600" w:lineRule="exact"/>
        <w:ind w:firstLine="640" w:firstLineChars="200"/>
        <w:rPr>
          <w:rFonts w:ascii="仿宋" w:hAnsi="仿宋" w:eastAsia="仿宋"/>
          <w:color w:val="000000"/>
          <w:sz w:val="32"/>
          <w:szCs w:val="32"/>
        </w:rPr>
      </w:pPr>
      <w:r>
        <w:rPr>
          <w:rFonts w:ascii="Times New Roman" w:eastAsia="仿宋"/>
          <w:color w:val="000000"/>
          <w:sz w:val="32"/>
          <w:szCs w:val="32"/>
        </w:rPr>
        <w:t>纳入202</w:t>
      </w:r>
      <w:r>
        <w:rPr>
          <w:rFonts w:hint="eastAsia" w:ascii="Times New Roman" w:eastAsia="仿宋"/>
          <w:color w:val="000000"/>
          <w:sz w:val="32"/>
          <w:szCs w:val="32"/>
          <w:lang w:val="en-US" w:eastAsia="zh-CN"/>
        </w:rPr>
        <w:t>2</w:t>
      </w:r>
      <w:r>
        <w:rPr>
          <w:rFonts w:ascii="Times New Roman" w:eastAsia="仿宋"/>
          <w:color w:val="000000"/>
          <w:sz w:val="32"/>
          <w:szCs w:val="32"/>
        </w:rPr>
        <w:t>年度部门决算</w:t>
      </w:r>
      <w:r>
        <w:rPr>
          <w:rFonts w:hint="eastAsia" w:ascii="Times New Roman" w:eastAsia="仿宋"/>
          <w:color w:val="000000"/>
          <w:sz w:val="32"/>
          <w:szCs w:val="32"/>
        </w:rPr>
        <w:t>编制范围的独立编制机构</w:t>
      </w:r>
      <w:r>
        <w:rPr>
          <w:rFonts w:hint="eastAsia" w:ascii="Times New Roman" w:eastAsia="仿宋"/>
          <w:color w:val="000000"/>
          <w:sz w:val="32"/>
          <w:szCs w:val="32"/>
          <w:lang w:val="en-US" w:eastAsia="zh-CN"/>
        </w:rPr>
        <w:t>0个。</w:t>
      </w:r>
      <w:r>
        <w:rPr>
          <w:rFonts w:ascii="仿宋" w:hAnsi="仿宋" w:eastAsia="仿宋"/>
          <w:color w:val="000000"/>
          <w:sz w:val="32"/>
          <w:szCs w:val="32"/>
        </w:rPr>
        <w:br w:type="page"/>
      </w:r>
    </w:p>
    <w:p>
      <w:pPr>
        <w:pStyle w:val="3"/>
        <w:bidi w:val="0"/>
        <w:rPr>
          <w:rStyle w:val="25"/>
          <w:rFonts w:ascii="黑体" w:hAnsi="黑体" w:eastAsia="黑体"/>
          <w:b w:val="0"/>
          <w:bCs w:val="0"/>
        </w:rPr>
      </w:pPr>
      <w:bookmarkStart w:id="26" w:name="_Toc19692"/>
      <w:bookmarkStart w:id="27" w:name="_Toc15377204"/>
      <w:bookmarkStart w:id="28" w:name="_Toc17574"/>
      <w:bookmarkStart w:id="29" w:name="_Toc14744"/>
      <w:bookmarkStart w:id="30" w:name="_Toc17103552"/>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202</w:t>
      </w:r>
      <w:r>
        <w:rPr>
          <w:rStyle w:val="25"/>
          <w:rFonts w:hint="eastAsia" w:ascii="黑体" w:hAnsi="黑体" w:eastAsia="黑体"/>
          <w:b w:val="0"/>
          <w:bCs w:val="0"/>
          <w:lang w:val="en-US" w:eastAsia="zh-CN"/>
        </w:rPr>
        <w:t>2</w:t>
      </w:r>
      <w:r>
        <w:rPr>
          <w:rStyle w:val="25"/>
          <w:rFonts w:hint="eastAsia" w:ascii="黑体" w:hAnsi="黑体" w:eastAsia="黑体"/>
          <w:b w:val="0"/>
          <w:bCs w:val="0"/>
        </w:rPr>
        <w:t>年度</w:t>
      </w:r>
      <w:r>
        <w:rPr>
          <w:rStyle w:val="25"/>
          <w:rFonts w:hint="eastAsia" w:ascii="黑体" w:hAnsi="黑体" w:eastAsia="黑体"/>
          <w:b w:val="0"/>
          <w:bCs w:val="0"/>
          <w:lang w:val="en-US" w:eastAsia="zh-CN"/>
        </w:rPr>
        <w:t>单位</w:t>
      </w:r>
      <w:r>
        <w:rPr>
          <w:rStyle w:val="25"/>
          <w:rFonts w:hint="eastAsia" w:ascii="黑体" w:hAnsi="黑体" w:eastAsia="黑体"/>
          <w:b w:val="0"/>
          <w:bCs w:val="0"/>
        </w:rPr>
        <w:t>决算情况说明</w:t>
      </w:r>
      <w:bookmarkEnd w:id="26"/>
      <w:bookmarkEnd w:id="27"/>
      <w:bookmarkEnd w:id="28"/>
      <w:bookmarkEnd w:id="29"/>
      <w:bookmarkEnd w:id="30"/>
    </w:p>
    <w:p/>
    <w:p>
      <w:pPr>
        <w:pStyle w:val="4"/>
        <w:numPr>
          <w:ilvl w:val="0"/>
          <w:numId w:val="2"/>
        </w:numPr>
        <w:bidi w:val="0"/>
      </w:pPr>
      <w:bookmarkStart w:id="31" w:name="_Toc22459"/>
      <w:bookmarkStart w:id="32" w:name="_Toc17103553"/>
      <w:bookmarkStart w:id="33" w:name="_Toc25061"/>
      <w:bookmarkStart w:id="34" w:name="_Toc15377205"/>
      <w:bookmarkStart w:id="35" w:name="_Toc32614"/>
      <w:r>
        <w:rPr>
          <w:rFonts w:hint="eastAsia"/>
        </w:rPr>
        <w:t>收入支出决算总体情况说明</w:t>
      </w:r>
      <w:bookmarkEnd w:id="31"/>
      <w:bookmarkEnd w:id="32"/>
      <w:bookmarkEnd w:id="33"/>
      <w:bookmarkEnd w:id="34"/>
      <w:bookmarkEnd w:id="35"/>
    </w:p>
    <w:p>
      <w:pPr>
        <w:bidi w:val="0"/>
      </w:pPr>
      <w:r>
        <w:rPr>
          <w:rFonts w:hint="eastAsia"/>
        </w:rPr>
        <w:t>202</w:t>
      </w:r>
      <w:r>
        <w:rPr>
          <w:rFonts w:hint="eastAsia"/>
          <w:lang w:val="en-US" w:eastAsia="zh-CN"/>
        </w:rPr>
        <w:t>2</w:t>
      </w:r>
      <w:r>
        <w:rPr>
          <w:rFonts w:hint="eastAsia"/>
        </w:rPr>
        <w:t>年度收、支总计</w:t>
      </w:r>
      <w:r>
        <w:rPr>
          <w:rFonts w:hint="eastAsia"/>
          <w:lang w:val="en-US" w:eastAsia="zh-CN"/>
        </w:rPr>
        <w:t>96.47</w:t>
      </w:r>
      <w:r>
        <w:rPr>
          <w:rFonts w:hint="eastAsia"/>
        </w:rPr>
        <w:t>万元。与20</w:t>
      </w:r>
      <w:r>
        <w:rPr>
          <w:rFonts w:hint="eastAsia"/>
          <w:lang w:val="en-US" w:eastAsia="zh-CN"/>
        </w:rPr>
        <w:t>21</w:t>
      </w:r>
      <w:r>
        <w:rPr>
          <w:rFonts w:hint="eastAsia"/>
        </w:rPr>
        <w:t>年相比，收、支总计</w:t>
      </w:r>
      <w:r>
        <w:rPr>
          <w:rFonts w:hint="eastAsia"/>
          <w:lang w:val="en-US" w:eastAsia="zh-CN"/>
        </w:rPr>
        <w:t>增加23.08</w:t>
      </w:r>
      <w:r>
        <w:rPr>
          <w:rFonts w:hint="eastAsia"/>
        </w:rPr>
        <w:t>万元，</w:t>
      </w:r>
      <w:r>
        <w:rPr>
          <w:rFonts w:hint="eastAsia"/>
          <w:lang w:val="en-US" w:eastAsia="zh-CN"/>
        </w:rPr>
        <w:t>增加31.45</w:t>
      </w:r>
      <w:r>
        <w:rPr>
          <w:rFonts w:hint="eastAsia"/>
        </w:rPr>
        <w:t>%。主要变动原因是202</w:t>
      </w:r>
      <w:r>
        <w:rPr>
          <w:rFonts w:hint="eastAsia"/>
          <w:lang w:val="en-US" w:eastAsia="zh-CN"/>
        </w:rPr>
        <w:t>2发放绩效目标奖</w:t>
      </w:r>
      <w:r>
        <w:rPr>
          <w:rFonts w:hint="eastAsia"/>
        </w:rPr>
        <w:t>。</w:t>
      </w:r>
    </w:p>
    <w:p>
      <w:pPr>
        <w:jc w:val="center"/>
        <w:rPr>
          <w:rFonts w:hint="eastAsia" w:ascii="仿宋" w:hAnsi="仿宋" w:eastAsia="仿宋"/>
          <w:color w:val="000000" w:themeColor="text1"/>
          <w:sz w:val="32"/>
          <w:szCs w:val="32"/>
          <w:lang w:eastAsia="zh-CN"/>
          <w14:textFill>
            <w14:solidFill>
              <w14:schemeClr w14:val="tx1"/>
            </w14:solidFill>
          </w14:textFill>
        </w:rPr>
      </w:pPr>
      <w:r>
        <w:drawing>
          <wp:inline distT="0" distB="0" distL="114300" distR="114300">
            <wp:extent cx="4541520" cy="297942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4541520" cy="2979420"/>
                    </a:xfrm>
                    <a:prstGeom prst="rect">
                      <a:avLst/>
                    </a:prstGeom>
                    <a:noFill/>
                    <a:ln>
                      <a:noFill/>
                    </a:ln>
                  </pic:spPr>
                </pic:pic>
              </a:graphicData>
            </a:graphic>
          </wp:inline>
        </w:drawing>
      </w:r>
    </w:p>
    <w:p>
      <w:pPr>
        <w:bidi w:val="0"/>
      </w:pPr>
      <w:r>
        <w:rPr>
          <w:rFonts w:hint="eastAsia"/>
        </w:rPr>
        <w:t>（图</w:t>
      </w:r>
      <w:r>
        <w:t>1</w:t>
      </w:r>
      <w:r>
        <w:rPr>
          <w:rFonts w:hint="eastAsia"/>
        </w:rPr>
        <w:t>：收、支决算总计变动情况图）（柱状图）</w:t>
      </w:r>
    </w:p>
    <w:p>
      <w:pPr>
        <w:pStyle w:val="4"/>
        <w:numPr>
          <w:ilvl w:val="0"/>
          <w:numId w:val="2"/>
        </w:numPr>
        <w:bidi w:val="0"/>
      </w:pPr>
      <w:bookmarkStart w:id="36" w:name="_Toc8097"/>
      <w:bookmarkStart w:id="37" w:name="_Toc22813"/>
      <w:bookmarkStart w:id="38" w:name="_Toc23502"/>
      <w:bookmarkStart w:id="39" w:name="_Toc15377206"/>
      <w:bookmarkStart w:id="40" w:name="_Toc17103554"/>
      <w:r>
        <w:rPr>
          <w:rFonts w:hint="eastAsia"/>
        </w:rPr>
        <w:t>收入决算情况说明</w:t>
      </w:r>
      <w:bookmarkEnd w:id="36"/>
      <w:bookmarkEnd w:id="37"/>
      <w:bookmarkEnd w:id="38"/>
      <w:bookmarkEnd w:id="39"/>
      <w:bookmarkEnd w:id="40"/>
    </w:p>
    <w:p>
      <w:pPr>
        <w:bidi w:val="0"/>
        <w:rPr>
          <w:rFonts w:ascii="仿宋" w:hAnsi="仿宋" w:eastAsia="仿宋"/>
          <w:color w:val="000000"/>
          <w:sz w:val="32"/>
          <w:szCs w:val="32"/>
        </w:rPr>
      </w:pPr>
      <w:bookmarkStart w:id="41" w:name="_Toc17103555"/>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年本年收入合计</w:t>
      </w:r>
      <w:r>
        <w:rPr>
          <w:rFonts w:hint="eastAsia" w:ascii="仿宋_GB2312" w:hAnsi="仿宋" w:eastAsia="仿宋_GB2312"/>
          <w:sz w:val="32"/>
          <w:szCs w:val="32"/>
          <w:lang w:val="en-US" w:eastAsia="zh-CN"/>
        </w:rPr>
        <w:t>96.47</w:t>
      </w:r>
      <w:r>
        <w:rPr>
          <w:rFonts w:hint="eastAsia" w:ascii="仿宋" w:hAnsi="仿宋" w:eastAsia="仿宋"/>
          <w:color w:val="000000"/>
          <w:sz w:val="32"/>
          <w:szCs w:val="32"/>
        </w:rPr>
        <w:t>万元，其中：一般公共预算财政拨款收入</w:t>
      </w:r>
      <w:r>
        <w:rPr>
          <w:rFonts w:hint="eastAsia" w:ascii="仿宋_GB2312" w:hAnsi="仿宋" w:eastAsia="仿宋_GB2312"/>
          <w:sz w:val="32"/>
          <w:szCs w:val="32"/>
          <w:lang w:val="en-US" w:eastAsia="zh-CN"/>
        </w:rPr>
        <w:t>96.47</w:t>
      </w:r>
      <w:r>
        <w:rPr>
          <w:rFonts w:hint="eastAsia" w:ascii="仿宋" w:hAnsi="仿宋" w:eastAsia="仿宋"/>
          <w:color w:val="000000"/>
          <w:sz w:val="32"/>
          <w:szCs w:val="32"/>
        </w:rPr>
        <w:t>万元，占100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bookmarkEnd w:id="41"/>
    </w:p>
    <w:p>
      <w:pPr>
        <w:spacing w:line="600" w:lineRule="exact"/>
        <w:ind w:firstLine="640" w:firstLineChars="200"/>
        <w:outlineLvl w:val="1"/>
        <w:rPr>
          <w:rFonts w:ascii="仿宋" w:hAnsi="仿宋" w:eastAsia="仿宋"/>
          <w:color w:val="000000"/>
          <w:sz w:val="32"/>
          <w:szCs w:val="32"/>
        </w:rPr>
      </w:pPr>
    </w:p>
    <w:p>
      <w:pPr>
        <w:ind w:firstLine="640" w:firstLineChars="200"/>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inline distT="0" distB="0" distL="114300" distR="114300">
            <wp:extent cx="4584065" cy="2688590"/>
            <wp:effectExtent l="0" t="0" r="6985" b="16510"/>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10"/>
                    <a:stretch>
                      <a:fillRect/>
                    </a:stretch>
                  </pic:blipFill>
                  <pic:spPr>
                    <a:xfrm>
                      <a:off x="0" y="0"/>
                      <a:ext cx="4584065" cy="2688590"/>
                    </a:xfrm>
                    <a:prstGeom prst="rect">
                      <a:avLst/>
                    </a:prstGeom>
                  </pic:spPr>
                </pic:pic>
              </a:graphicData>
            </a:graphic>
          </wp:inline>
        </w:drawing>
      </w:r>
    </w:p>
    <w:p>
      <w:pPr>
        <w:spacing w:line="600" w:lineRule="exact"/>
        <w:ind w:firstLine="640" w:firstLineChars="200"/>
        <w:jc w:val="center"/>
        <w:rPr>
          <w:rFonts w:ascii="仿宋_GB2312" w:eastAsia="仿宋_GB2312"/>
          <w:color w:val="FF0000"/>
          <w:sz w:val="32"/>
          <w:szCs w:val="32"/>
        </w:rPr>
      </w:pPr>
      <w:r>
        <w:rPr>
          <w:rFonts w:hint="eastAsia" w:ascii="仿宋" w:hAnsi="仿宋" w:eastAsia="仿宋"/>
          <w:color w:val="000000" w:themeColor="text1"/>
          <w:sz w:val="32"/>
          <w:szCs w:val="32"/>
          <w14:textFill>
            <w14:solidFill>
              <w14:schemeClr w14:val="tx1"/>
            </w14:solidFill>
          </w14:textFill>
        </w:rPr>
        <w:t>（图2：收入决算结构图）（饼状图）</w:t>
      </w:r>
    </w:p>
    <w:p>
      <w:pPr>
        <w:pStyle w:val="4"/>
        <w:numPr>
          <w:ilvl w:val="0"/>
          <w:numId w:val="2"/>
        </w:numPr>
        <w:bidi w:val="0"/>
      </w:pPr>
      <w:bookmarkStart w:id="42" w:name="_Toc3715"/>
      <w:bookmarkStart w:id="43" w:name="_Toc389"/>
      <w:bookmarkStart w:id="44" w:name="_Toc17103556"/>
      <w:bookmarkStart w:id="45" w:name="_Toc15377207"/>
      <w:bookmarkStart w:id="46" w:name="_Toc30965"/>
      <w:r>
        <w:rPr>
          <w:rFonts w:hint="eastAsia"/>
        </w:rPr>
        <w:t>支出决算情况说明</w:t>
      </w:r>
      <w:bookmarkEnd w:id="42"/>
      <w:bookmarkEnd w:id="43"/>
      <w:bookmarkEnd w:id="44"/>
      <w:bookmarkEnd w:id="45"/>
      <w:bookmarkEnd w:id="46"/>
    </w:p>
    <w:p>
      <w:pPr>
        <w:bidi w:val="0"/>
      </w:pPr>
      <w:r>
        <w:rPr>
          <w:rFonts w:hint="eastAsia"/>
        </w:rPr>
        <w:t>202</w:t>
      </w:r>
      <w:r>
        <w:rPr>
          <w:rFonts w:hint="eastAsia"/>
          <w:lang w:val="en-US" w:eastAsia="zh-CN"/>
        </w:rPr>
        <w:t>2</w:t>
      </w:r>
      <w:r>
        <w:rPr>
          <w:rFonts w:hint="eastAsia"/>
        </w:rPr>
        <w:t>年本年支出合计</w:t>
      </w:r>
      <w:r>
        <w:rPr>
          <w:rFonts w:hint="eastAsia"/>
          <w:lang w:val="en-US" w:eastAsia="zh-CN"/>
        </w:rPr>
        <w:t>96.47</w:t>
      </w:r>
      <w:r>
        <w:rPr>
          <w:rFonts w:hint="eastAsia"/>
        </w:rPr>
        <w:t>万元，其中：基本支出</w:t>
      </w:r>
      <w:r>
        <w:rPr>
          <w:rFonts w:hint="eastAsia"/>
          <w:lang w:val="en-US" w:eastAsia="zh-CN"/>
        </w:rPr>
        <w:t>96.12</w:t>
      </w:r>
      <w:r>
        <w:rPr>
          <w:rFonts w:hint="eastAsia"/>
        </w:rPr>
        <w:t>万元，占</w:t>
      </w:r>
      <w:r>
        <w:rPr>
          <w:rFonts w:hint="eastAsia"/>
          <w:lang w:val="en-US" w:eastAsia="zh-CN"/>
        </w:rPr>
        <w:t>99.64</w:t>
      </w:r>
      <w:r>
        <w:t>%</w:t>
      </w:r>
      <w:r>
        <w:rPr>
          <w:rFonts w:hint="eastAsia"/>
        </w:rPr>
        <w:t>；项目支出</w:t>
      </w:r>
      <w:r>
        <w:rPr>
          <w:rFonts w:hint="eastAsia"/>
          <w:lang w:val="en-US" w:eastAsia="zh-CN"/>
        </w:rPr>
        <w:t>0.35</w:t>
      </w:r>
      <w:r>
        <w:rPr>
          <w:rFonts w:hint="eastAsia"/>
        </w:rPr>
        <w:t>万元，占</w:t>
      </w:r>
      <w:r>
        <w:rPr>
          <w:rFonts w:hint="eastAsia"/>
          <w:lang w:val="en-US" w:eastAsia="zh-CN"/>
        </w:rPr>
        <w:t>0.36</w:t>
      </w:r>
      <w:r>
        <w:t>%</w:t>
      </w:r>
      <w:r>
        <w:rPr>
          <w:rFonts w:hint="eastAsia"/>
        </w:rPr>
        <w:t>；上缴上级支出0万元，占0</w:t>
      </w:r>
      <w:r>
        <w:rPr>
          <w:rFonts w:hint="eastAsia"/>
          <w:lang w:val="en-US" w:eastAsia="zh-CN"/>
        </w:rPr>
        <w:t>.0</w:t>
      </w:r>
      <w:r>
        <w:t>%</w:t>
      </w:r>
      <w:r>
        <w:rPr>
          <w:rFonts w:hint="eastAsia"/>
        </w:rPr>
        <w:t>；经营支出0万元，占0</w:t>
      </w:r>
      <w:r>
        <w:rPr>
          <w:rFonts w:hint="eastAsia"/>
          <w:lang w:val="en-US" w:eastAsia="zh-CN"/>
        </w:rPr>
        <w:t>.0</w:t>
      </w:r>
      <w:r>
        <w:t>%</w:t>
      </w:r>
      <w:r>
        <w:rPr>
          <w:rFonts w:hint="eastAsia"/>
        </w:rPr>
        <w:t>；对附属单位补助支出0万元，占0</w:t>
      </w:r>
      <w:r>
        <w:rPr>
          <w:rFonts w:hint="eastAsia"/>
          <w:lang w:val="en-US" w:eastAsia="zh-CN"/>
        </w:rPr>
        <w:t>.0</w:t>
      </w:r>
      <w:r>
        <w:t>%</w:t>
      </w:r>
      <w:r>
        <w:rPr>
          <w:rFonts w:hint="eastAsia"/>
        </w:rPr>
        <w:t>。</w:t>
      </w:r>
    </w:p>
    <w:p>
      <w:pPr>
        <w:jc w:val="center"/>
        <w:rPr>
          <w:rFonts w:hint="eastAsia" w:ascii="仿宋" w:hAnsi="仿宋" w:eastAsia="仿宋"/>
          <w:color w:val="000000" w:themeColor="text1"/>
          <w:sz w:val="32"/>
          <w:szCs w:val="32"/>
          <w:lang w:eastAsia="zh-CN"/>
          <w14:textFill>
            <w14:solidFill>
              <w14:schemeClr w14:val="tx1"/>
            </w14:solidFill>
          </w14:textFill>
        </w:rPr>
      </w:pPr>
      <w:r>
        <w:drawing>
          <wp:inline distT="0" distB="0" distL="114300" distR="114300">
            <wp:extent cx="4526280" cy="285750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4526280" cy="2857500"/>
                    </a:xfrm>
                    <a:prstGeom prst="rect">
                      <a:avLst/>
                    </a:prstGeom>
                    <a:noFill/>
                    <a:ln>
                      <a:noFill/>
                    </a:ln>
                  </pic:spPr>
                </pic:pic>
              </a:graphicData>
            </a:graphic>
          </wp:inline>
        </w:drawing>
      </w:r>
    </w:p>
    <w:p>
      <w:pPr>
        <w:spacing w:line="600" w:lineRule="exact"/>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outlineLvl w:val="1"/>
        <w:rPr>
          <w:rFonts w:ascii="黑体" w:hAnsi="黑体" w:eastAsia="黑体"/>
          <w:color w:val="000000"/>
          <w:sz w:val="32"/>
          <w:szCs w:val="32"/>
        </w:rPr>
      </w:pPr>
      <w:bookmarkStart w:id="47" w:name="_Toc17103557"/>
      <w:bookmarkStart w:id="48" w:name="_Toc15377208"/>
    </w:p>
    <w:p>
      <w:pPr>
        <w:pStyle w:val="4"/>
        <w:bidi w:val="0"/>
        <w:jc w:val="center"/>
      </w:pPr>
      <w:bookmarkStart w:id="49" w:name="_Toc726"/>
      <w:bookmarkStart w:id="50" w:name="_Toc31889"/>
      <w:bookmarkStart w:id="51" w:name="_Toc29767"/>
      <w:r>
        <w:rPr>
          <w:rFonts w:hint="eastAsia"/>
        </w:rPr>
        <w:t>四、财政拨款收入支出决算总体情况说明</w:t>
      </w:r>
      <w:bookmarkEnd w:id="47"/>
      <w:bookmarkEnd w:id="48"/>
      <w:bookmarkEnd w:id="49"/>
      <w:bookmarkEnd w:id="50"/>
      <w:bookmarkEnd w:id="51"/>
    </w:p>
    <w:p>
      <w:pPr>
        <w:bidi w:val="0"/>
      </w:pPr>
      <w:r>
        <w:rPr>
          <w:rFonts w:hint="eastAsia"/>
        </w:rPr>
        <w:t>202</w:t>
      </w:r>
      <w:r>
        <w:rPr>
          <w:rFonts w:hint="eastAsia"/>
          <w:lang w:val="en-US" w:eastAsia="zh-CN"/>
        </w:rPr>
        <w:t>2</w:t>
      </w:r>
      <w:r>
        <w:rPr>
          <w:rFonts w:hint="eastAsia"/>
        </w:rPr>
        <w:t>年度财政拨款收、支总计</w:t>
      </w:r>
      <w:r>
        <w:rPr>
          <w:rFonts w:hint="eastAsia"/>
          <w:lang w:val="en-US" w:eastAsia="zh-CN"/>
        </w:rPr>
        <w:t>96.47</w:t>
      </w:r>
      <w:r>
        <w:rPr>
          <w:rFonts w:hint="eastAsia"/>
        </w:rPr>
        <w:t>万元。与20</w:t>
      </w:r>
      <w:r>
        <w:rPr>
          <w:rFonts w:hint="eastAsia"/>
          <w:lang w:val="en-US" w:eastAsia="zh-CN"/>
        </w:rPr>
        <w:t>21</w:t>
      </w:r>
      <w:r>
        <w:rPr>
          <w:rFonts w:hint="eastAsia"/>
        </w:rPr>
        <w:t>年相比，财政拨款收、支总计各</w:t>
      </w:r>
      <w:r>
        <w:rPr>
          <w:rFonts w:hint="eastAsia"/>
          <w:lang w:val="en-US" w:eastAsia="zh-CN"/>
        </w:rPr>
        <w:t>增加23.08</w:t>
      </w:r>
      <w:r>
        <w:rPr>
          <w:rFonts w:hint="eastAsia"/>
        </w:rPr>
        <w:t>万元，</w:t>
      </w:r>
      <w:r>
        <w:rPr>
          <w:rFonts w:hint="eastAsia"/>
          <w:lang w:val="en-US" w:eastAsia="zh-CN"/>
        </w:rPr>
        <w:t>增加31.45</w:t>
      </w:r>
      <w:r>
        <w:rPr>
          <w:rFonts w:hint="eastAsia"/>
        </w:rPr>
        <w:t>%。主要变动原因是202</w:t>
      </w:r>
      <w:r>
        <w:rPr>
          <w:rFonts w:hint="eastAsia"/>
          <w:lang w:val="en-US" w:eastAsia="zh-CN"/>
        </w:rPr>
        <w:t>2发放绩效目标奖</w:t>
      </w:r>
      <w:r>
        <w:rPr>
          <w:rFonts w:hint="eastAsia"/>
        </w:rPr>
        <w:t>。</w:t>
      </w:r>
    </w:p>
    <w:p>
      <w:pPr>
        <w:pStyle w:val="16"/>
        <w:ind w:firstLine="420"/>
        <w:rPr>
          <w:rFonts w:hint="eastAsia" w:eastAsia="宋体"/>
          <w:lang w:eastAsia="zh-CN"/>
        </w:rPr>
      </w:pPr>
      <w:r>
        <w:drawing>
          <wp:inline distT="0" distB="0" distL="114300" distR="114300">
            <wp:extent cx="4541520" cy="297942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4541520" cy="2979420"/>
                    </a:xfrm>
                    <a:prstGeom prst="rect">
                      <a:avLst/>
                    </a:prstGeom>
                    <a:noFill/>
                    <a:ln>
                      <a:noFill/>
                    </a:ln>
                  </pic:spPr>
                </pic:pic>
              </a:graphicData>
            </a:graphic>
          </wp:inline>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pStyle w:val="4"/>
        <w:bidi w:val="0"/>
        <w:jc w:val="center"/>
        <w:rPr>
          <w:rStyle w:val="26"/>
          <w:rFonts w:ascii="黑体" w:hAnsi="黑体" w:eastAsia="黑体"/>
          <w:b w:val="0"/>
          <w:bCs/>
        </w:rPr>
      </w:pPr>
      <w:bookmarkStart w:id="52" w:name="_Toc32184"/>
      <w:bookmarkStart w:id="53" w:name="_Toc15377209"/>
      <w:bookmarkStart w:id="54" w:name="_Toc11621"/>
      <w:bookmarkStart w:id="55" w:name="_Toc22851"/>
      <w:bookmarkStart w:id="56" w:name="_Toc17103558"/>
      <w:r>
        <w:rPr>
          <w:rFonts w:hint="eastAsia"/>
        </w:rPr>
        <w:t>五、一般公共预算财政拨款支出决算情况说明</w:t>
      </w:r>
      <w:bookmarkEnd w:id="52"/>
      <w:bookmarkEnd w:id="53"/>
      <w:bookmarkEnd w:id="54"/>
      <w:bookmarkEnd w:id="55"/>
      <w:bookmarkEnd w:id="56"/>
    </w:p>
    <w:p>
      <w:pPr>
        <w:spacing w:line="600" w:lineRule="exact"/>
        <w:ind w:firstLine="643" w:firstLineChars="200"/>
        <w:outlineLvl w:val="2"/>
        <w:rPr>
          <w:rFonts w:ascii="仿宋" w:hAnsi="仿宋" w:eastAsia="仿宋"/>
          <w:b/>
          <w:color w:val="000000"/>
          <w:sz w:val="32"/>
          <w:szCs w:val="32"/>
        </w:rPr>
      </w:pPr>
      <w:bookmarkStart w:id="57" w:name="_Toc15377210"/>
      <w:r>
        <w:rPr>
          <w:rFonts w:hint="eastAsia" w:ascii="仿宋" w:hAnsi="仿宋" w:eastAsia="仿宋"/>
          <w:b/>
          <w:color w:val="000000"/>
          <w:sz w:val="32"/>
          <w:szCs w:val="32"/>
        </w:rPr>
        <w:t>（一）一般公共预算财政拨款支出决算总体情况</w:t>
      </w:r>
      <w:bookmarkEnd w:id="57"/>
    </w:p>
    <w:p>
      <w:pPr>
        <w:spacing w:line="600" w:lineRule="exact"/>
        <w:ind w:firstLine="640" w:firstLineChars="200"/>
        <w:rPr>
          <w:rFonts w:hint="default" w:ascii="仿宋" w:hAnsi="仿宋" w:eastAsia="仿宋"/>
          <w:bCs/>
          <w:color w:val="000000"/>
          <w:sz w:val="32"/>
          <w:szCs w:val="32"/>
          <w:lang w:val="en-US"/>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96.47</w:t>
      </w:r>
      <w:r>
        <w:rPr>
          <w:rFonts w:hint="eastAsia" w:ascii="仿宋" w:hAnsi="仿宋" w:eastAsia="仿宋"/>
          <w:color w:val="000000"/>
          <w:sz w:val="32"/>
          <w:szCs w:val="32"/>
        </w:rPr>
        <w:t>万元，占本年支出合计的100</w:t>
      </w:r>
      <w:r>
        <w:rPr>
          <w:rFonts w:ascii="仿宋" w:hAnsi="仿宋" w:eastAsia="仿宋"/>
          <w:color w:val="000000"/>
          <w:sz w:val="32"/>
          <w:szCs w:val="32"/>
        </w:rPr>
        <w:t>%</w:t>
      </w:r>
      <w:r>
        <w:rPr>
          <w:rFonts w:hint="eastAsia" w:ascii="仿宋" w:hAnsi="仿宋" w:eastAsia="仿宋"/>
          <w:color w:val="000000"/>
          <w:sz w:val="32"/>
          <w:szCs w:val="32"/>
        </w:rPr>
        <w:t>。与20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年相比，一般公共预算财政拨款支出</w:t>
      </w:r>
      <w:r>
        <w:rPr>
          <w:rFonts w:hint="eastAsia" w:ascii="仿宋" w:hAnsi="仿宋" w:eastAsia="仿宋"/>
          <w:color w:val="000000"/>
          <w:sz w:val="32"/>
          <w:szCs w:val="32"/>
          <w:lang w:val="en-US" w:eastAsia="zh-CN"/>
        </w:rPr>
        <w:t>增加23.08</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增加31.45</w:t>
      </w:r>
      <w:r>
        <w:rPr>
          <w:rFonts w:hint="eastAsia" w:ascii="仿宋" w:hAnsi="仿宋" w:eastAsia="仿宋"/>
          <w:color w:val="000000"/>
          <w:sz w:val="32"/>
          <w:szCs w:val="32"/>
        </w:rPr>
        <w:t>%。主要变动原因是202</w:t>
      </w:r>
      <w:r>
        <w:rPr>
          <w:rFonts w:hint="eastAsia" w:ascii="仿宋" w:hAnsi="仿宋" w:eastAsia="仿宋"/>
          <w:color w:val="000000"/>
          <w:sz w:val="32"/>
          <w:szCs w:val="32"/>
          <w:lang w:val="en-US" w:eastAsia="zh-CN"/>
        </w:rPr>
        <w:t>2发放绩效目标奖</w:t>
      </w:r>
      <w:r>
        <w:rPr>
          <w:rFonts w:hint="eastAsia" w:ascii="仿宋" w:hAnsi="仿宋" w:eastAsia="仿宋"/>
          <w:color w:val="000000"/>
          <w:sz w:val="32"/>
          <w:szCs w:val="32"/>
        </w:rPr>
        <w:t>。</w:t>
      </w:r>
    </w:p>
    <w:p>
      <w:pPr>
        <w:ind w:firstLine="640" w:firstLineChars="200"/>
        <w:rPr>
          <w:rFonts w:hint="eastAsia" w:ascii="仿宋" w:hAnsi="仿宋" w:eastAsia="仿宋"/>
          <w:bCs/>
          <w:color w:val="000000"/>
          <w:sz w:val="32"/>
          <w:szCs w:val="32"/>
          <w:lang w:eastAsia="zh-CN"/>
        </w:rPr>
      </w:pPr>
      <w:r>
        <w:drawing>
          <wp:inline distT="0" distB="0" distL="114300" distR="114300">
            <wp:extent cx="4526280" cy="2667000"/>
            <wp:effectExtent l="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2"/>
                    <a:stretch>
                      <a:fillRect/>
                    </a:stretch>
                  </pic:blipFill>
                  <pic:spPr>
                    <a:xfrm>
                      <a:off x="0" y="0"/>
                      <a:ext cx="4526280" cy="2667000"/>
                    </a:xfrm>
                    <a:prstGeom prst="rect">
                      <a:avLst/>
                    </a:prstGeom>
                    <a:noFill/>
                    <a:ln>
                      <a:noFill/>
                    </a:ln>
                  </pic:spPr>
                </pic:pic>
              </a:graphicData>
            </a:graphic>
          </wp:inline>
        </w:drawing>
      </w:r>
    </w:p>
    <w:p>
      <w:pPr>
        <w:spacing w:line="6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58" w:name="_Toc15377211"/>
      <w:r>
        <w:rPr>
          <w:rFonts w:hint="eastAsia" w:ascii="仿宋" w:hAnsi="仿宋" w:eastAsia="仿宋"/>
          <w:b/>
          <w:color w:val="000000"/>
          <w:sz w:val="32"/>
          <w:szCs w:val="32"/>
        </w:rPr>
        <w:t>（二）一般公共预算财政拨款支出决算结构情况</w:t>
      </w:r>
      <w:bookmarkEnd w:id="58"/>
    </w:p>
    <w:p>
      <w:pPr>
        <w:spacing w:line="60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sz w:val="32"/>
          <w:szCs w:val="32"/>
          <w:lang w:val="en-US" w:eastAsia="zh-CN"/>
        </w:rPr>
        <w:t>96.47</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公路水路运输</w:t>
      </w:r>
      <w:r>
        <w:rPr>
          <w:rFonts w:hint="eastAsia" w:ascii="仿宋" w:hAnsi="仿宋" w:eastAsia="仿宋"/>
          <w:color w:val="000000" w:themeColor="text1"/>
          <w:sz w:val="32"/>
          <w:szCs w:val="32"/>
          <w:lang w:eastAsia="zh-CN"/>
          <w14:textFill>
            <w14:solidFill>
              <w14:schemeClr w14:val="tx1"/>
            </w14:solidFill>
          </w14:textFill>
        </w:rPr>
        <w:t>支出</w:t>
      </w:r>
      <w:r>
        <w:rPr>
          <w:rFonts w:hint="eastAsia" w:ascii="仿宋" w:hAnsi="仿宋" w:eastAsia="仿宋"/>
          <w:color w:val="000000" w:themeColor="text1"/>
          <w:sz w:val="32"/>
          <w:szCs w:val="32"/>
          <w14:textFill>
            <w14:solidFill>
              <w14:schemeClr w14:val="tx1"/>
            </w14:solidFill>
          </w14:textFill>
        </w:rPr>
        <w:t>75.72万元，占</w:t>
      </w:r>
      <w:r>
        <w:rPr>
          <w:rFonts w:hint="eastAsia" w:ascii="仿宋" w:hAnsi="仿宋" w:eastAsia="仿宋"/>
          <w:color w:val="000000" w:themeColor="text1"/>
          <w:sz w:val="32"/>
          <w:szCs w:val="32"/>
          <w:lang w:val="en-US" w:eastAsia="zh-CN"/>
          <w14:textFill>
            <w14:solidFill>
              <w14:schemeClr w14:val="tx1"/>
            </w14:solidFill>
          </w14:textFill>
        </w:rPr>
        <w:t>20.37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sz w:val="32"/>
          <w:szCs w:val="32"/>
        </w:rPr>
        <w:t>社会保障和就业</w:t>
      </w:r>
      <w:r>
        <w:rPr>
          <w:rFonts w:hint="eastAsia" w:ascii="仿宋" w:hAnsi="仿宋" w:eastAsia="仿宋"/>
          <w:color w:val="000000" w:themeColor="text1"/>
          <w:sz w:val="32"/>
          <w:szCs w:val="32"/>
          <w14:textFill>
            <w14:solidFill>
              <w14:schemeClr w14:val="tx1"/>
            </w14:solidFill>
          </w14:textFill>
        </w:rPr>
        <w:t>支出11.61万元，占</w:t>
      </w:r>
      <w:r>
        <w:rPr>
          <w:rFonts w:hint="eastAsia" w:ascii="仿宋" w:hAnsi="仿宋" w:eastAsia="仿宋"/>
          <w:color w:val="000000" w:themeColor="text1"/>
          <w:sz w:val="32"/>
          <w:szCs w:val="32"/>
          <w:lang w:val="en-US" w:eastAsia="zh-CN"/>
          <w14:textFill>
            <w14:solidFill>
              <w14:schemeClr w14:val="tx1"/>
            </w14:solidFill>
          </w14:textFill>
        </w:rPr>
        <w:t>3.12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color w:val="000000" w:themeColor="text1"/>
          <w:sz w:val="32"/>
          <w:szCs w:val="32"/>
          <w:lang w:val="en-US" w:eastAsia="zh-CN"/>
          <w14:textFill>
            <w14:solidFill>
              <w14:schemeClr w14:val="tx1"/>
            </w14:solidFill>
          </w14:textFill>
        </w:rPr>
        <w:t>3.9</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1.05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5.24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1.41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ind w:firstLine="640"/>
        <w:rPr>
          <w:rFonts w:hint="eastAsia" w:ascii="仿宋" w:hAnsi="仿宋" w:eastAsia="仿宋"/>
          <w:b/>
          <w:bCs/>
          <w:color w:val="000000" w:themeColor="text1"/>
          <w:sz w:val="32"/>
          <w:szCs w:val="32"/>
          <w:lang w:eastAsia="zh-CN"/>
          <w14:textFill>
            <w14:solidFill>
              <w14:schemeClr w14:val="tx1"/>
            </w14:solidFill>
          </w14:textFill>
        </w:rPr>
      </w:pPr>
      <w:r>
        <w:drawing>
          <wp:inline distT="0" distB="0" distL="114300" distR="114300">
            <wp:extent cx="4503420" cy="2689860"/>
            <wp:effectExtent l="0" t="0" r="7620" b="762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3"/>
                    <a:stretch>
                      <a:fillRect/>
                    </a:stretch>
                  </pic:blipFill>
                  <pic:spPr>
                    <a:xfrm>
                      <a:off x="0" y="0"/>
                      <a:ext cx="4503420" cy="2689860"/>
                    </a:xfrm>
                    <a:prstGeom prst="rect">
                      <a:avLst/>
                    </a:prstGeom>
                    <a:noFill/>
                    <a:ln>
                      <a:noFill/>
                    </a:ln>
                  </pic:spPr>
                </pic:pic>
              </a:graphicData>
            </a:graphic>
          </wp:inline>
        </w:drawing>
      </w:r>
    </w:p>
    <w:p>
      <w:pPr>
        <w:spacing w:line="600" w:lineRule="exact"/>
        <w:jc w:val="center"/>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3" w:firstLineChars="200"/>
        <w:outlineLvl w:val="2"/>
        <w:rPr>
          <w:rFonts w:ascii="仿宋" w:hAnsi="仿宋" w:eastAsia="仿宋"/>
          <w:b/>
          <w:sz w:val="32"/>
          <w:szCs w:val="32"/>
        </w:rPr>
      </w:pPr>
      <w:bookmarkStart w:id="59" w:name="_Toc15377212"/>
      <w:r>
        <w:rPr>
          <w:rFonts w:hint="eastAsia" w:ascii="仿宋" w:hAnsi="仿宋" w:eastAsia="仿宋"/>
          <w:b/>
          <w:sz w:val="32"/>
          <w:szCs w:val="32"/>
        </w:rPr>
        <w:t>（三）一般公共预算财政拨款支出决算具体情况</w:t>
      </w:r>
      <w:bookmarkEnd w:id="59"/>
    </w:p>
    <w:p>
      <w:pPr>
        <w:spacing w:line="600" w:lineRule="exact"/>
        <w:ind w:firstLine="640" w:firstLineChars="200"/>
        <w:rPr>
          <w:rStyle w:val="14"/>
          <w:rFonts w:ascii="仿宋" w:hAnsi="仿宋" w:eastAsia="仿宋"/>
          <w:b w:val="0"/>
          <w:bCs/>
          <w:sz w:val="32"/>
          <w:szCs w:val="32"/>
        </w:rPr>
      </w:pPr>
      <w:bookmarkStart w:id="60" w:name="_Toc15378460"/>
      <w:bookmarkStart w:id="61" w:name="_Toc15377444"/>
      <w:bookmarkStart w:id="62" w:name="_Toc15377213"/>
      <w:r>
        <w:rPr>
          <w:rStyle w:val="14"/>
          <w:rFonts w:hint="eastAsia" w:ascii="仿宋" w:hAnsi="仿宋" w:eastAsia="仿宋"/>
          <w:b w:val="0"/>
          <w:bCs/>
          <w:sz w:val="32"/>
          <w:szCs w:val="32"/>
        </w:rPr>
        <w:t>202</w:t>
      </w:r>
      <w:r>
        <w:rPr>
          <w:rStyle w:val="14"/>
          <w:rFonts w:hint="eastAsia" w:ascii="仿宋" w:hAnsi="仿宋" w:eastAsia="仿宋"/>
          <w:b w:val="0"/>
          <w:bCs/>
          <w:sz w:val="32"/>
          <w:szCs w:val="32"/>
          <w:lang w:val="en-US" w:eastAsia="zh-CN"/>
        </w:rPr>
        <w:t>2</w:t>
      </w:r>
      <w:r>
        <w:rPr>
          <w:rStyle w:val="14"/>
          <w:rFonts w:hint="eastAsia" w:ascii="仿宋" w:hAnsi="仿宋" w:eastAsia="仿宋"/>
          <w:b w:val="0"/>
          <w:bCs/>
          <w:sz w:val="32"/>
          <w:szCs w:val="32"/>
        </w:rPr>
        <w:t>年一般公共预算支出决算数为</w:t>
      </w:r>
      <w:r>
        <w:rPr>
          <w:rStyle w:val="14"/>
          <w:rFonts w:hint="eastAsia" w:ascii="仿宋" w:hAnsi="仿宋" w:eastAsia="仿宋"/>
          <w:b w:val="0"/>
          <w:bCs/>
          <w:sz w:val="32"/>
          <w:szCs w:val="32"/>
          <w:lang w:val="en-US" w:eastAsia="zh-CN"/>
        </w:rPr>
        <w:t>96.47</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100.0</w:t>
      </w:r>
      <w:r>
        <w:rPr>
          <w:rStyle w:val="14"/>
          <w:rFonts w:hint="eastAsia" w:ascii="仿宋" w:hAnsi="仿宋" w:eastAsia="仿宋"/>
          <w:b w:val="0"/>
          <w:bCs/>
          <w:sz w:val="32"/>
          <w:szCs w:val="32"/>
        </w:rPr>
        <w:t>%。其中：</w:t>
      </w:r>
      <w:bookmarkEnd w:id="60"/>
      <w:bookmarkEnd w:id="61"/>
      <w:bookmarkEnd w:id="62"/>
    </w:p>
    <w:p>
      <w:pPr>
        <w:spacing w:line="600" w:lineRule="exact"/>
        <w:ind w:firstLine="640" w:firstLineChars="200"/>
        <w:rPr>
          <w:rStyle w:val="14"/>
          <w:rFonts w:ascii="仿宋" w:hAnsi="仿宋" w:eastAsia="仿宋"/>
          <w:b w:val="0"/>
          <w:bCs/>
          <w:color w:val="000000"/>
          <w:sz w:val="32"/>
          <w:szCs w:val="32"/>
        </w:rPr>
      </w:pPr>
      <w:r>
        <w:rPr>
          <w:rFonts w:hint="eastAsia"/>
          <w:lang w:val="en-US" w:eastAsia="zh-CN"/>
        </w:rPr>
        <w:t xml:space="preserve">  </w:t>
      </w:r>
      <w:r>
        <w:rPr>
          <w:rStyle w:val="14"/>
          <w:rFonts w:hint="eastAsia" w:ascii="仿宋" w:hAnsi="仿宋" w:eastAsia="仿宋"/>
          <w:b w:val="0"/>
          <w:bCs/>
          <w:color w:val="000000"/>
          <w:sz w:val="32"/>
          <w:szCs w:val="32"/>
          <w:lang w:val="en-US" w:eastAsia="zh-CN"/>
        </w:rPr>
        <w:t>1</w:t>
      </w:r>
      <w:r>
        <w:rPr>
          <w:rStyle w:val="14"/>
          <w:rFonts w:hint="eastAsia" w:ascii="仿宋" w:hAnsi="仿宋" w:eastAsia="仿宋"/>
          <w:b w:val="0"/>
          <w:bCs/>
          <w:color w:val="000000"/>
          <w:sz w:val="32"/>
          <w:szCs w:val="32"/>
        </w:rPr>
        <w:t>.交通运输支出（类）公路水路运输（款） 其他公路水路运输支出（项）: 支出决算为</w:t>
      </w:r>
      <w:r>
        <w:rPr>
          <w:rStyle w:val="14"/>
          <w:rFonts w:hint="eastAsia" w:ascii="仿宋" w:hAnsi="仿宋" w:eastAsia="仿宋"/>
          <w:b w:val="0"/>
          <w:bCs/>
          <w:color w:val="000000"/>
          <w:sz w:val="32"/>
          <w:szCs w:val="32"/>
          <w:lang w:val="en-US" w:eastAsia="zh-CN"/>
        </w:rPr>
        <w:t>75.72</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w:t>
      </w:r>
      <w:r>
        <w:rPr>
          <w:rStyle w:val="14"/>
          <w:rFonts w:hint="eastAsia" w:ascii="仿宋" w:hAnsi="仿宋" w:eastAsia="仿宋"/>
          <w:b w:val="0"/>
          <w:bCs/>
          <w:color w:val="000000"/>
          <w:sz w:val="32"/>
          <w:szCs w:val="32"/>
        </w:rPr>
        <w:t>%，决算数等于预算数。</w:t>
      </w:r>
    </w:p>
    <w:p>
      <w:pPr>
        <w:spacing w:line="600" w:lineRule="exact"/>
        <w:ind w:firstLine="640" w:firstLineChars="200"/>
        <w:rPr>
          <w:rStyle w:val="14"/>
          <w:rFonts w:hint="eastAsia"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2</w:t>
      </w:r>
      <w:r>
        <w:rPr>
          <w:rStyle w:val="14"/>
          <w:rFonts w:hint="eastAsia" w:ascii="仿宋" w:hAnsi="仿宋" w:eastAsia="仿宋"/>
          <w:b w:val="0"/>
          <w:bCs/>
          <w:color w:val="000000"/>
          <w:sz w:val="32"/>
          <w:szCs w:val="32"/>
        </w:rPr>
        <w:t>.社会保障和就业（类）行政事业单位养老支出（</w:t>
      </w:r>
      <w:r>
        <w:rPr>
          <w:rStyle w:val="14"/>
          <w:rFonts w:hint="eastAsia" w:ascii="仿宋" w:hAnsi="仿宋" w:eastAsia="仿宋"/>
          <w:b w:val="0"/>
          <w:bCs/>
          <w:color w:val="000000"/>
          <w:sz w:val="32"/>
          <w:szCs w:val="32"/>
          <w:lang w:eastAsia="zh-CN"/>
        </w:rPr>
        <w:t>款</w:t>
      </w:r>
      <w:r>
        <w:rPr>
          <w:rStyle w:val="14"/>
          <w:rFonts w:hint="eastAsia" w:ascii="仿宋" w:hAnsi="仿宋" w:eastAsia="仿宋"/>
          <w:b w:val="0"/>
          <w:bCs/>
          <w:color w:val="000000"/>
          <w:sz w:val="32"/>
          <w:szCs w:val="32"/>
        </w:rPr>
        <w:t>） 事业单位离退休（项）: 支出决算为</w:t>
      </w:r>
      <w:r>
        <w:rPr>
          <w:rStyle w:val="14"/>
          <w:rFonts w:hint="eastAsia" w:ascii="仿宋" w:hAnsi="仿宋" w:eastAsia="仿宋"/>
          <w:b w:val="0"/>
          <w:bCs/>
          <w:color w:val="000000"/>
          <w:sz w:val="32"/>
          <w:szCs w:val="32"/>
          <w:lang w:val="en-US" w:eastAsia="zh-CN"/>
        </w:rPr>
        <w:t>3.42</w:t>
      </w:r>
      <w:r>
        <w:rPr>
          <w:rStyle w:val="14"/>
          <w:rFonts w:hint="eastAsia" w:ascii="仿宋" w:hAnsi="仿宋" w:eastAsia="仿宋"/>
          <w:b w:val="0"/>
          <w:bCs/>
          <w:color w:val="000000"/>
          <w:sz w:val="32"/>
          <w:szCs w:val="32"/>
        </w:rPr>
        <w:t>万元，完成预算100.0%，决算数等于预算数。</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3</w:t>
      </w:r>
      <w:r>
        <w:rPr>
          <w:rStyle w:val="14"/>
          <w:rFonts w:hint="eastAsia" w:ascii="仿宋" w:hAnsi="仿宋" w:eastAsia="仿宋"/>
          <w:b w:val="0"/>
          <w:bCs/>
          <w:color w:val="000000"/>
          <w:sz w:val="32"/>
          <w:szCs w:val="32"/>
        </w:rPr>
        <w:t>.社会保障和就业（类）行政事业单位养老支出（款） 机关事业单位基本养老保险缴费支出（项）: 支出决算为</w:t>
      </w:r>
      <w:r>
        <w:rPr>
          <w:rStyle w:val="14"/>
          <w:rFonts w:hint="eastAsia" w:ascii="仿宋" w:hAnsi="仿宋" w:eastAsia="仿宋"/>
          <w:b w:val="0"/>
          <w:bCs/>
          <w:color w:val="000000"/>
          <w:sz w:val="32"/>
          <w:szCs w:val="32"/>
          <w:lang w:val="en-US" w:eastAsia="zh-CN"/>
        </w:rPr>
        <w:t>7.85</w:t>
      </w:r>
      <w:r>
        <w:rPr>
          <w:rStyle w:val="14"/>
          <w:rFonts w:hint="eastAsia" w:ascii="仿宋" w:hAnsi="仿宋" w:eastAsia="仿宋"/>
          <w:b w:val="0"/>
          <w:bCs/>
          <w:color w:val="000000"/>
          <w:sz w:val="32"/>
          <w:szCs w:val="32"/>
        </w:rPr>
        <w:t>万元，完成预算100</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%，决算数等于预算数。</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4</w:t>
      </w:r>
      <w:r>
        <w:rPr>
          <w:rStyle w:val="14"/>
          <w:rFonts w:hint="eastAsia" w:ascii="仿宋" w:hAnsi="仿宋" w:eastAsia="仿宋"/>
          <w:b w:val="0"/>
          <w:bCs/>
          <w:color w:val="000000"/>
          <w:sz w:val="32"/>
          <w:szCs w:val="32"/>
        </w:rPr>
        <w:t>.社会保障和就业（类）其他社会保障和就业支出（款）其他社会保障和就业支出（项）：支出决算为0.34万元，完成预算100</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%，决算数等于预算数。</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5</w:t>
      </w:r>
      <w:r>
        <w:rPr>
          <w:rStyle w:val="14"/>
          <w:rFonts w:hint="eastAsia" w:ascii="仿宋" w:hAnsi="仿宋" w:eastAsia="仿宋"/>
          <w:b w:val="0"/>
          <w:bCs/>
          <w:color w:val="000000"/>
          <w:sz w:val="32"/>
          <w:szCs w:val="32"/>
        </w:rPr>
        <w:t>.医疗卫生与计划生育（类）行政事业单位医疗（款）事业单位医疗（项）:支出决算为</w:t>
      </w:r>
      <w:r>
        <w:rPr>
          <w:rStyle w:val="14"/>
          <w:rFonts w:hint="eastAsia" w:ascii="仿宋" w:hAnsi="仿宋" w:eastAsia="仿宋"/>
          <w:b w:val="0"/>
          <w:bCs/>
          <w:color w:val="000000"/>
          <w:sz w:val="32"/>
          <w:szCs w:val="32"/>
          <w:lang w:val="en-US" w:eastAsia="zh-CN"/>
        </w:rPr>
        <w:t>3.26</w:t>
      </w:r>
      <w:r>
        <w:rPr>
          <w:rStyle w:val="14"/>
          <w:rFonts w:hint="eastAsia" w:ascii="仿宋" w:hAnsi="仿宋" w:eastAsia="仿宋"/>
          <w:b w:val="0"/>
          <w:bCs/>
          <w:color w:val="000000"/>
          <w:sz w:val="32"/>
          <w:szCs w:val="32"/>
        </w:rPr>
        <w:t>万元，完成预算100</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%，决算数等于预算数。</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6</w:t>
      </w:r>
      <w:r>
        <w:rPr>
          <w:rStyle w:val="14"/>
          <w:rFonts w:hint="eastAsia" w:ascii="仿宋" w:hAnsi="仿宋" w:eastAsia="仿宋"/>
          <w:b w:val="0"/>
          <w:bCs/>
          <w:color w:val="000000"/>
          <w:sz w:val="32"/>
          <w:szCs w:val="32"/>
        </w:rPr>
        <w:t>.医疗卫生与计划生育（类）行政事业单位医疗（款）公务员医疗补助（项）:支出决算为</w:t>
      </w:r>
      <w:r>
        <w:rPr>
          <w:rStyle w:val="14"/>
          <w:rFonts w:hint="eastAsia" w:ascii="仿宋" w:hAnsi="仿宋" w:eastAsia="仿宋"/>
          <w:b w:val="0"/>
          <w:bCs/>
          <w:color w:val="000000"/>
          <w:sz w:val="32"/>
          <w:szCs w:val="32"/>
          <w:lang w:val="en-US" w:eastAsia="zh-CN"/>
        </w:rPr>
        <w:t>0.64</w:t>
      </w:r>
      <w:r>
        <w:rPr>
          <w:rStyle w:val="14"/>
          <w:rFonts w:hint="eastAsia" w:ascii="仿宋" w:hAnsi="仿宋" w:eastAsia="仿宋"/>
          <w:b w:val="0"/>
          <w:bCs/>
          <w:color w:val="000000"/>
          <w:sz w:val="32"/>
          <w:szCs w:val="32"/>
        </w:rPr>
        <w:t>万元，完成预算100</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%，决算数等于预算数。</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7</w:t>
      </w:r>
      <w:r>
        <w:rPr>
          <w:rStyle w:val="14"/>
          <w:rFonts w:hint="eastAsia" w:ascii="仿宋" w:hAnsi="仿宋" w:eastAsia="仿宋"/>
          <w:b w:val="0"/>
          <w:bCs/>
          <w:color w:val="000000"/>
          <w:sz w:val="32"/>
          <w:szCs w:val="32"/>
        </w:rPr>
        <w:t>.住房保障支出（类）住房改革支出（款）住房公积金（项）:支出决算为</w:t>
      </w:r>
      <w:r>
        <w:rPr>
          <w:rStyle w:val="14"/>
          <w:rFonts w:hint="eastAsia" w:ascii="仿宋" w:hAnsi="仿宋" w:eastAsia="仿宋"/>
          <w:b w:val="0"/>
          <w:bCs/>
          <w:color w:val="000000"/>
          <w:sz w:val="32"/>
          <w:szCs w:val="32"/>
          <w:lang w:val="en-US" w:eastAsia="zh-CN"/>
        </w:rPr>
        <w:t>5.24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w:t>
      </w:r>
      <w:r>
        <w:rPr>
          <w:rStyle w:val="14"/>
          <w:rFonts w:hint="eastAsia" w:ascii="仿宋" w:hAnsi="仿宋" w:eastAsia="仿宋"/>
          <w:b w:val="0"/>
          <w:bCs/>
          <w:color w:val="000000"/>
          <w:sz w:val="32"/>
          <w:szCs w:val="32"/>
        </w:rPr>
        <w:t>%，决算数等于预算数。</w:t>
      </w:r>
    </w:p>
    <w:p>
      <w:pPr>
        <w:pStyle w:val="4"/>
        <w:bidi w:val="0"/>
        <w:jc w:val="center"/>
        <w:rPr>
          <w:rStyle w:val="26"/>
          <w:b/>
          <w:bCs/>
        </w:rPr>
      </w:pPr>
      <w:bookmarkStart w:id="63" w:name="_Toc17103559"/>
      <w:bookmarkStart w:id="64" w:name="_Toc30635"/>
      <w:bookmarkStart w:id="65" w:name="_Toc15377214"/>
      <w:bookmarkStart w:id="66" w:name="_Toc1345"/>
      <w:bookmarkStart w:id="67" w:name="_Toc26783"/>
      <w:r>
        <w:rPr>
          <w:rStyle w:val="26"/>
          <w:rFonts w:hint="eastAsia"/>
          <w:b/>
          <w:bCs/>
        </w:rPr>
        <w:t>六、一般公共预算财政拨款基本支出决算情况说明</w:t>
      </w:r>
      <w:bookmarkEnd w:id="63"/>
      <w:bookmarkEnd w:id="64"/>
      <w:bookmarkEnd w:id="65"/>
      <w:bookmarkEnd w:id="66"/>
      <w:bookmarkEnd w:id="67"/>
    </w:p>
    <w:p>
      <w:pPr>
        <w:bidi w:val="0"/>
      </w:pPr>
      <w:r>
        <w:rPr>
          <w:rFonts w:hint="eastAsia"/>
        </w:rPr>
        <w:t>202</w:t>
      </w:r>
      <w:r>
        <w:rPr>
          <w:rFonts w:hint="eastAsia"/>
          <w:lang w:val="en-US" w:eastAsia="zh-CN"/>
        </w:rPr>
        <w:t>2</w:t>
      </w:r>
      <w:r>
        <w:rPr>
          <w:rFonts w:hint="eastAsia"/>
        </w:rPr>
        <w:t>年一般公共预算财政拨款基本支出</w:t>
      </w:r>
      <w:r>
        <w:rPr>
          <w:rFonts w:hint="eastAsia"/>
          <w:lang w:val="en-US" w:eastAsia="zh-CN"/>
        </w:rPr>
        <w:t>96.47</w:t>
      </w:r>
      <w:r>
        <w:rPr>
          <w:rFonts w:hint="eastAsia"/>
        </w:rPr>
        <w:t>万元，其中：</w:t>
      </w:r>
    </w:p>
    <w:p>
      <w:pPr>
        <w:bidi w:val="0"/>
        <w:rPr>
          <w:rFonts w:ascii="仿宋" w:hAnsi="仿宋" w:eastAsia="仿宋"/>
          <w:b/>
          <w:color w:val="FF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92.27</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27.49</w:t>
      </w:r>
      <w:r>
        <w:rPr>
          <w:rFonts w:hint="eastAsia" w:ascii="仿宋" w:hAnsi="仿宋" w:eastAsia="仿宋"/>
          <w:color w:val="000000"/>
          <w:sz w:val="32"/>
          <w:szCs w:val="32"/>
        </w:rPr>
        <w:t>万元、津贴补贴</w:t>
      </w:r>
      <w:r>
        <w:rPr>
          <w:rFonts w:hint="eastAsia" w:ascii="仿宋" w:hAnsi="仿宋" w:eastAsia="仿宋"/>
          <w:color w:val="000000"/>
          <w:sz w:val="32"/>
          <w:szCs w:val="32"/>
          <w:lang w:val="en-US" w:eastAsia="zh-CN"/>
        </w:rPr>
        <w:t>0.96</w:t>
      </w:r>
      <w:r>
        <w:rPr>
          <w:rFonts w:hint="eastAsia" w:ascii="仿宋" w:hAnsi="仿宋" w:eastAsia="仿宋"/>
          <w:color w:val="000000"/>
          <w:sz w:val="32"/>
          <w:szCs w:val="32"/>
        </w:rPr>
        <w:t>万元、奖金</w:t>
      </w:r>
      <w:r>
        <w:rPr>
          <w:rFonts w:hint="eastAsia" w:ascii="仿宋" w:hAnsi="仿宋" w:eastAsia="仿宋"/>
          <w:color w:val="000000"/>
          <w:sz w:val="32"/>
          <w:szCs w:val="32"/>
          <w:lang w:val="en-US" w:eastAsia="zh-CN"/>
        </w:rPr>
        <w:t>30.65</w:t>
      </w:r>
      <w:r>
        <w:rPr>
          <w:rFonts w:hint="eastAsia" w:ascii="仿宋" w:hAnsi="仿宋" w:eastAsia="仿宋"/>
          <w:color w:val="000000"/>
          <w:sz w:val="32"/>
          <w:szCs w:val="32"/>
        </w:rPr>
        <w:t>万元、伙食补助费0万元、绩效工资</w:t>
      </w:r>
      <w:r>
        <w:rPr>
          <w:rFonts w:hint="eastAsia" w:ascii="仿宋" w:hAnsi="仿宋" w:eastAsia="仿宋"/>
          <w:color w:val="000000"/>
          <w:sz w:val="32"/>
          <w:szCs w:val="32"/>
          <w:lang w:val="en-US" w:eastAsia="zh-CN"/>
        </w:rPr>
        <w:t>15.84</w:t>
      </w:r>
      <w:r>
        <w:rPr>
          <w:rFonts w:hint="eastAsia" w:ascii="仿宋" w:hAnsi="仿宋" w:eastAsia="仿宋"/>
          <w:color w:val="000000"/>
          <w:sz w:val="32"/>
          <w:szCs w:val="32"/>
        </w:rPr>
        <w:t>万元、机关事业单位基本养老保险缴费</w:t>
      </w:r>
      <w:r>
        <w:rPr>
          <w:rFonts w:hint="eastAsia" w:ascii="仿宋" w:hAnsi="仿宋" w:eastAsia="仿宋"/>
          <w:color w:val="000000"/>
          <w:sz w:val="32"/>
          <w:szCs w:val="32"/>
          <w:lang w:val="en-US" w:eastAsia="zh-CN"/>
        </w:rPr>
        <w:t>7.85</w:t>
      </w:r>
      <w:r>
        <w:rPr>
          <w:rFonts w:hint="eastAsia" w:ascii="仿宋" w:hAnsi="仿宋" w:eastAsia="仿宋"/>
          <w:color w:val="000000"/>
          <w:sz w:val="32"/>
          <w:szCs w:val="32"/>
        </w:rPr>
        <w:t>万元、职业年金缴费</w:t>
      </w:r>
      <w:r>
        <w:rPr>
          <w:rStyle w:val="14"/>
          <w:rFonts w:hint="eastAsia" w:ascii="仿宋" w:hAnsi="仿宋" w:eastAsia="仿宋"/>
          <w:b w:val="0"/>
          <w:bCs/>
          <w:color w:val="000000"/>
          <w:sz w:val="32"/>
          <w:szCs w:val="32"/>
          <w:lang w:val="en-US" w:eastAsia="zh-CN"/>
        </w:rPr>
        <w:t>0</w:t>
      </w:r>
      <w:r>
        <w:rPr>
          <w:rFonts w:hint="eastAsia" w:ascii="仿宋" w:hAnsi="仿宋" w:eastAsia="仿宋"/>
          <w:color w:val="000000"/>
          <w:sz w:val="32"/>
          <w:szCs w:val="32"/>
        </w:rPr>
        <w:t>万元、职工基本医疗保险缴费</w:t>
      </w:r>
      <w:r>
        <w:rPr>
          <w:rStyle w:val="14"/>
          <w:rFonts w:hint="eastAsia" w:ascii="仿宋" w:hAnsi="仿宋" w:eastAsia="仿宋"/>
          <w:b w:val="0"/>
          <w:bCs/>
          <w:color w:val="000000"/>
          <w:sz w:val="32"/>
          <w:szCs w:val="32"/>
          <w:lang w:val="en-US" w:eastAsia="zh-CN"/>
        </w:rPr>
        <w:t>3.26</w:t>
      </w:r>
      <w:r>
        <w:rPr>
          <w:rFonts w:hint="eastAsia" w:ascii="仿宋" w:hAnsi="仿宋" w:eastAsia="仿宋"/>
          <w:color w:val="000000"/>
          <w:sz w:val="32"/>
          <w:szCs w:val="32"/>
        </w:rPr>
        <w:t>万元，住房公积金</w:t>
      </w:r>
      <w:r>
        <w:rPr>
          <w:rFonts w:hint="eastAsia" w:ascii="仿宋" w:hAnsi="仿宋" w:eastAsia="仿宋"/>
          <w:color w:val="000000"/>
          <w:sz w:val="32"/>
          <w:szCs w:val="32"/>
          <w:lang w:val="en-US" w:eastAsia="zh-CN"/>
        </w:rPr>
        <w:t>5.24</w:t>
      </w:r>
      <w:r>
        <w:rPr>
          <w:rFonts w:hint="eastAsia" w:ascii="仿宋" w:hAnsi="仿宋" w:eastAsia="仿宋"/>
          <w:color w:val="000000"/>
          <w:sz w:val="32"/>
          <w:szCs w:val="32"/>
        </w:rPr>
        <w:t>万元、医疗费0万元、公务员医疗补助缴费</w:t>
      </w:r>
      <w:r>
        <w:rPr>
          <w:rStyle w:val="14"/>
          <w:rFonts w:hint="eastAsia" w:ascii="仿宋" w:hAnsi="仿宋" w:eastAsia="仿宋"/>
          <w:b w:val="0"/>
          <w:bCs/>
          <w:color w:val="000000"/>
          <w:sz w:val="32"/>
          <w:szCs w:val="32"/>
        </w:rPr>
        <w:t>0.64</w:t>
      </w:r>
      <w:r>
        <w:rPr>
          <w:rFonts w:hint="eastAsia" w:ascii="仿宋" w:hAnsi="仿宋" w:eastAsia="仿宋"/>
          <w:color w:val="000000"/>
          <w:sz w:val="32"/>
          <w:szCs w:val="32"/>
        </w:rPr>
        <w:t>万元、其他社会保障缴费</w:t>
      </w:r>
      <w:r>
        <w:rPr>
          <w:rFonts w:hint="eastAsia" w:ascii="仿宋" w:hAnsi="仿宋" w:eastAsia="仿宋"/>
          <w:color w:val="000000"/>
          <w:sz w:val="32"/>
          <w:szCs w:val="32"/>
          <w:lang w:val="en-US" w:eastAsia="zh-CN"/>
        </w:rPr>
        <w:t>0.34</w:t>
      </w:r>
      <w:r>
        <w:rPr>
          <w:rFonts w:hint="eastAsia" w:ascii="仿宋" w:hAnsi="仿宋" w:eastAsia="仿宋"/>
          <w:color w:val="000000"/>
          <w:sz w:val="32"/>
          <w:szCs w:val="32"/>
        </w:rPr>
        <w:t>万元、其他工资福利支出0万元、离休费0万元、退休费0万元、抚恤金0万元、生活补助3.42万元、奖励金</w:t>
      </w:r>
      <w:r>
        <w:rPr>
          <w:rFonts w:hint="eastAsia" w:ascii="仿宋" w:hAnsi="仿宋" w:eastAsia="仿宋"/>
          <w:color w:val="000000"/>
          <w:sz w:val="32"/>
          <w:szCs w:val="32"/>
          <w:lang w:val="en-US" w:eastAsia="zh-CN"/>
        </w:rPr>
        <w:t>0.01</w:t>
      </w:r>
      <w:r>
        <w:rPr>
          <w:rFonts w:hint="eastAsia" w:ascii="仿宋" w:hAnsi="仿宋" w:eastAsia="仿宋"/>
          <w:color w:val="000000"/>
          <w:sz w:val="32"/>
          <w:szCs w:val="32"/>
        </w:rPr>
        <w:t>万元、提租补贴0万元、购房补0万元贴、其他对个人和家庭的补助支出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0.77</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万元、印刷费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万元、咨询费0万元、手续费0万元、水费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万元、电费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万元、邮电费0.08万元、取暖费0万元、物业管理费0万元、差旅费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万元、因公出国（境）费用0万元、维修（护）费</w:t>
      </w:r>
      <w:r>
        <w:rPr>
          <w:rFonts w:hint="eastAsia" w:ascii="仿宋" w:hAnsi="仿宋" w:eastAsia="仿宋"/>
          <w:color w:val="000000"/>
          <w:sz w:val="32"/>
          <w:szCs w:val="32"/>
          <w:lang w:val="en-US" w:eastAsia="zh-CN"/>
        </w:rPr>
        <w:t>0.02</w:t>
      </w:r>
      <w:r>
        <w:rPr>
          <w:rFonts w:hint="eastAsia" w:ascii="仿宋" w:hAnsi="仿宋" w:eastAsia="仿宋"/>
          <w:color w:val="000000"/>
          <w:sz w:val="32"/>
          <w:szCs w:val="32"/>
        </w:rPr>
        <w:t>万元、租赁费0万元、会议费0万元、培训费</w:t>
      </w:r>
      <w:r>
        <w:rPr>
          <w:rFonts w:hint="eastAsia" w:ascii="仿宋" w:hAnsi="仿宋" w:eastAsia="仿宋"/>
          <w:color w:val="000000"/>
          <w:sz w:val="32"/>
          <w:szCs w:val="32"/>
          <w:lang w:val="en-US" w:eastAsia="zh-CN"/>
        </w:rPr>
        <w:t>0.35万元</w:t>
      </w:r>
      <w:r>
        <w:rPr>
          <w:rFonts w:hint="eastAsia" w:ascii="仿宋" w:hAnsi="仿宋" w:eastAsia="仿宋"/>
          <w:color w:val="000000"/>
          <w:sz w:val="32"/>
          <w:szCs w:val="32"/>
        </w:rPr>
        <w:t>、公务接待费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、劳务费0万元、委托业务费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万元、工会经费</w:t>
      </w:r>
      <w:r>
        <w:rPr>
          <w:rFonts w:hint="eastAsia" w:ascii="仿宋" w:hAnsi="仿宋" w:eastAsia="仿宋"/>
          <w:color w:val="000000"/>
          <w:sz w:val="32"/>
          <w:szCs w:val="32"/>
          <w:lang w:val="en-US" w:eastAsia="zh-CN"/>
        </w:rPr>
        <w:t>0.32万元</w:t>
      </w:r>
      <w:r>
        <w:rPr>
          <w:rFonts w:hint="eastAsia" w:ascii="仿宋" w:hAnsi="仿宋" w:eastAsia="仿宋"/>
          <w:color w:val="000000"/>
          <w:sz w:val="32"/>
          <w:szCs w:val="32"/>
        </w:rPr>
        <w:t>、福利费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万元、公务用车运行维护费</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、其他交通费0万元、税金及附加费用0万元、其他商品和服务支出</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、办公设备购置0万元、专用设备购置0万元、信息网络及软件购置更新0万元、其他资本性支出0万元等。</w:t>
      </w:r>
    </w:p>
    <w:p>
      <w:pPr>
        <w:pStyle w:val="4"/>
        <w:bidi w:val="0"/>
      </w:pPr>
      <w:bookmarkStart w:id="68" w:name="_Toc3004"/>
      <w:bookmarkStart w:id="69" w:name="_Toc15377215"/>
      <w:bookmarkStart w:id="70" w:name="_Toc17103560"/>
      <w:bookmarkStart w:id="71" w:name="_Toc26632"/>
      <w:bookmarkStart w:id="72" w:name="_Toc17354"/>
      <w:r>
        <w:rPr>
          <w:rFonts w:hint="eastAsia"/>
        </w:rPr>
        <w:t>七、“三公”经费财政拨款支出决算情况说明</w:t>
      </w:r>
      <w:bookmarkEnd w:id="68"/>
      <w:bookmarkEnd w:id="69"/>
      <w:bookmarkEnd w:id="70"/>
      <w:bookmarkEnd w:id="71"/>
      <w:bookmarkEnd w:id="72"/>
    </w:p>
    <w:p>
      <w:pPr>
        <w:spacing w:line="600" w:lineRule="exact"/>
        <w:ind w:firstLine="640"/>
        <w:outlineLvl w:val="2"/>
        <w:rPr>
          <w:rFonts w:ascii="仿宋" w:hAnsi="仿宋" w:eastAsia="仿宋"/>
          <w:b/>
          <w:color w:val="000000"/>
          <w:sz w:val="32"/>
          <w:szCs w:val="32"/>
        </w:rPr>
      </w:pPr>
      <w:bookmarkStart w:id="73" w:name="_Toc15377216"/>
      <w:r>
        <w:rPr>
          <w:rFonts w:hint="eastAsia" w:ascii="仿宋" w:hAnsi="仿宋" w:eastAsia="仿宋"/>
          <w:b/>
          <w:color w:val="000000"/>
          <w:sz w:val="32"/>
          <w:szCs w:val="32"/>
        </w:rPr>
        <w:t>（一）“三公”经费财政拨款支出决算总体情况说明</w:t>
      </w:r>
      <w:bookmarkEnd w:id="73"/>
    </w:p>
    <w:p>
      <w:pPr>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p>
    <w:p>
      <w:pPr>
        <w:spacing w:line="600" w:lineRule="exact"/>
        <w:ind w:firstLine="640"/>
        <w:outlineLvl w:val="2"/>
        <w:rPr>
          <w:rFonts w:ascii="仿宋" w:hAnsi="仿宋" w:eastAsia="仿宋"/>
          <w:b/>
          <w:color w:val="000000"/>
          <w:sz w:val="32"/>
          <w:szCs w:val="32"/>
        </w:rPr>
      </w:pPr>
      <w:bookmarkStart w:id="74" w:name="_Toc15377217"/>
      <w:r>
        <w:rPr>
          <w:rFonts w:hint="eastAsia" w:ascii="仿宋" w:hAnsi="仿宋" w:eastAsia="仿宋"/>
          <w:b/>
          <w:color w:val="000000"/>
          <w:sz w:val="32"/>
          <w:szCs w:val="32"/>
        </w:rPr>
        <w:t>（二）“三公”经费财政拨款支出决算具体情况说明</w:t>
      </w:r>
      <w:bookmarkEnd w:id="74"/>
    </w:p>
    <w:p>
      <w:pPr>
        <w:spacing w:line="600" w:lineRule="exact"/>
        <w:ind w:firstLine="640"/>
        <w:rPr>
          <w:rFonts w:hint="eastAsia" w:ascii="仿宋" w:hAnsi="仿宋" w:eastAsia="仿宋"/>
          <w:color w:val="000000"/>
          <w:sz w:val="32"/>
          <w:szCs w:val="32"/>
          <w:lang w:eastAsia="zh-CN"/>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年“三公”经费财政拨款支出决算中，因公出国（境）费支出决算0万元，占0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w:t>
      </w:r>
    </w:p>
    <w:p>
      <w:pPr>
        <w:spacing w:line="600" w:lineRule="exact"/>
        <w:ind w:firstLine="640" w:firstLineChars="200"/>
        <w:rPr>
          <w:rFonts w:hint="eastAsia"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万元，其他车型</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年12月底，单位共有公务用车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辆、其他车型</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w:t>
      </w:r>
    </w:p>
    <w:p>
      <w:pPr>
        <w:numPr>
          <w:ilvl w:val="0"/>
          <w:numId w:val="3"/>
        </w:numPr>
        <w:snapToGrid w:val="0"/>
        <w:spacing w:line="52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
        <w:numPr>
          <w:ilvl w:val="0"/>
          <w:numId w:val="0"/>
        </w:numPr>
        <w:rPr>
          <w:rFonts w:hint="eastAsia" w:eastAsia="仿宋_GB2312"/>
          <w:lang w:val="en-US" w:eastAsia="zh-CN"/>
        </w:rPr>
      </w:pPr>
      <w:r>
        <w:rPr>
          <w:rFonts w:hint="eastAsia"/>
          <w:lang w:val="en-US" w:eastAsia="zh-CN"/>
        </w:rPr>
        <w:t xml:space="preserve">    </w:t>
      </w:r>
      <w:r>
        <w:rPr>
          <w:rFonts w:eastAsia="仿宋"/>
          <w:b/>
          <w:color w:val="000000"/>
          <w:sz w:val="32"/>
          <w:szCs w:val="32"/>
        </w:rPr>
        <w:t>国内公务接待支出</w:t>
      </w:r>
      <w:r>
        <w:rPr>
          <w:rFonts w:hint="eastAsia" w:eastAsia="仿宋"/>
          <w:color w:val="000000"/>
          <w:sz w:val="32"/>
          <w:szCs w:val="32"/>
          <w:lang w:val="en-US" w:eastAsia="zh-CN"/>
        </w:rPr>
        <w:t>0</w:t>
      </w:r>
      <w:r>
        <w:rPr>
          <w:rFonts w:eastAsia="仿宋_GB2312"/>
          <w:color w:val="000000"/>
          <w:sz w:val="32"/>
          <w:szCs w:val="32"/>
        </w:rPr>
        <w:t>万元</w:t>
      </w:r>
      <w:r>
        <w:rPr>
          <w:rFonts w:hint="eastAsia"/>
          <w:color w:val="000000"/>
          <w:sz w:val="32"/>
          <w:szCs w:val="32"/>
          <w:lang w:eastAsia="zh-CN"/>
        </w:rPr>
        <w:t>。</w:t>
      </w:r>
    </w:p>
    <w:p>
      <w:pPr>
        <w:spacing w:line="60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，外事接待0批次，0人，共计支出0万元。</w:t>
      </w:r>
      <w:bookmarkStart w:id="75" w:name="_Toc17103561"/>
      <w:bookmarkStart w:id="76" w:name="_Toc15377218"/>
    </w:p>
    <w:p>
      <w:pPr>
        <w:pStyle w:val="2"/>
        <w:rPr>
          <w:rFonts w:hint="eastAsia"/>
        </w:rPr>
      </w:pPr>
    </w:p>
    <w:p>
      <w:pPr>
        <w:pStyle w:val="4"/>
        <w:bidi w:val="0"/>
        <w:rPr>
          <w:rStyle w:val="26"/>
          <w:rFonts w:ascii="黑体" w:hAnsi="黑体" w:eastAsia="黑体"/>
          <w:b/>
          <w:bCs/>
        </w:rPr>
      </w:pPr>
      <w:bookmarkStart w:id="77" w:name="_Toc31509"/>
      <w:bookmarkStart w:id="78" w:name="_Toc10802"/>
      <w:bookmarkStart w:id="79" w:name="_Toc28095"/>
      <w:r>
        <w:rPr>
          <w:rFonts w:hint="eastAsia"/>
        </w:rPr>
        <w:t>八、政府性基金预算支出决算情况说明</w:t>
      </w:r>
      <w:bookmarkEnd w:id="75"/>
      <w:bookmarkEnd w:id="76"/>
      <w:bookmarkEnd w:id="77"/>
      <w:bookmarkEnd w:id="78"/>
      <w:bookmarkEnd w:id="79"/>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年政府性基金预算拨款支出0万元。</w:t>
      </w:r>
    </w:p>
    <w:p>
      <w:pPr>
        <w:spacing w:line="600" w:lineRule="exact"/>
        <w:ind w:firstLine="640"/>
        <w:rPr>
          <w:rFonts w:ascii="仿宋_GB2312" w:eastAsia="仿宋_GB2312"/>
          <w:color w:val="000000"/>
          <w:sz w:val="32"/>
          <w:szCs w:val="32"/>
        </w:rPr>
      </w:pPr>
    </w:p>
    <w:p>
      <w:pPr>
        <w:pStyle w:val="4"/>
        <w:numPr>
          <w:ilvl w:val="0"/>
          <w:numId w:val="4"/>
        </w:numPr>
        <w:bidi w:val="0"/>
      </w:pPr>
      <w:bookmarkStart w:id="80" w:name="_Toc25819"/>
      <w:bookmarkStart w:id="81" w:name="_Toc3378"/>
      <w:bookmarkStart w:id="82" w:name="_Toc17103562"/>
      <w:bookmarkStart w:id="83" w:name="_Toc15377219"/>
      <w:bookmarkStart w:id="84" w:name="_Toc17378"/>
      <w:r>
        <w:rPr>
          <w:rFonts w:hint="eastAsia"/>
        </w:rPr>
        <w:t>国有资本经营预算支出决算情况说明</w:t>
      </w:r>
      <w:bookmarkEnd w:id="80"/>
      <w:bookmarkEnd w:id="81"/>
      <w:bookmarkEnd w:id="82"/>
      <w:bookmarkEnd w:id="83"/>
      <w:bookmarkEnd w:id="84"/>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年国有资本经营预算拨款支出0万元。</w:t>
      </w:r>
    </w:p>
    <w:p>
      <w:pPr>
        <w:spacing w:line="600" w:lineRule="exact"/>
        <w:ind w:firstLine="640"/>
        <w:rPr>
          <w:rFonts w:ascii="仿宋_GB2312" w:eastAsia="仿宋_GB2312"/>
          <w:color w:val="000000"/>
          <w:sz w:val="32"/>
          <w:szCs w:val="32"/>
        </w:rPr>
      </w:pPr>
    </w:p>
    <w:p>
      <w:pPr>
        <w:pStyle w:val="4"/>
        <w:bidi w:val="0"/>
      </w:pPr>
      <w:bookmarkStart w:id="85" w:name="_Toc15377221"/>
      <w:bookmarkStart w:id="86" w:name="_Toc10866"/>
      <w:bookmarkStart w:id="87" w:name="_Toc17103564"/>
      <w:bookmarkStart w:id="88" w:name="_Toc30549"/>
      <w:bookmarkStart w:id="89" w:name="_Toc19984"/>
      <w:r>
        <w:rPr>
          <w:rFonts w:hint="eastAsia"/>
        </w:rPr>
        <w:t>十、其他重要事项的情况说明</w:t>
      </w:r>
      <w:bookmarkEnd w:id="85"/>
      <w:bookmarkEnd w:id="86"/>
      <w:bookmarkEnd w:id="87"/>
      <w:bookmarkEnd w:id="88"/>
      <w:bookmarkEnd w:id="89"/>
    </w:p>
    <w:p>
      <w:pPr>
        <w:spacing w:line="600" w:lineRule="exact"/>
        <w:ind w:firstLine="643" w:firstLineChars="200"/>
        <w:outlineLvl w:val="2"/>
        <w:rPr>
          <w:rFonts w:ascii="仿宋" w:hAnsi="仿宋" w:eastAsia="仿宋"/>
          <w:color w:val="000000"/>
          <w:sz w:val="32"/>
          <w:szCs w:val="32"/>
        </w:rPr>
      </w:pPr>
      <w:bookmarkStart w:id="90" w:name="_Toc15377222"/>
      <w:r>
        <w:rPr>
          <w:rFonts w:hint="eastAsia" w:ascii="仿宋" w:hAnsi="仿宋" w:eastAsia="仿宋"/>
          <w:b/>
          <w:color w:val="000000"/>
          <w:sz w:val="32"/>
          <w:szCs w:val="32"/>
        </w:rPr>
        <w:t>（一）机关运行经费支出情况</w:t>
      </w:r>
      <w:bookmarkEnd w:id="90"/>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eastAsia="仿宋_GB2312"/>
          <w:color w:val="000000"/>
          <w:sz w:val="32"/>
          <w:szCs w:val="32"/>
          <w:lang w:eastAsia="zh-CN"/>
        </w:rPr>
        <w:t>资阳市雁江区渡口管理所</w:t>
      </w:r>
      <w:r>
        <w:rPr>
          <w:rFonts w:hint="eastAsia" w:ascii="仿宋_GB2312" w:eastAsia="仿宋_GB2312"/>
          <w:color w:val="000000"/>
          <w:sz w:val="32"/>
          <w:szCs w:val="32"/>
        </w:rPr>
        <w:t>属于财政补助的事业单位，无机关运行经费。</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91" w:name="_Toc15377223"/>
      <w:r>
        <w:rPr>
          <w:rFonts w:hint="eastAsia" w:ascii="仿宋" w:hAnsi="仿宋" w:eastAsia="仿宋"/>
          <w:b/>
          <w:color w:val="000000"/>
          <w:sz w:val="32"/>
          <w:szCs w:val="32"/>
        </w:rPr>
        <w:t>（二）政府采购支出情况</w:t>
      </w:r>
      <w:bookmarkEnd w:id="91"/>
    </w:p>
    <w:p>
      <w:pPr>
        <w:autoSpaceDE w:val="0"/>
        <w:autoSpaceDN w:val="0"/>
        <w:adjustRightInd w:val="0"/>
        <w:spacing w:line="600" w:lineRule="exact"/>
        <w:ind w:firstLine="640" w:firstLineChars="200"/>
        <w:jc w:val="left"/>
        <w:outlineLvl w:val="2"/>
        <w:rPr>
          <w:rFonts w:hint="eastAsia" w:ascii="仿宋_GB2312" w:eastAsia="仿宋_GB2312"/>
          <w:color w:val="000000"/>
          <w:sz w:val="32"/>
          <w:szCs w:val="32"/>
        </w:rPr>
      </w:pPr>
      <w:bookmarkStart w:id="92" w:name="_Toc15377224"/>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eastAsia="仿宋_GB2312"/>
          <w:color w:val="000000"/>
          <w:sz w:val="32"/>
          <w:szCs w:val="32"/>
          <w:lang w:eastAsia="zh-CN"/>
        </w:rPr>
        <w:t>资阳市雁江区渡口管理所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（三）国有资产占有使用情况</w:t>
      </w:r>
      <w:bookmarkEnd w:id="92"/>
    </w:p>
    <w:p>
      <w:pPr>
        <w:pStyle w:val="2"/>
        <w:rPr>
          <w:rFonts w:hint="default" w:eastAsia="仿宋_GB2312"/>
          <w:lang w:val="en-US" w:eastAsia="zh-CN"/>
        </w:rPr>
      </w:pPr>
      <w:r>
        <w:rPr>
          <w:rFonts w:hint="eastAsia"/>
          <w:color w:val="000000"/>
          <w:sz w:val="32"/>
          <w:szCs w:val="32"/>
          <w:lang w:val="en-US" w:eastAsia="zh-CN"/>
        </w:rPr>
        <w:t xml:space="preserve">    截至2022年12月31日，</w:t>
      </w:r>
      <w:r>
        <w:rPr>
          <w:rFonts w:hint="eastAsia"/>
          <w:color w:val="000000"/>
          <w:sz w:val="32"/>
          <w:szCs w:val="32"/>
          <w:lang w:eastAsia="zh-CN"/>
        </w:rPr>
        <w:t>资阳市雁江区渡口管理所</w:t>
      </w:r>
      <w:r>
        <w:rPr>
          <w:rFonts w:hint="eastAsia"/>
          <w:color w:val="000000"/>
          <w:sz w:val="32"/>
          <w:szCs w:val="32"/>
          <w:lang w:val="en-US" w:eastAsia="zh-CN"/>
        </w:rPr>
        <w:t>共有车辆0辆，其中：主要领导干部用车0辆、机要通信用车0辆、应急保障用车0辆、执法执勤用车0辆、特种专业技术用车0辆、其他用车0辆。</w:t>
      </w:r>
    </w:p>
    <w:p>
      <w:pPr>
        <w:autoSpaceDE w:val="0"/>
        <w:autoSpaceDN w:val="0"/>
        <w:adjustRightInd w:val="0"/>
        <w:spacing w:line="600" w:lineRule="exact"/>
        <w:ind w:firstLine="643" w:firstLineChars="200"/>
        <w:jc w:val="left"/>
        <w:rPr>
          <w:rFonts w:eastAsia="仿宋_GB2312"/>
          <w:color w:val="000000"/>
          <w:sz w:val="32"/>
          <w:szCs w:val="32"/>
        </w:rPr>
      </w:pPr>
      <w:r>
        <w:rPr>
          <w:rFonts w:hint="eastAsia" w:ascii="仿宋_GB2312" w:eastAsia="仿宋_GB2312"/>
          <w:b/>
          <w:color w:val="000000"/>
          <w:sz w:val="32"/>
          <w:szCs w:val="32"/>
          <w:lang w:val="en-US" w:eastAsia="zh-CN"/>
        </w:rPr>
        <w:t xml:space="preserve"> </w:t>
      </w:r>
      <w:r>
        <w:rPr>
          <w:rFonts w:eastAsia="仿宋_GB2312"/>
          <w:color w:val="000000"/>
          <w:sz w:val="32"/>
          <w:szCs w:val="32"/>
        </w:rPr>
        <w:t>单价50万元以上通用设备</w:t>
      </w:r>
      <w:r>
        <w:rPr>
          <w:rFonts w:hint="eastAsia" w:eastAsia="仿宋_GB2312"/>
          <w:color w:val="000000"/>
          <w:sz w:val="32"/>
          <w:szCs w:val="32"/>
          <w:lang w:val="en-US" w:eastAsia="zh-CN"/>
        </w:rPr>
        <w:t>0</w:t>
      </w:r>
      <w:r>
        <w:rPr>
          <w:rFonts w:eastAsia="仿宋_GB2312"/>
          <w:color w:val="000000"/>
          <w:sz w:val="32"/>
          <w:szCs w:val="32"/>
        </w:rPr>
        <w:t>台（套），单价100万元以上专用设备</w:t>
      </w:r>
      <w:r>
        <w:rPr>
          <w:rFonts w:hint="eastAsia" w:eastAsia="仿宋_GB2312"/>
          <w:color w:val="000000"/>
          <w:sz w:val="32"/>
          <w:szCs w:val="32"/>
          <w:lang w:val="en-US" w:eastAsia="zh-CN"/>
        </w:rPr>
        <w:t>0</w:t>
      </w:r>
      <w:r>
        <w:rPr>
          <w:rFonts w:eastAsia="仿宋_GB2312"/>
          <w:color w:val="000000"/>
          <w:sz w:val="32"/>
          <w:szCs w:val="32"/>
        </w:rPr>
        <w:t>台（套）。</w:t>
      </w:r>
    </w:p>
    <w:p>
      <w:pPr>
        <w:autoSpaceDE w:val="0"/>
        <w:autoSpaceDN w:val="0"/>
        <w:adjustRightInd w:val="0"/>
        <w:spacing w:line="600" w:lineRule="exact"/>
        <w:ind w:firstLine="643" w:firstLineChars="200"/>
        <w:jc w:val="left"/>
        <w:rPr>
          <w:rFonts w:eastAsia="仿宋"/>
          <w:b/>
          <w:color w:val="000000"/>
          <w:sz w:val="32"/>
          <w:szCs w:val="32"/>
        </w:rPr>
      </w:pPr>
      <w:r>
        <w:rPr>
          <w:rFonts w:eastAsia="仿宋"/>
          <w:b/>
          <w:color w:val="000000"/>
          <w:sz w:val="32"/>
          <w:szCs w:val="32"/>
        </w:rPr>
        <w:t>（四）预算绩效管理情况。</w:t>
      </w:r>
    </w:p>
    <w:p>
      <w:pPr>
        <w:spacing w:line="580" w:lineRule="exact"/>
        <w:ind w:firstLine="640" w:firstLineChars="200"/>
        <w:rPr>
          <w:rFonts w:hint="eastAsia" w:ascii="仿宋_GB2312" w:hAnsi="仿宋_GB2312" w:eastAsia="仿宋_GB2312" w:cs="仿宋_GB2312"/>
          <w:sz w:val="32"/>
          <w:szCs w:val="32"/>
        </w:rPr>
      </w:pPr>
      <w:r>
        <w:rPr>
          <w:rFonts w:eastAsia="仿宋_GB2312"/>
          <w:sz w:val="32"/>
          <w:szCs w:val="32"/>
        </w:rPr>
        <w:t>根据预算绩效管理要求，本</w:t>
      </w:r>
      <w:r>
        <w:rPr>
          <w:rFonts w:hint="eastAsia" w:eastAsia="仿宋_GB2312"/>
          <w:sz w:val="32"/>
          <w:szCs w:val="32"/>
        </w:rPr>
        <w:t>单位在202</w:t>
      </w:r>
      <w:r>
        <w:rPr>
          <w:rFonts w:hint="eastAsia" w:eastAsia="仿宋_GB2312"/>
          <w:sz w:val="32"/>
          <w:szCs w:val="32"/>
          <w:lang w:val="en-US" w:eastAsia="zh-CN"/>
        </w:rPr>
        <w:t>2</w:t>
      </w:r>
      <w:r>
        <w:rPr>
          <w:rFonts w:hint="eastAsia" w:eastAsia="仿宋_GB2312"/>
          <w:sz w:val="32"/>
          <w:szCs w:val="32"/>
        </w:rPr>
        <w:t>年度预算编制阶段，</w:t>
      </w:r>
      <w:r>
        <w:rPr>
          <w:rFonts w:eastAsia="仿宋_GB2312"/>
          <w:sz w:val="32"/>
          <w:szCs w:val="32"/>
        </w:rPr>
        <w:t>组织对</w:t>
      </w:r>
      <w:r>
        <w:rPr>
          <w:rFonts w:hint="eastAsia" w:eastAsia="仿宋_GB2312"/>
          <w:sz w:val="32"/>
          <w:szCs w:val="32"/>
        </w:rPr>
        <w:t>百日安全宣传整治工作</w:t>
      </w:r>
      <w:r>
        <w:rPr>
          <w:rFonts w:hint="eastAsia" w:eastAsia="仿宋_GB2312"/>
          <w:sz w:val="32"/>
          <w:szCs w:val="32"/>
          <w:lang w:eastAsia="zh-CN"/>
        </w:rPr>
        <w:t>和现场监控及安全月宣传工作经费</w:t>
      </w:r>
      <w:r>
        <w:rPr>
          <w:rFonts w:eastAsia="仿宋_GB2312"/>
          <w:sz w:val="32"/>
          <w:szCs w:val="32"/>
        </w:rPr>
        <w:t>（项目名称）</w:t>
      </w:r>
      <w:r>
        <w:rPr>
          <w:rFonts w:hint="eastAsia" w:eastAsia="仿宋_GB2312"/>
          <w:sz w:val="32"/>
          <w:szCs w:val="32"/>
        </w:rPr>
        <w:t>等</w:t>
      </w:r>
      <w:r>
        <w:rPr>
          <w:rFonts w:hint="eastAsia" w:eastAsia="仿宋_GB2312"/>
          <w:sz w:val="32"/>
          <w:szCs w:val="32"/>
          <w:lang w:val="en-US" w:eastAsia="zh-CN"/>
        </w:rPr>
        <w:t>2</w:t>
      </w:r>
      <w:r>
        <w:rPr>
          <w:rFonts w:hint="eastAsia" w:eastAsia="仿宋_GB2312"/>
          <w:sz w:val="32"/>
          <w:szCs w:val="32"/>
        </w:rPr>
        <w:t>个项目</w:t>
      </w:r>
      <w:r>
        <w:rPr>
          <w:rFonts w:eastAsia="仿宋_GB2312"/>
          <w:sz w:val="32"/>
          <w:szCs w:val="32"/>
        </w:rPr>
        <w:t>编制了绩效目标，预算执行过程中，选取</w:t>
      </w:r>
      <w:r>
        <w:rPr>
          <w:rFonts w:hint="eastAsia" w:eastAsia="仿宋_GB2312"/>
          <w:sz w:val="32"/>
          <w:szCs w:val="32"/>
          <w:lang w:val="en-US" w:eastAsia="zh-CN"/>
        </w:rPr>
        <w:t>2</w:t>
      </w:r>
      <w:r>
        <w:rPr>
          <w:rFonts w:eastAsia="仿宋_GB2312"/>
          <w:sz w:val="32"/>
          <w:szCs w:val="32"/>
        </w:rPr>
        <w:t>个项目开展绩效监控，年终执行完毕后，对</w:t>
      </w:r>
      <w:r>
        <w:rPr>
          <w:rFonts w:hint="eastAsia" w:eastAsia="仿宋_GB2312"/>
          <w:sz w:val="32"/>
          <w:szCs w:val="32"/>
          <w:lang w:val="en-US" w:eastAsia="zh-CN"/>
        </w:rPr>
        <w:t>2</w:t>
      </w:r>
      <w:r>
        <w:rPr>
          <w:rFonts w:eastAsia="仿宋_GB2312"/>
          <w:sz w:val="32"/>
          <w:szCs w:val="32"/>
        </w:rPr>
        <w:t>个项目开展了绩效目标完成情况自评。</w:t>
      </w:r>
      <w:r>
        <w:rPr>
          <w:rFonts w:hint="eastAsia" w:ascii="仿宋_GB2312" w:hAnsi="仿宋_GB2312" w:eastAsia="仿宋_GB2312" w:cs="仿宋_GB2312"/>
          <w:sz w:val="32"/>
          <w:szCs w:val="32"/>
        </w:rPr>
        <w:t>同时，本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年部门整体开展绩效自评，《202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资阳市雁江区渡口管理所</w:t>
      </w:r>
      <w:r>
        <w:rPr>
          <w:rFonts w:hint="eastAsia" w:ascii="仿宋_GB2312" w:hAnsi="仿宋_GB2312" w:eastAsia="仿宋_GB2312" w:cs="仿宋_GB2312"/>
          <w:sz w:val="32"/>
          <w:szCs w:val="32"/>
        </w:rPr>
        <w:t>部门整体绩效评价报告》见附件（第四部分）。</w:t>
      </w:r>
    </w:p>
    <w:p>
      <w:pPr>
        <w:widowControl/>
        <w:jc w:val="left"/>
        <w:rPr>
          <w:rFonts w:ascii="仿宋_GB2312" w:eastAsia="仿宋_GB2312"/>
          <w:b/>
          <w:color w:val="000000"/>
          <w:sz w:val="32"/>
          <w:szCs w:val="32"/>
        </w:rPr>
      </w:pPr>
    </w:p>
    <w:p>
      <w:pPr>
        <w:pStyle w:val="2"/>
        <w:rPr>
          <w:rFonts w:ascii="仿宋_GB2312" w:eastAsia="仿宋_GB2312"/>
          <w:b/>
          <w:color w:val="000000"/>
          <w:sz w:val="32"/>
          <w:szCs w:val="32"/>
        </w:rPr>
      </w:pPr>
    </w:p>
    <w:p>
      <w:pPr>
        <w:pStyle w:val="2"/>
        <w:rPr>
          <w:rFonts w:ascii="仿宋_GB2312" w:eastAsia="仿宋_GB2312"/>
          <w:b/>
          <w:color w:val="000000"/>
          <w:sz w:val="32"/>
          <w:szCs w:val="32"/>
        </w:rPr>
      </w:pPr>
    </w:p>
    <w:p>
      <w:pPr>
        <w:rPr>
          <w:rFonts w:ascii="仿宋_GB2312" w:eastAsia="仿宋_GB2312"/>
          <w:b/>
          <w:color w:val="000000"/>
          <w:sz w:val="32"/>
          <w:szCs w:val="32"/>
        </w:rPr>
      </w:pPr>
    </w:p>
    <w:p>
      <w:pPr>
        <w:pStyle w:val="2"/>
      </w:pPr>
    </w:p>
    <w:p>
      <w:pPr>
        <w:pStyle w:val="2"/>
        <w:rPr>
          <w:rFonts w:ascii="仿宋_GB2312" w:eastAsia="仿宋_GB2312"/>
          <w:b/>
          <w:color w:val="000000"/>
          <w:sz w:val="32"/>
          <w:szCs w:val="32"/>
        </w:rPr>
      </w:pPr>
    </w:p>
    <w:p>
      <w:pPr>
        <w:pStyle w:val="2"/>
        <w:rPr>
          <w:rFonts w:ascii="仿宋_GB2312" w:eastAsia="仿宋_GB2312"/>
          <w:b/>
          <w:color w:val="000000"/>
          <w:sz w:val="32"/>
          <w:szCs w:val="32"/>
        </w:rPr>
      </w:pPr>
    </w:p>
    <w:p>
      <w:pPr>
        <w:pStyle w:val="2"/>
        <w:rPr>
          <w:rFonts w:ascii="仿宋_GB2312" w:eastAsia="仿宋_GB2312"/>
          <w:b/>
          <w:color w:val="000000"/>
          <w:sz w:val="32"/>
          <w:szCs w:val="32"/>
        </w:rPr>
      </w:pPr>
    </w:p>
    <w:p>
      <w:pPr>
        <w:pStyle w:val="2"/>
        <w:rPr>
          <w:rFonts w:ascii="仿宋_GB2312" w:eastAsia="仿宋_GB2312"/>
          <w:b/>
          <w:color w:val="000000"/>
          <w:sz w:val="32"/>
          <w:szCs w:val="32"/>
        </w:rPr>
      </w:pPr>
    </w:p>
    <w:p>
      <w:pPr>
        <w:pStyle w:val="2"/>
        <w:rPr>
          <w:rFonts w:ascii="仿宋_GB2312" w:eastAsia="仿宋_GB2312"/>
          <w:b/>
          <w:color w:val="000000"/>
          <w:sz w:val="32"/>
          <w:szCs w:val="32"/>
        </w:rPr>
      </w:pPr>
    </w:p>
    <w:p>
      <w:pPr>
        <w:rPr>
          <w:rFonts w:ascii="仿宋_GB2312" w:eastAsia="仿宋_GB2312"/>
          <w:b/>
          <w:color w:val="000000"/>
          <w:sz w:val="32"/>
          <w:szCs w:val="32"/>
        </w:rPr>
      </w:pPr>
    </w:p>
    <w:p>
      <w:pPr>
        <w:pStyle w:val="2"/>
        <w:rPr>
          <w:rFonts w:ascii="仿宋_GB2312" w:eastAsia="仿宋_GB2312"/>
          <w:b/>
          <w:color w:val="000000"/>
          <w:sz w:val="32"/>
          <w:szCs w:val="32"/>
        </w:rPr>
      </w:pPr>
    </w:p>
    <w:p>
      <w:pPr>
        <w:rPr>
          <w:rFonts w:ascii="仿宋_GB2312" w:eastAsia="仿宋_GB2312"/>
          <w:b/>
          <w:color w:val="000000"/>
          <w:sz w:val="32"/>
          <w:szCs w:val="32"/>
        </w:rPr>
      </w:pPr>
    </w:p>
    <w:p>
      <w:pPr>
        <w:pStyle w:val="2"/>
        <w:rPr>
          <w:rFonts w:ascii="仿宋_GB2312" w:eastAsia="仿宋_GB2312"/>
          <w:b/>
          <w:color w:val="000000"/>
          <w:sz w:val="32"/>
          <w:szCs w:val="32"/>
        </w:rPr>
      </w:pPr>
    </w:p>
    <w:p>
      <w:pPr>
        <w:rPr>
          <w:rFonts w:ascii="仿宋_GB2312" w:eastAsia="仿宋_GB2312"/>
          <w:b/>
          <w:color w:val="000000"/>
          <w:sz w:val="32"/>
          <w:szCs w:val="32"/>
        </w:rPr>
      </w:pPr>
    </w:p>
    <w:p>
      <w:pPr>
        <w:pStyle w:val="2"/>
      </w:pPr>
    </w:p>
    <w:p>
      <w:pPr>
        <w:pStyle w:val="3"/>
        <w:numPr>
          <w:ilvl w:val="0"/>
          <w:numId w:val="5"/>
        </w:numPr>
        <w:bidi w:val="0"/>
        <w:rPr>
          <w:rStyle w:val="25"/>
          <w:rFonts w:ascii="黑体" w:hAnsi="黑体" w:eastAsia="黑体"/>
          <w:b w:val="0"/>
          <w:bCs/>
        </w:rPr>
      </w:pPr>
      <w:bookmarkStart w:id="93" w:name="_Toc4585"/>
      <w:bookmarkStart w:id="94" w:name="_Toc14427"/>
      <w:bookmarkStart w:id="95" w:name="_Toc17103565"/>
      <w:bookmarkStart w:id="96" w:name="_Toc15377225"/>
      <w:bookmarkStart w:id="97" w:name="_Toc2116"/>
      <w:r>
        <w:rPr>
          <w:rFonts w:hint="eastAsia" w:ascii="黑体" w:hAnsi="黑体" w:eastAsia="黑体"/>
          <w:b/>
          <w:color w:val="000000"/>
          <w:sz w:val="44"/>
          <w:szCs w:val="44"/>
        </w:rPr>
        <w:t>名</w:t>
      </w:r>
      <w:r>
        <w:rPr>
          <w:rStyle w:val="25"/>
          <w:rFonts w:hint="eastAsia" w:ascii="黑体" w:hAnsi="黑体" w:eastAsia="黑体"/>
          <w:b w:val="0"/>
          <w:bCs/>
        </w:rPr>
        <w:t>词解释</w:t>
      </w:r>
      <w:bookmarkEnd w:id="93"/>
      <w:bookmarkEnd w:id="94"/>
      <w:bookmarkEnd w:id="95"/>
      <w:bookmarkEnd w:id="96"/>
      <w:bookmarkEnd w:id="97"/>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文化体育与传媒为：保障行政单位（含其他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社会保障和就业（类）行政事业单位离退休（款） 机关事业单位基本养老保险缴费支出（项）：指单位实施养老保险制度由单位缴纳的基本养老保险费支出。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社会保障和就业（类）行政事业单位离退休（款） 机关事业单位职业年金缴费支出（项）：指单位实施养老保险制度由单位实际缴纳的职业年金支出。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医疗卫生与计划生育（类）行政事业单位医疗（款）事业单位医疗（项）：指财政部门集中安排的事业单位基本医疗保险缴费支出。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医疗卫生与计划生育（类）行政事业单位医疗（款）公务员医疗补助（项）：指财政部门集中安排的公务员医疗补助缴费支出。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住房保障支出（类）住房改革支出（款）住房公积金（项）：指单位按人力资源和社会保障部、财政部规定比例为职工缴纳的住房公积金。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s="黑体"/>
          <w:sz w:val="32"/>
          <w:szCs w:val="32"/>
        </w:rPr>
      </w:pP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
        <w:bidi w:val="0"/>
        <w:rPr>
          <w:rFonts w:ascii="宋体"/>
          <w:b/>
          <w:color w:val="000000"/>
          <w:sz w:val="44"/>
          <w:szCs w:val="44"/>
        </w:rPr>
      </w:pPr>
      <w:bookmarkStart w:id="98" w:name="_Toc15377226"/>
    </w:p>
    <w:p>
      <w:pPr>
        <w:bidi w:val="0"/>
        <w:rPr>
          <w:rFonts w:ascii="宋体"/>
          <w:b/>
          <w:color w:val="000000"/>
          <w:sz w:val="44"/>
          <w:szCs w:val="44"/>
        </w:rPr>
      </w:pPr>
    </w:p>
    <w:p>
      <w:pPr>
        <w:bidi w:val="0"/>
        <w:rPr>
          <w:rFonts w:ascii="宋体"/>
          <w:b/>
          <w:color w:val="000000"/>
          <w:sz w:val="44"/>
          <w:szCs w:val="44"/>
        </w:rPr>
      </w:pPr>
    </w:p>
    <w:p>
      <w:pPr>
        <w:bidi w:val="0"/>
        <w:rPr>
          <w:rFonts w:ascii="宋体"/>
          <w:b/>
          <w:color w:val="000000"/>
          <w:sz w:val="44"/>
          <w:szCs w:val="44"/>
        </w:rPr>
      </w:pPr>
    </w:p>
    <w:p>
      <w:pPr>
        <w:bidi w:val="0"/>
        <w:rPr>
          <w:rFonts w:ascii="宋体"/>
          <w:b/>
          <w:color w:val="000000"/>
          <w:sz w:val="44"/>
          <w:szCs w:val="44"/>
        </w:rPr>
      </w:pPr>
    </w:p>
    <w:p>
      <w:pPr>
        <w:bidi w:val="0"/>
        <w:ind w:left="0" w:leftChars="0" w:firstLine="0" w:firstLineChars="0"/>
        <w:rPr>
          <w:rFonts w:ascii="宋体"/>
          <w:b/>
          <w:color w:val="000000"/>
          <w:sz w:val="44"/>
          <w:szCs w:val="44"/>
        </w:rPr>
      </w:pPr>
    </w:p>
    <w:p>
      <w:pPr>
        <w:bidi w:val="0"/>
        <w:jc w:val="center"/>
        <w:rPr>
          <w:rStyle w:val="25"/>
          <w:rFonts w:ascii="黑体" w:hAnsi="黑体" w:eastAsia="黑体"/>
          <w:b w:val="0"/>
        </w:rPr>
      </w:pPr>
      <w:r>
        <w:rPr>
          <w:rFonts w:ascii="宋体"/>
          <w:b/>
          <w:color w:val="000000"/>
          <w:sz w:val="44"/>
          <w:szCs w:val="44"/>
        </w:rPr>
        <w:br w:type="page"/>
      </w:r>
      <w:bookmarkStart w:id="99" w:name="_Toc17103566"/>
      <w:r>
        <w:rPr>
          <w:rFonts w:hint="eastAsia" w:ascii="黑体" w:hAnsi="黑体" w:eastAsia="黑体"/>
          <w:color w:val="000000"/>
          <w:sz w:val="44"/>
          <w:szCs w:val="44"/>
        </w:rPr>
        <w:t>第</w:t>
      </w:r>
      <w:r>
        <w:rPr>
          <w:rStyle w:val="25"/>
          <w:rFonts w:hint="eastAsia" w:ascii="黑体" w:hAnsi="黑体" w:eastAsia="黑体"/>
          <w:b w:val="0"/>
        </w:rPr>
        <w:t>四部分 附件</w:t>
      </w:r>
      <w:bookmarkEnd w:id="99"/>
    </w:p>
    <w:p>
      <w:pPr>
        <w:spacing w:line="600" w:lineRule="exact"/>
        <w:jc w:val="center"/>
        <w:outlineLvl w:val="0"/>
        <w:rPr>
          <w:rStyle w:val="25"/>
        </w:rPr>
      </w:pPr>
    </w:p>
    <w:p>
      <w:pPr>
        <w:pStyle w:val="4"/>
        <w:bidi w:val="0"/>
      </w:pPr>
      <w:bookmarkStart w:id="100" w:name="_Toc11351"/>
      <w:bookmarkStart w:id="101" w:name="_Toc10241"/>
      <w:bookmarkStart w:id="102" w:name="_Toc17103567"/>
      <w:bookmarkStart w:id="103" w:name="_Toc31725"/>
      <w:r>
        <w:rPr>
          <w:rFonts w:hint="eastAsia"/>
        </w:rPr>
        <w:t>附件1</w:t>
      </w:r>
      <w:bookmarkEnd w:id="100"/>
      <w:bookmarkEnd w:id="101"/>
      <w:bookmarkEnd w:id="102"/>
      <w:bookmarkEnd w:id="103"/>
    </w:p>
    <w:p>
      <w:pPr>
        <w:bidi w:val="0"/>
        <w:jc w:val="center"/>
        <w:rPr>
          <w:rFonts w:ascii="黑体" w:hAnsi="黑体" w:eastAsia="黑体" w:cs="方正小标宋简体"/>
          <w:szCs w:val="36"/>
        </w:rPr>
      </w:pPr>
      <w:bookmarkStart w:id="104" w:name="_Toc15396616"/>
      <w:bookmarkStart w:id="105" w:name="_Toc17103568"/>
      <w:bookmarkStart w:id="106" w:name="_Toc4010"/>
      <w:bookmarkStart w:id="107" w:name="_Toc24751"/>
      <w:r>
        <w:rPr>
          <w:rFonts w:hint="eastAsia"/>
          <w:lang w:eastAsia="zh-CN"/>
        </w:rPr>
        <w:t>资阳市雁江区渡口管理所</w:t>
      </w:r>
      <w:r>
        <w:rPr>
          <w:rFonts w:hint="eastAsia"/>
        </w:rPr>
        <w:t>202</w:t>
      </w:r>
      <w:r>
        <w:rPr>
          <w:rFonts w:hint="eastAsia"/>
          <w:lang w:val="en-US" w:eastAsia="zh-CN"/>
        </w:rPr>
        <w:t>2</w:t>
      </w:r>
      <w:r>
        <w:rPr>
          <w:rFonts w:hint="eastAsia"/>
        </w:rPr>
        <w:t>年部门整体支出绩效评价报告</w:t>
      </w:r>
      <w:bookmarkEnd w:id="104"/>
      <w:bookmarkEnd w:id="105"/>
      <w:bookmarkEnd w:id="106"/>
      <w:bookmarkEnd w:id="107"/>
    </w:p>
    <w:p>
      <w:pPr>
        <w:spacing w:line="580" w:lineRule="exact"/>
        <w:ind w:firstLine="640" w:firstLineChars="200"/>
        <w:rPr>
          <w:rFonts w:ascii="黑体" w:hAnsi="黑体" w:eastAsia="黑体" w:cs="黑体"/>
          <w:sz w:val="32"/>
          <w:szCs w:val="32"/>
        </w:rPr>
      </w:pPr>
    </w:p>
    <w:p>
      <w:pPr>
        <w:autoSpaceDE w:val="0"/>
        <w:autoSpaceDN w:val="0"/>
        <w:adjustRightInd w:val="0"/>
        <w:spacing w:line="600" w:lineRule="exact"/>
        <w:ind w:firstLine="643" w:firstLineChars="200"/>
        <w:jc w:val="left"/>
        <w:rPr>
          <w:rFonts w:hint="eastAsia" w:eastAsia="仿宋"/>
          <w:b/>
          <w:color w:val="000000"/>
          <w:sz w:val="32"/>
          <w:szCs w:val="32"/>
        </w:rPr>
      </w:pPr>
      <w:bookmarkStart w:id="108" w:name="_Toc17103569"/>
      <w:r>
        <w:rPr>
          <w:rFonts w:hint="eastAsia" w:eastAsia="仿宋"/>
          <w:b/>
          <w:color w:val="000000"/>
          <w:sz w:val="32"/>
          <w:szCs w:val="32"/>
        </w:rPr>
        <w:t>一、部门（单位）概况</w:t>
      </w:r>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（一）机构组成</w:t>
      </w:r>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本部门由一个财政拨款事业单位组成，是雁江区交通运输局的下属财政一级预算管理的公益一类事业单位。</w:t>
      </w:r>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二</w:t>
      </w:r>
      <w:r>
        <w:rPr>
          <w:rFonts w:hint="eastAsia" w:ascii="仿宋" w:hAnsi="仿宋" w:eastAsia="仿宋"/>
          <w:color w:val="000000"/>
          <w:sz w:val="32"/>
          <w:szCs w:val="32"/>
          <w:lang w:eastAsia="zh-CN"/>
        </w:rPr>
        <w:t>）</w:t>
      </w:r>
      <w:r>
        <w:rPr>
          <w:rFonts w:hint="eastAsia" w:ascii="仿宋" w:hAnsi="仿宋" w:eastAsia="仿宋"/>
          <w:color w:val="000000"/>
          <w:sz w:val="32"/>
          <w:szCs w:val="32"/>
        </w:rPr>
        <w:t>机构职能</w:t>
      </w:r>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资阳市雁江区渡口管理所严格执行《四川省渡口管理办法》，负责全区渡口日常安全管理工作，督促船工每年进行年检，完成上级部门安排的其他工作任务。</w:t>
      </w:r>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三</w:t>
      </w:r>
      <w:r>
        <w:rPr>
          <w:rFonts w:hint="eastAsia" w:ascii="仿宋" w:hAnsi="仿宋" w:eastAsia="仿宋"/>
          <w:color w:val="000000"/>
          <w:sz w:val="32"/>
          <w:szCs w:val="32"/>
          <w:lang w:eastAsia="zh-CN"/>
        </w:rPr>
        <w:t>）</w:t>
      </w:r>
      <w:r>
        <w:rPr>
          <w:rFonts w:hint="eastAsia" w:ascii="仿宋" w:hAnsi="仿宋" w:eastAsia="仿宋"/>
          <w:color w:val="000000"/>
          <w:sz w:val="32"/>
          <w:szCs w:val="32"/>
        </w:rPr>
        <w:t>人员概况</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单位现实有人员6人（其中：事业编制内3人），与上年无变动情</w:t>
      </w:r>
      <w:r>
        <w:rPr>
          <w:rFonts w:hint="eastAsia" w:ascii="仿宋" w:hAnsi="仿宋" w:eastAsia="仿宋"/>
          <w:color w:val="000000"/>
          <w:sz w:val="32"/>
          <w:szCs w:val="32"/>
          <w:lang w:eastAsia="zh-CN"/>
        </w:rPr>
        <w:t>况</w:t>
      </w:r>
      <w:r>
        <w:rPr>
          <w:rFonts w:hint="eastAsia" w:ascii="仿宋" w:hAnsi="仿宋" w:eastAsia="仿宋"/>
          <w:color w:val="000000"/>
          <w:sz w:val="32"/>
          <w:szCs w:val="32"/>
        </w:rPr>
        <w:t>。</w:t>
      </w:r>
    </w:p>
    <w:tbl>
      <w:tblPr>
        <w:tblStyle w:val="12"/>
        <w:tblW w:w="8958" w:type="dxa"/>
        <w:tblInd w:w="95" w:type="dxa"/>
        <w:tblLayout w:type="fixed"/>
        <w:tblCellMar>
          <w:top w:w="0" w:type="dxa"/>
          <w:left w:w="108" w:type="dxa"/>
          <w:bottom w:w="0" w:type="dxa"/>
          <w:right w:w="108" w:type="dxa"/>
        </w:tblCellMar>
      </w:tblPr>
      <w:tblGrid>
        <w:gridCol w:w="2333"/>
        <w:gridCol w:w="1413"/>
        <w:gridCol w:w="1293"/>
        <w:gridCol w:w="1285"/>
        <w:gridCol w:w="1250"/>
        <w:gridCol w:w="1384"/>
      </w:tblGrid>
      <w:tr>
        <w:trPr>
          <w:trHeight w:val="975" w:hRule="atLeast"/>
        </w:trPr>
        <w:tc>
          <w:tcPr>
            <w:tcW w:w="233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仿宋_GBK" w:hAnsi="方正仿宋_GBK" w:eastAsia="方正仿宋_GBK" w:cs="方正仿宋_GBK"/>
                <w:sz w:val="28"/>
                <w:szCs w:val="28"/>
                <w:lang w:val="en-US" w:bidi="ar-SA"/>
              </w:rPr>
            </w:pPr>
            <w:r>
              <w:rPr>
                <w:rFonts w:hint="eastAsia" w:ascii="方正仿宋_GBK" w:hAnsi="方正仿宋_GBK" w:eastAsia="方正仿宋_GBK" w:cs="方正仿宋_GBK"/>
                <w:sz w:val="28"/>
                <w:szCs w:val="28"/>
                <w:lang w:val="en-US" w:bidi="ar-SA"/>
              </w:rPr>
              <w:t>项目</w:t>
            </w:r>
          </w:p>
        </w:tc>
        <w:tc>
          <w:tcPr>
            <w:tcW w:w="2706" w:type="dxa"/>
            <w:gridSpan w:val="2"/>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仿宋_GBK" w:hAnsi="方正仿宋_GBK" w:eastAsia="方正仿宋_GBK" w:cs="方正仿宋_GBK"/>
                <w:sz w:val="28"/>
                <w:szCs w:val="28"/>
                <w:lang w:val="en-US" w:bidi="ar-SA"/>
              </w:rPr>
            </w:pPr>
            <w:r>
              <w:rPr>
                <w:rFonts w:hint="eastAsia" w:ascii="宋体" w:hAnsi="宋体" w:eastAsia="方正仿宋_GBK" w:cs="方正仿宋_GBK"/>
                <w:sz w:val="28"/>
                <w:szCs w:val="28"/>
                <w:lang w:val="en-US" w:bidi="ar-SA"/>
              </w:rPr>
              <w:t>202</w:t>
            </w:r>
            <w:r>
              <w:rPr>
                <w:rFonts w:hint="eastAsia" w:ascii="宋体" w:hAnsi="宋体" w:eastAsia="方正仿宋_GBK" w:cs="方正仿宋_GBK"/>
                <w:sz w:val="28"/>
                <w:szCs w:val="28"/>
                <w:lang w:val="en-US" w:eastAsia="zh-CN" w:bidi="ar-SA"/>
              </w:rPr>
              <w:t>1</w:t>
            </w:r>
            <w:r>
              <w:rPr>
                <w:rFonts w:hint="eastAsia" w:ascii="方正仿宋_GBK" w:hAnsi="方正仿宋_GBK" w:eastAsia="方正仿宋_GBK" w:cs="方正仿宋_GBK"/>
                <w:sz w:val="28"/>
                <w:szCs w:val="28"/>
                <w:lang w:val="en-US" w:bidi="ar-SA"/>
              </w:rPr>
              <w:t>年事业编制</w:t>
            </w:r>
          </w:p>
        </w:tc>
        <w:tc>
          <w:tcPr>
            <w:tcW w:w="3919" w:type="dxa"/>
            <w:gridSpan w:val="3"/>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仿宋_GBK" w:hAnsi="方正仿宋_GBK" w:eastAsia="方正仿宋_GBK" w:cs="方正仿宋_GBK"/>
                <w:sz w:val="28"/>
                <w:szCs w:val="28"/>
                <w:lang w:val="en-US" w:bidi="ar-SA"/>
              </w:rPr>
            </w:pPr>
            <w:r>
              <w:rPr>
                <w:rFonts w:hint="eastAsia" w:ascii="宋体" w:hAnsi="宋体" w:eastAsia="方正仿宋_GBK" w:cs="方正仿宋_GBK"/>
                <w:sz w:val="28"/>
                <w:szCs w:val="28"/>
                <w:lang w:val="en-US" w:bidi="ar-SA"/>
              </w:rPr>
              <w:t>2022</w:t>
            </w:r>
            <w:r>
              <w:rPr>
                <w:rFonts w:hint="eastAsia" w:ascii="方正仿宋_GBK" w:hAnsi="方正仿宋_GBK" w:eastAsia="方正仿宋_GBK" w:cs="方正仿宋_GBK"/>
                <w:sz w:val="28"/>
                <w:szCs w:val="28"/>
                <w:lang w:val="en-US" w:bidi="ar-SA"/>
              </w:rPr>
              <w:t>年事业编制</w:t>
            </w:r>
          </w:p>
        </w:tc>
      </w:tr>
      <w:tr>
        <w:tblPrEx>
          <w:tblCellMar>
            <w:top w:w="0" w:type="dxa"/>
            <w:left w:w="108" w:type="dxa"/>
            <w:bottom w:w="0" w:type="dxa"/>
            <w:right w:w="108" w:type="dxa"/>
          </w:tblCellMar>
        </w:tblPrEx>
        <w:trPr>
          <w:trHeight w:val="1293" w:hRule="atLeast"/>
        </w:trPr>
        <w:tc>
          <w:tcPr>
            <w:tcW w:w="233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590" w:lineRule="exact"/>
              <w:ind w:left="0" w:leftChars="0" w:firstLine="0" w:firstLineChars="0"/>
              <w:textAlignment w:val="auto"/>
              <w:rPr>
                <w:rFonts w:hint="eastAsia" w:ascii="方正仿宋_GBK" w:hAnsi="方正仿宋_GBK" w:eastAsia="方正仿宋_GBK" w:cs="方正仿宋_GBK"/>
                <w:sz w:val="28"/>
                <w:szCs w:val="28"/>
                <w:lang w:val="en-US" w:bidi="ar-SA"/>
              </w:rPr>
            </w:pPr>
          </w:p>
        </w:tc>
        <w:tc>
          <w:tcPr>
            <w:tcW w:w="141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仿宋_GBK" w:hAnsi="方正仿宋_GBK" w:eastAsia="方正仿宋_GBK" w:cs="方正仿宋_GBK"/>
                <w:sz w:val="28"/>
                <w:szCs w:val="28"/>
                <w:lang w:val="en-US" w:bidi="ar-SA"/>
              </w:rPr>
            </w:pPr>
            <w:r>
              <w:rPr>
                <w:rFonts w:hint="eastAsia" w:ascii="方正仿宋_GBK" w:hAnsi="方正仿宋_GBK" w:eastAsia="方正仿宋_GBK" w:cs="方正仿宋_GBK"/>
                <w:sz w:val="28"/>
                <w:szCs w:val="28"/>
                <w:lang w:val="en-US" w:bidi="ar-SA"/>
              </w:rPr>
              <w:t>编制数</w:t>
            </w:r>
          </w:p>
        </w:tc>
        <w:tc>
          <w:tcPr>
            <w:tcW w:w="129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仿宋_GBK" w:hAnsi="方正仿宋_GBK" w:eastAsia="方正仿宋_GBK" w:cs="方正仿宋_GBK"/>
                <w:sz w:val="28"/>
                <w:szCs w:val="28"/>
                <w:lang w:val="en-US" w:bidi="ar-SA"/>
              </w:rPr>
            </w:pPr>
            <w:r>
              <w:rPr>
                <w:rFonts w:hint="eastAsia" w:ascii="方正仿宋_GBK" w:hAnsi="方正仿宋_GBK" w:eastAsia="方正仿宋_GBK" w:cs="方正仿宋_GBK"/>
                <w:sz w:val="28"/>
                <w:szCs w:val="28"/>
                <w:lang w:val="en-US" w:bidi="ar-SA"/>
              </w:rPr>
              <w:t>实有数</w:t>
            </w:r>
          </w:p>
        </w:tc>
        <w:tc>
          <w:tcPr>
            <w:tcW w:w="128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仿宋_GBK" w:hAnsi="方正仿宋_GBK" w:eastAsia="方正仿宋_GBK" w:cs="方正仿宋_GBK"/>
                <w:sz w:val="28"/>
                <w:szCs w:val="28"/>
                <w:lang w:val="en-US" w:bidi="ar-SA"/>
              </w:rPr>
            </w:pPr>
            <w:r>
              <w:rPr>
                <w:rFonts w:hint="eastAsia" w:ascii="方正仿宋_GBK" w:hAnsi="方正仿宋_GBK" w:eastAsia="方正仿宋_GBK" w:cs="方正仿宋_GBK"/>
                <w:sz w:val="28"/>
                <w:szCs w:val="28"/>
                <w:lang w:val="en-US" w:bidi="ar-SA"/>
              </w:rPr>
              <w:t>编制数</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仿宋_GBK" w:hAnsi="方正仿宋_GBK" w:eastAsia="方正仿宋_GBK" w:cs="方正仿宋_GBK"/>
                <w:sz w:val="28"/>
                <w:szCs w:val="28"/>
                <w:lang w:val="en-US" w:bidi="ar-SA"/>
              </w:rPr>
            </w:pPr>
            <w:r>
              <w:rPr>
                <w:rFonts w:hint="eastAsia" w:ascii="方正仿宋_GBK" w:hAnsi="方正仿宋_GBK" w:eastAsia="方正仿宋_GBK" w:cs="方正仿宋_GBK"/>
                <w:sz w:val="28"/>
                <w:szCs w:val="28"/>
                <w:lang w:val="en-US" w:bidi="ar-SA"/>
              </w:rPr>
              <w:t>实有数</w:t>
            </w:r>
          </w:p>
        </w:tc>
        <w:tc>
          <w:tcPr>
            <w:tcW w:w="138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仿宋_GBK" w:hAnsi="方正仿宋_GBK" w:eastAsia="方正仿宋_GBK" w:cs="方正仿宋_GBK"/>
                <w:sz w:val="28"/>
                <w:szCs w:val="28"/>
                <w:lang w:val="en-US" w:bidi="ar-SA"/>
              </w:rPr>
            </w:pPr>
            <w:r>
              <w:rPr>
                <w:rFonts w:hint="eastAsia" w:ascii="方正仿宋_GBK" w:hAnsi="方正仿宋_GBK" w:eastAsia="方正仿宋_GBK" w:cs="方正仿宋_GBK"/>
                <w:sz w:val="28"/>
                <w:szCs w:val="28"/>
                <w:lang w:val="en-US" w:bidi="ar-SA"/>
              </w:rPr>
              <w:t>增减变化数及率</w:t>
            </w:r>
          </w:p>
        </w:tc>
      </w:tr>
      <w:tr>
        <w:tblPrEx>
          <w:tblCellMar>
            <w:top w:w="0" w:type="dxa"/>
            <w:left w:w="108" w:type="dxa"/>
            <w:bottom w:w="0" w:type="dxa"/>
            <w:right w:w="108" w:type="dxa"/>
          </w:tblCellMar>
        </w:tblPrEx>
        <w:trPr>
          <w:trHeight w:val="1293" w:hRule="atLeast"/>
        </w:trPr>
        <w:tc>
          <w:tcPr>
            <w:tcW w:w="233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仿宋_GBK" w:hAnsi="方正仿宋_GBK" w:eastAsia="方正仿宋_GBK" w:cs="方正仿宋_GBK"/>
                <w:sz w:val="28"/>
                <w:szCs w:val="28"/>
                <w:lang w:val="en-US" w:bidi="ar-SA"/>
              </w:rPr>
            </w:pPr>
            <w:r>
              <w:rPr>
                <w:rFonts w:hint="eastAsia" w:ascii="方正仿宋_GBK" w:hAnsi="方正仿宋_GBK" w:eastAsia="方正仿宋_GBK" w:cs="方正仿宋_GBK"/>
                <w:sz w:val="28"/>
                <w:szCs w:val="28"/>
                <w:lang w:val="en-US" w:bidi="ar-SA"/>
              </w:rPr>
              <w:t>雁江区不动产登记中心</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仿宋_GBK" w:hAnsi="方正仿宋_GBK" w:eastAsia="方正仿宋_GBK" w:cs="方正仿宋_GBK"/>
                <w:sz w:val="28"/>
                <w:szCs w:val="28"/>
                <w:lang w:val="en-US" w:eastAsia="zh-CN" w:bidi="ar-SA"/>
              </w:rPr>
            </w:pPr>
            <w:r>
              <w:rPr>
                <w:rFonts w:hint="eastAsia" w:ascii="宋体" w:hAnsi="宋体" w:eastAsia="方正仿宋_GBK" w:cs="方正仿宋_GBK"/>
                <w:sz w:val="28"/>
                <w:szCs w:val="28"/>
                <w:lang w:val="en-US" w:eastAsia="zh-CN" w:bidi="ar-SA"/>
              </w:rPr>
              <w:t>3</w:t>
            </w:r>
          </w:p>
        </w:tc>
        <w:tc>
          <w:tcPr>
            <w:tcW w:w="129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仿宋_GBK" w:hAnsi="方正仿宋_GBK" w:eastAsia="方正仿宋_GBK" w:cs="方正仿宋_GBK"/>
                <w:sz w:val="28"/>
                <w:szCs w:val="28"/>
                <w:lang w:val="en-US" w:eastAsia="zh-CN" w:bidi="ar-SA"/>
              </w:rPr>
            </w:pPr>
            <w:r>
              <w:rPr>
                <w:rFonts w:hint="eastAsia" w:ascii="宋体" w:hAnsi="宋体" w:eastAsia="方正仿宋_GBK" w:cs="方正仿宋_GBK"/>
                <w:sz w:val="28"/>
                <w:szCs w:val="28"/>
                <w:lang w:val="en-US" w:eastAsia="zh-CN" w:bidi="ar-SA"/>
              </w:rPr>
              <w:t>6</w:t>
            </w:r>
          </w:p>
        </w:tc>
        <w:tc>
          <w:tcPr>
            <w:tcW w:w="12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仿宋_GBK" w:hAnsi="方正仿宋_GBK" w:eastAsia="方正仿宋_GBK" w:cs="方正仿宋_GBK"/>
                <w:sz w:val="28"/>
                <w:szCs w:val="28"/>
                <w:lang w:val="en-US" w:eastAsia="zh-CN" w:bidi="ar-SA"/>
              </w:rPr>
            </w:pPr>
            <w:r>
              <w:rPr>
                <w:rFonts w:hint="eastAsia" w:ascii="宋体" w:hAnsi="宋体" w:eastAsia="方正仿宋_GBK" w:cs="方正仿宋_GBK"/>
                <w:sz w:val="28"/>
                <w:szCs w:val="28"/>
                <w:lang w:val="en-US" w:eastAsia="zh-CN" w:bidi="ar-SA"/>
              </w:rPr>
              <w:t>3</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仿宋_GBK" w:hAnsi="方正仿宋_GBK" w:eastAsia="方正仿宋_GBK" w:cs="方正仿宋_GBK"/>
                <w:sz w:val="28"/>
                <w:szCs w:val="28"/>
                <w:lang w:val="en-US" w:eastAsia="zh-CN" w:bidi="ar-SA"/>
              </w:rPr>
            </w:pPr>
            <w:r>
              <w:rPr>
                <w:rFonts w:hint="eastAsia" w:ascii="宋体" w:hAnsi="宋体" w:eastAsia="方正仿宋_GBK" w:cs="方正仿宋_GBK"/>
                <w:sz w:val="28"/>
                <w:szCs w:val="28"/>
                <w:lang w:val="en-US" w:eastAsia="zh-CN" w:bidi="ar-SA"/>
              </w:rPr>
              <w:t>6</w:t>
            </w:r>
          </w:p>
        </w:tc>
        <w:tc>
          <w:tcPr>
            <w:tcW w:w="138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仿宋_GBK" w:hAnsi="方正仿宋_GBK" w:eastAsia="方正仿宋_GBK" w:cs="方正仿宋_GBK"/>
                <w:sz w:val="28"/>
                <w:szCs w:val="28"/>
                <w:lang w:val="en-US" w:bidi="ar-SA"/>
              </w:rPr>
            </w:pPr>
            <w:r>
              <w:rPr>
                <w:rFonts w:hint="eastAsia" w:ascii="宋体" w:hAnsi="宋体" w:eastAsia="方正仿宋_GBK" w:cs="方正仿宋_GBK"/>
                <w:sz w:val="28"/>
                <w:szCs w:val="28"/>
                <w:lang w:val="en-US" w:bidi="ar-SA"/>
              </w:rPr>
              <w:t>0</w:t>
            </w:r>
            <w:r>
              <w:rPr>
                <w:rFonts w:hint="eastAsia" w:ascii="方正仿宋_GBK" w:hAnsi="方正仿宋_GBK" w:eastAsia="方正仿宋_GBK" w:cs="方正仿宋_GBK"/>
                <w:sz w:val="28"/>
                <w:szCs w:val="28"/>
                <w:lang w:val="en-US" w:bidi="ar-SA"/>
              </w:rPr>
              <w:t>%</w:t>
            </w:r>
          </w:p>
        </w:tc>
      </w:tr>
      <w:tr>
        <w:tblPrEx>
          <w:tblCellMar>
            <w:top w:w="0" w:type="dxa"/>
            <w:left w:w="108" w:type="dxa"/>
            <w:bottom w:w="0" w:type="dxa"/>
            <w:right w:w="108" w:type="dxa"/>
          </w:tblCellMar>
        </w:tblPrEx>
        <w:trPr>
          <w:trHeight w:val="662" w:hRule="atLeast"/>
        </w:trPr>
        <w:tc>
          <w:tcPr>
            <w:tcW w:w="233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仿宋_GBK" w:hAnsi="方正仿宋_GBK" w:eastAsia="方正仿宋_GBK" w:cs="方正仿宋_GBK"/>
                <w:sz w:val="28"/>
                <w:szCs w:val="28"/>
                <w:lang w:val="en-US" w:bidi="ar-SA"/>
              </w:rPr>
            </w:pPr>
            <w:r>
              <w:rPr>
                <w:rFonts w:hint="eastAsia" w:ascii="方正仿宋_GBK" w:hAnsi="方正仿宋_GBK" w:eastAsia="方正仿宋_GBK" w:cs="方正仿宋_GBK"/>
                <w:sz w:val="28"/>
                <w:szCs w:val="28"/>
                <w:lang w:val="en-US" w:bidi="ar-SA"/>
              </w:rPr>
              <w:t>合计：</w:t>
            </w:r>
          </w:p>
        </w:tc>
        <w:tc>
          <w:tcPr>
            <w:tcW w:w="141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仿宋_GBK" w:hAnsi="方正仿宋_GBK" w:eastAsia="方正仿宋_GBK" w:cs="方正仿宋_GBK"/>
                <w:sz w:val="28"/>
                <w:szCs w:val="28"/>
                <w:lang w:val="en-US" w:eastAsia="zh-CN" w:bidi="ar-SA"/>
              </w:rPr>
            </w:pPr>
            <w:r>
              <w:rPr>
                <w:rFonts w:hint="eastAsia" w:ascii="宋体" w:hAnsi="宋体" w:eastAsia="方正仿宋_GBK" w:cs="方正仿宋_GBK"/>
                <w:sz w:val="28"/>
                <w:szCs w:val="28"/>
                <w:lang w:val="en-US" w:eastAsia="zh-CN" w:bidi="ar-SA"/>
              </w:rPr>
              <w:t>3</w:t>
            </w:r>
          </w:p>
        </w:tc>
        <w:tc>
          <w:tcPr>
            <w:tcW w:w="129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仿宋_GBK" w:hAnsi="方正仿宋_GBK" w:eastAsia="方正仿宋_GBK" w:cs="方正仿宋_GBK"/>
                <w:sz w:val="28"/>
                <w:szCs w:val="28"/>
                <w:lang w:val="en-US" w:eastAsia="zh-CN" w:bidi="ar-SA"/>
              </w:rPr>
            </w:pPr>
            <w:r>
              <w:rPr>
                <w:rFonts w:hint="eastAsia" w:ascii="宋体" w:hAnsi="宋体" w:eastAsia="方正仿宋_GBK" w:cs="方正仿宋_GBK"/>
                <w:sz w:val="28"/>
                <w:szCs w:val="28"/>
                <w:lang w:val="en-US" w:eastAsia="zh-CN" w:bidi="ar-SA"/>
              </w:rPr>
              <w:t>6</w:t>
            </w:r>
          </w:p>
        </w:tc>
        <w:tc>
          <w:tcPr>
            <w:tcW w:w="128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仿宋_GBK" w:hAnsi="方正仿宋_GBK" w:eastAsia="方正仿宋_GBK" w:cs="方正仿宋_GBK"/>
                <w:sz w:val="28"/>
                <w:szCs w:val="28"/>
                <w:lang w:val="en-US" w:eastAsia="zh-CN" w:bidi="ar-SA"/>
              </w:rPr>
            </w:pPr>
            <w:r>
              <w:rPr>
                <w:rFonts w:hint="eastAsia" w:ascii="宋体" w:hAnsi="宋体" w:eastAsia="方正仿宋_GBK" w:cs="方正仿宋_GBK"/>
                <w:sz w:val="28"/>
                <w:szCs w:val="28"/>
                <w:lang w:val="en-US" w:eastAsia="zh-CN" w:bidi="ar-SA"/>
              </w:rPr>
              <w:t>3</w:t>
            </w:r>
          </w:p>
        </w:tc>
        <w:tc>
          <w:tcPr>
            <w:tcW w:w="125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仿宋_GBK" w:hAnsi="方正仿宋_GBK" w:eastAsia="方正仿宋_GBK" w:cs="方正仿宋_GBK"/>
                <w:sz w:val="28"/>
                <w:szCs w:val="28"/>
                <w:lang w:val="en-US" w:eastAsia="zh-CN" w:bidi="ar-SA"/>
              </w:rPr>
            </w:pPr>
            <w:r>
              <w:rPr>
                <w:rFonts w:hint="eastAsia" w:ascii="宋体" w:hAnsi="宋体" w:eastAsia="方正仿宋_GBK" w:cs="方正仿宋_GBK"/>
                <w:sz w:val="28"/>
                <w:szCs w:val="28"/>
                <w:lang w:val="en-US" w:eastAsia="zh-CN" w:bidi="ar-SA"/>
              </w:rPr>
              <w:t>6</w:t>
            </w:r>
          </w:p>
        </w:tc>
        <w:tc>
          <w:tcPr>
            <w:tcW w:w="138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90" w:lineRule="exact"/>
              <w:ind w:left="0" w:leftChars="0" w:firstLine="0" w:firstLineChars="0"/>
              <w:jc w:val="center"/>
              <w:textAlignment w:val="auto"/>
              <w:rPr>
                <w:rFonts w:hint="eastAsia" w:ascii="方正仿宋_GBK" w:hAnsi="方正仿宋_GBK" w:eastAsia="方正仿宋_GBK" w:cs="方正仿宋_GBK"/>
                <w:sz w:val="28"/>
                <w:szCs w:val="28"/>
                <w:lang w:val="en-US" w:bidi="ar-SA"/>
              </w:rPr>
            </w:pPr>
            <w:r>
              <w:rPr>
                <w:rFonts w:hint="eastAsia" w:ascii="宋体" w:hAnsi="宋体" w:eastAsia="方正仿宋_GBK" w:cs="方正仿宋_GBK"/>
                <w:sz w:val="28"/>
                <w:szCs w:val="28"/>
                <w:lang w:val="en-US" w:bidi="ar-SA"/>
              </w:rPr>
              <w:t>0</w:t>
            </w:r>
            <w:r>
              <w:rPr>
                <w:rFonts w:hint="eastAsia" w:ascii="方正仿宋_GBK" w:hAnsi="方正仿宋_GBK" w:eastAsia="方正仿宋_GBK" w:cs="方正仿宋_GBK"/>
                <w:sz w:val="28"/>
                <w:szCs w:val="28"/>
                <w:lang w:val="en-US" w:bidi="ar-SA"/>
              </w:rPr>
              <w:t>%</w:t>
            </w:r>
          </w:p>
        </w:tc>
      </w:tr>
    </w:tbl>
    <w:p>
      <w:pPr>
        <w:autoSpaceDE w:val="0"/>
        <w:autoSpaceDN w:val="0"/>
        <w:adjustRightInd w:val="0"/>
        <w:spacing w:line="600" w:lineRule="exact"/>
        <w:ind w:firstLine="643" w:firstLineChars="200"/>
        <w:jc w:val="left"/>
        <w:rPr>
          <w:rFonts w:hint="eastAsia" w:eastAsia="仿宋"/>
          <w:b/>
          <w:color w:val="000000"/>
          <w:sz w:val="32"/>
          <w:szCs w:val="32"/>
        </w:rPr>
      </w:pPr>
      <w:r>
        <w:rPr>
          <w:rFonts w:hint="eastAsia" w:eastAsia="仿宋"/>
          <w:b/>
          <w:color w:val="000000"/>
          <w:sz w:val="32"/>
          <w:szCs w:val="32"/>
        </w:rPr>
        <w:t>二、部门财政资金收支情况</w:t>
      </w:r>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（一）部门财政资金收入情况</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年雁江区渡口管理所收入决算总额为</w:t>
      </w:r>
      <w:r>
        <w:rPr>
          <w:rFonts w:hint="eastAsia" w:ascii="仿宋" w:hAnsi="仿宋" w:eastAsia="仿宋"/>
          <w:color w:val="000000"/>
          <w:sz w:val="32"/>
          <w:szCs w:val="32"/>
          <w:lang w:val="en-US" w:eastAsia="zh-CN"/>
        </w:rPr>
        <w:t>96.47</w:t>
      </w:r>
      <w:r>
        <w:rPr>
          <w:rFonts w:hint="eastAsia" w:ascii="仿宋" w:hAnsi="仿宋" w:eastAsia="仿宋"/>
          <w:color w:val="000000"/>
          <w:sz w:val="32"/>
          <w:szCs w:val="32"/>
        </w:rPr>
        <w:t>万元，上年应返还额度</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万元，共计</w:t>
      </w:r>
      <w:r>
        <w:rPr>
          <w:rFonts w:hint="eastAsia" w:ascii="仿宋" w:hAnsi="仿宋" w:eastAsia="仿宋"/>
          <w:color w:val="000000"/>
          <w:sz w:val="32"/>
          <w:szCs w:val="32"/>
          <w:lang w:val="en-US" w:eastAsia="zh-CN"/>
        </w:rPr>
        <w:t>96.47</w:t>
      </w:r>
      <w:r>
        <w:rPr>
          <w:rFonts w:hint="eastAsia" w:ascii="仿宋" w:hAnsi="仿宋" w:eastAsia="仿宋"/>
          <w:color w:val="000000"/>
          <w:sz w:val="32"/>
          <w:szCs w:val="32"/>
        </w:rPr>
        <w:t xml:space="preserve">万元。其中：年初预算数 </w:t>
      </w:r>
      <w:r>
        <w:rPr>
          <w:rFonts w:hint="eastAsia" w:ascii="仿宋" w:hAnsi="仿宋" w:eastAsia="仿宋"/>
          <w:color w:val="000000"/>
          <w:sz w:val="32"/>
          <w:szCs w:val="32"/>
          <w:lang w:val="en-US" w:eastAsia="zh-CN"/>
        </w:rPr>
        <w:t>70.02万</w:t>
      </w:r>
      <w:r>
        <w:rPr>
          <w:rFonts w:hint="eastAsia" w:ascii="仿宋" w:hAnsi="仿宋" w:eastAsia="仿宋"/>
          <w:color w:val="000000"/>
          <w:sz w:val="32"/>
          <w:szCs w:val="32"/>
        </w:rPr>
        <w:t>元,调整预算数</w:t>
      </w:r>
      <w:r>
        <w:rPr>
          <w:rFonts w:hint="eastAsia" w:ascii="仿宋" w:hAnsi="仿宋" w:eastAsia="仿宋"/>
          <w:color w:val="000000"/>
          <w:sz w:val="32"/>
          <w:szCs w:val="32"/>
          <w:lang w:val="en-US" w:eastAsia="zh-CN"/>
        </w:rPr>
        <w:t>96.47万</w:t>
      </w:r>
      <w:r>
        <w:rPr>
          <w:rFonts w:hint="eastAsia" w:ascii="仿宋" w:hAnsi="仿宋" w:eastAsia="仿宋"/>
          <w:color w:val="000000"/>
          <w:sz w:val="32"/>
          <w:szCs w:val="32"/>
        </w:rPr>
        <w:t>元,决算数</w:t>
      </w:r>
      <w:r>
        <w:rPr>
          <w:rFonts w:hint="eastAsia" w:ascii="仿宋" w:hAnsi="仿宋" w:eastAsia="仿宋"/>
          <w:color w:val="000000"/>
          <w:sz w:val="32"/>
          <w:szCs w:val="32"/>
          <w:lang w:val="en-US" w:eastAsia="zh-CN"/>
        </w:rPr>
        <w:t>96.47万</w:t>
      </w:r>
      <w:r>
        <w:rPr>
          <w:rFonts w:hint="eastAsia" w:ascii="仿宋" w:hAnsi="仿宋" w:eastAsia="仿宋"/>
          <w:color w:val="000000"/>
          <w:sz w:val="32"/>
          <w:szCs w:val="32"/>
        </w:rPr>
        <w:t>元</w:t>
      </w:r>
      <w:r>
        <w:rPr>
          <w:rFonts w:hint="eastAsia" w:ascii="仿宋" w:hAnsi="仿宋" w:eastAsia="仿宋"/>
          <w:color w:val="000000"/>
          <w:sz w:val="32"/>
          <w:szCs w:val="32"/>
          <w:lang w:eastAsia="zh-CN"/>
        </w:rPr>
        <w:t>。</w:t>
      </w:r>
    </w:p>
    <w:tbl>
      <w:tblPr>
        <w:tblStyle w:val="12"/>
        <w:tblW w:w="8940" w:type="dxa"/>
        <w:tblInd w:w="0" w:type="dxa"/>
        <w:shd w:val="clear" w:color="auto" w:fill="FFFFFF" w:themeFill="background1"/>
        <w:tblLayout w:type="fixed"/>
        <w:tblCellMar>
          <w:top w:w="0" w:type="dxa"/>
          <w:left w:w="0" w:type="dxa"/>
          <w:bottom w:w="0" w:type="dxa"/>
          <w:right w:w="0" w:type="dxa"/>
        </w:tblCellMar>
      </w:tblPr>
      <w:tblGrid>
        <w:gridCol w:w="3997"/>
        <w:gridCol w:w="529"/>
        <w:gridCol w:w="1663"/>
        <w:gridCol w:w="1577"/>
        <w:gridCol w:w="1174"/>
      </w:tblGrid>
      <w:tr>
        <w:tblPrEx>
          <w:shd w:val="clear" w:color="auto" w:fill="FFFFFF" w:themeFill="background1"/>
          <w:tblCellMar>
            <w:top w:w="0" w:type="dxa"/>
            <w:left w:w="0" w:type="dxa"/>
            <w:bottom w:w="0" w:type="dxa"/>
            <w:right w:w="0" w:type="dxa"/>
          </w:tblCellMar>
        </w:tblPrEx>
        <w:trPr>
          <w:trHeight w:val="872" w:hRule="atLeast"/>
        </w:trPr>
        <w:tc>
          <w:tcPr>
            <w:tcW w:w="894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收    入</w:t>
            </w:r>
          </w:p>
        </w:tc>
      </w:tr>
      <w:tr>
        <w:tblPrEx>
          <w:shd w:val="clear" w:color="auto" w:fill="FFFFFF" w:themeFill="background1"/>
          <w:tblCellMar>
            <w:top w:w="0" w:type="dxa"/>
            <w:left w:w="0" w:type="dxa"/>
            <w:bottom w:w="0" w:type="dxa"/>
            <w:right w:w="0" w:type="dxa"/>
          </w:tblCellMar>
        </w:tblPrEx>
        <w:trPr>
          <w:trHeight w:val="1270" w:hRule="atLeast"/>
        </w:trPr>
        <w:tc>
          <w:tcPr>
            <w:tcW w:w="3997"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项目</w:t>
            </w:r>
          </w:p>
        </w:tc>
        <w:tc>
          <w:tcPr>
            <w:tcW w:w="5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行次</w:t>
            </w:r>
          </w:p>
        </w:tc>
        <w:tc>
          <w:tcPr>
            <w:tcW w:w="16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年初预算数</w:t>
            </w:r>
          </w:p>
        </w:tc>
        <w:tc>
          <w:tcPr>
            <w:tcW w:w="1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全年预算数</w:t>
            </w:r>
          </w:p>
        </w:tc>
        <w:tc>
          <w:tcPr>
            <w:tcW w:w="11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决算数</w:t>
            </w:r>
          </w:p>
        </w:tc>
      </w:tr>
      <w:tr>
        <w:tblPrEx>
          <w:shd w:val="clear" w:color="auto" w:fill="FFFFFF" w:themeFill="background1"/>
          <w:tblCellMar>
            <w:top w:w="0" w:type="dxa"/>
            <w:left w:w="0" w:type="dxa"/>
            <w:bottom w:w="0" w:type="dxa"/>
            <w:right w:w="0" w:type="dxa"/>
          </w:tblCellMar>
        </w:tblPrEx>
        <w:trPr>
          <w:trHeight w:val="643" w:hRule="atLeast"/>
        </w:trPr>
        <w:tc>
          <w:tcPr>
            <w:tcW w:w="3997"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栏次</w:t>
            </w:r>
          </w:p>
        </w:tc>
        <w:tc>
          <w:tcPr>
            <w:tcW w:w="5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center"/>
              <w:rPr>
                <w:rFonts w:hint="eastAsia" w:ascii="方正仿宋_GBK" w:hAnsi="方正仿宋_GBK" w:eastAsia="方正仿宋_GBK" w:cs="方正仿宋_GBK"/>
                <w:i w:val="0"/>
                <w:color w:val="000000"/>
                <w:sz w:val="28"/>
                <w:szCs w:val="28"/>
                <w:u w:val="none"/>
              </w:rPr>
            </w:pPr>
          </w:p>
        </w:tc>
        <w:tc>
          <w:tcPr>
            <w:tcW w:w="16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1</w:t>
            </w:r>
          </w:p>
        </w:tc>
        <w:tc>
          <w:tcPr>
            <w:tcW w:w="1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2</w:t>
            </w:r>
          </w:p>
        </w:tc>
        <w:tc>
          <w:tcPr>
            <w:tcW w:w="11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3</w:t>
            </w:r>
          </w:p>
        </w:tc>
      </w:tr>
      <w:tr>
        <w:tblPrEx>
          <w:shd w:val="clear" w:color="auto" w:fill="FFFFFF" w:themeFill="background1"/>
          <w:tblCellMar>
            <w:top w:w="0" w:type="dxa"/>
            <w:left w:w="0" w:type="dxa"/>
            <w:bottom w:w="0" w:type="dxa"/>
            <w:right w:w="0" w:type="dxa"/>
          </w:tblCellMar>
        </w:tblPrEx>
        <w:trPr>
          <w:trHeight w:val="643" w:hRule="atLeast"/>
        </w:trPr>
        <w:tc>
          <w:tcPr>
            <w:tcW w:w="3997"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一、一般公共预算财政拨款收入</w:t>
            </w:r>
          </w:p>
        </w:tc>
        <w:tc>
          <w:tcPr>
            <w:tcW w:w="5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1</w:t>
            </w:r>
          </w:p>
        </w:tc>
        <w:tc>
          <w:tcPr>
            <w:tcW w:w="16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70</w:t>
            </w:r>
            <w:r>
              <w:rPr>
                <w:rFonts w:hint="eastAsia" w:ascii="方正仿宋_GBK" w:hAnsi="方正仿宋_GBK" w:eastAsia="方正仿宋_GBK" w:cs="方正仿宋_GBK"/>
                <w:i w:val="0"/>
                <w:color w:val="000000"/>
                <w:kern w:val="0"/>
                <w:sz w:val="28"/>
                <w:szCs w:val="28"/>
                <w:u w:val="none"/>
                <w:lang w:val="en-US" w:eastAsia="zh-CN" w:bidi="ar"/>
              </w:rPr>
              <w:t>.</w:t>
            </w:r>
            <w:r>
              <w:rPr>
                <w:rFonts w:hint="eastAsia" w:ascii="宋体" w:hAnsi="宋体" w:eastAsia="方正仿宋_GBK" w:cs="方正仿宋_GBK"/>
                <w:i w:val="0"/>
                <w:color w:val="000000"/>
                <w:kern w:val="0"/>
                <w:sz w:val="28"/>
                <w:szCs w:val="28"/>
                <w:u w:val="none"/>
                <w:lang w:val="en-US" w:eastAsia="zh-CN" w:bidi="ar"/>
              </w:rPr>
              <w:t>02</w:t>
            </w:r>
          </w:p>
        </w:tc>
        <w:tc>
          <w:tcPr>
            <w:tcW w:w="1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96</w:t>
            </w:r>
            <w:r>
              <w:rPr>
                <w:rFonts w:hint="eastAsia" w:ascii="方正仿宋_GBK" w:hAnsi="方正仿宋_GBK" w:eastAsia="方正仿宋_GBK" w:cs="方正仿宋_GBK"/>
                <w:i w:val="0"/>
                <w:color w:val="000000"/>
                <w:kern w:val="0"/>
                <w:sz w:val="28"/>
                <w:szCs w:val="28"/>
                <w:u w:val="none"/>
                <w:lang w:val="en-US" w:eastAsia="zh-CN" w:bidi="ar"/>
              </w:rPr>
              <w:t>.</w:t>
            </w:r>
            <w:r>
              <w:rPr>
                <w:rFonts w:hint="eastAsia" w:ascii="宋体" w:hAnsi="宋体" w:eastAsia="方正仿宋_GBK" w:cs="方正仿宋_GBK"/>
                <w:i w:val="0"/>
                <w:color w:val="000000"/>
                <w:kern w:val="0"/>
                <w:sz w:val="28"/>
                <w:szCs w:val="28"/>
                <w:u w:val="none"/>
                <w:lang w:val="en-US" w:eastAsia="zh-CN" w:bidi="ar"/>
              </w:rPr>
              <w:t>47</w:t>
            </w:r>
          </w:p>
        </w:tc>
        <w:tc>
          <w:tcPr>
            <w:tcW w:w="11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96</w:t>
            </w:r>
            <w:r>
              <w:rPr>
                <w:rFonts w:hint="eastAsia" w:ascii="方正仿宋_GBK" w:hAnsi="方正仿宋_GBK" w:eastAsia="方正仿宋_GBK" w:cs="方正仿宋_GBK"/>
                <w:i w:val="0"/>
                <w:color w:val="000000"/>
                <w:kern w:val="0"/>
                <w:sz w:val="28"/>
                <w:szCs w:val="28"/>
                <w:u w:val="none"/>
                <w:lang w:val="en-US" w:eastAsia="zh-CN" w:bidi="ar"/>
              </w:rPr>
              <w:t>.</w:t>
            </w:r>
            <w:r>
              <w:rPr>
                <w:rFonts w:hint="eastAsia" w:ascii="宋体" w:hAnsi="宋体" w:eastAsia="方正仿宋_GBK" w:cs="方正仿宋_GBK"/>
                <w:i w:val="0"/>
                <w:color w:val="000000"/>
                <w:kern w:val="0"/>
                <w:sz w:val="28"/>
                <w:szCs w:val="28"/>
                <w:u w:val="none"/>
                <w:lang w:val="en-US" w:eastAsia="zh-CN" w:bidi="ar"/>
              </w:rPr>
              <w:t>47</w:t>
            </w:r>
          </w:p>
        </w:tc>
      </w:tr>
      <w:tr>
        <w:tblPrEx>
          <w:shd w:val="clear" w:color="auto" w:fill="FFFFFF" w:themeFill="background1"/>
          <w:tblCellMar>
            <w:top w:w="0" w:type="dxa"/>
            <w:left w:w="0" w:type="dxa"/>
            <w:bottom w:w="0" w:type="dxa"/>
            <w:right w:w="0" w:type="dxa"/>
          </w:tblCellMar>
        </w:tblPrEx>
        <w:trPr>
          <w:trHeight w:val="1270" w:hRule="atLeast"/>
        </w:trPr>
        <w:tc>
          <w:tcPr>
            <w:tcW w:w="3997"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二、政府性基金预算财政拨款收入</w:t>
            </w:r>
          </w:p>
        </w:tc>
        <w:tc>
          <w:tcPr>
            <w:tcW w:w="5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2</w:t>
            </w:r>
          </w:p>
        </w:tc>
        <w:tc>
          <w:tcPr>
            <w:tcW w:w="16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c>
          <w:tcPr>
            <w:tcW w:w="1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c>
          <w:tcPr>
            <w:tcW w:w="11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r>
      <w:tr>
        <w:tblPrEx>
          <w:tblCellMar>
            <w:top w:w="0" w:type="dxa"/>
            <w:left w:w="0" w:type="dxa"/>
            <w:bottom w:w="0" w:type="dxa"/>
            <w:right w:w="0" w:type="dxa"/>
          </w:tblCellMar>
        </w:tblPrEx>
        <w:trPr>
          <w:trHeight w:val="1270" w:hRule="atLeast"/>
        </w:trPr>
        <w:tc>
          <w:tcPr>
            <w:tcW w:w="3997"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三、国有资本经营预算财政拨款收入</w:t>
            </w:r>
          </w:p>
        </w:tc>
        <w:tc>
          <w:tcPr>
            <w:tcW w:w="5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3</w:t>
            </w:r>
          </w:p>
        </w:tc>
        <w:tc>
          <w:tcPr>
            <w:tcW w:w="16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c>
          <w:tcPr>
            <w:tcW w:w="1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c>
          <w:tcPr>
            <w:tcW w:w="11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r>
      <w:tr>
        <w:tblPrEx>
          <w:tblCellMar>
            <w:top w:w="0" w:type="dxa"/>
            <w:left w:w="0" w:type="dxa"/>
            <w:bottom w:w="0" w:type="dxa"/>
            <w:right w:w="0" w:type="dxa"/>
          </w:tblCellMar>
        </w:tblPrEx>
        <w:trPr>
          <w:trHeight w:val="643" w:hRule="atLeast"/>
        </w:trPr>
        <w:tc>
          <w:tcPr>
            <w:tcW w:w="3997"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四、上级补助收入</w:t>
            </w:r>
          </w:p>
        </w:tc>
        <w:tc>
          <w:tcPr>
            <w:tcW w:w="5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4</w:t>
            </w:r>
          </w:p>
        </w:tc>
        <w:tc>
          <w:tcPr>
            <w:tcW w:w="16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c>
          <w:tcPr>
            <w:tcW w:w="1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c>
          <w:tcPr>
            <w:tcW w:w="11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r>
      <w:tr>
        <w:tblPrEx>
          <w:tblCellMar>
            <w:top w:w="0" w:type="dxa"/>
            <w:left w:w="0" w:type="dxa"/>
            <w:bottom w:w="0" w:type="dxa"/>
            <w:right w:w="0" w:type="dxa"/>
          </w:tblCellMar>
        </w:tblPrEx>
        <w:trPr>
          <w:trHeight w:val="643" w:hRule="atLeast"/>
        </w:trPr>
        <w:tc>
          <w:tcPr>
            <w:tcW w:w="3997"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五、事业收入</w:t>
            </w:r>
          </w:p>
        </w:tc>
        <w:tc>
          <w:tcPr>
            <w:tcW w:w="5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5</w:t>
            </w:r>
          </w:p>
        </w:tc>
        <w:tc>
          <w:tcPr>
            <w:tcW w:w="16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c>
          <w:tcPr>
            <w:tcW w:w="1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c>
          <w:tcPr>
            <w:tcW w:w="11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r>
      <w:tr>
        <w:tblPrEx>
          <w:tblCellMar>
            <w:top w:w="0" w:type="dxa"/>
            <w:left w:w="0" w:type="dxa"/>
            <w:bottom w:w="0" w:type="dxa"/>
            <w:right w:w="0" w:type="dxa"/>
          </w:tblCellMar>
        </w:tblPrEx>
        <w:trPr>
          <w:trHeight w:val="643" w:hRule="atLeast"/>
        </w:trPr>
        <w:tc>
          <w:tcPr>
            <w:tcW w:w="3997"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六、经营收入</w:t>
            </w:r>
          </w:p>
        </w:tc>
        <w:tc>
          <w:tcPr>
            <w:tcW w:w="5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6</w:t>
            </w:r>
          </w:p>
        </w:tc>
        <w:tc>
          <w:tcPr>
            <w:tcW w:w="16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c>
          <w:tcPr>
            <w:tcW w:w="1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c>
          <w:tcPr>
            <w:tcW w:w="11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r>
      <w:tr>
        <w:tblPrEx>
          <w:tblCellMar>
            <w:top w:w="0" w:type="dxa"/>
            <w:left w:w="0" w:type="dxa"/>
            <w:bottom w:w="0" w:type="dxa"/>
            <w:right w:w="0" w:type="dxa"/>
          </w:tblCellMar>
        </w:tblPrEx>
        <w:trPr>
          <w:trHeight w:val="643" w:hRule="atLeast"/>
        </w:trPr>
        <w:tc>
          <w:tcPr>
            <w:tcW w:w="3997"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七、附属单位上缴收入</w:t>
            </w:r>
          </w:p>
        </w:tc>
        <w:tc>
          <w:tcPr>
            <w:tcW w:w="5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7</w:t>
            </w:r>
          </w:p>
        </w:tc>
        <w:tc>
          <w:tcPr>
            <w:tcW w:w="16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c>
          <w:tcPr>
            <w:tcW w:w="1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c>
          <w:tcPr>
            <w:tcW w:w="11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r>
      <w:tr>
        <w:tblPrEx>
          <w:tblCellMar>
            <w:top w:w="0" w:type="dxa"/>
            <w:left w:w="0" w:type="dxa"/>
            <w:bottom w:w="0" w:type="dxa"/>
            <w:right w:w="0" w:type="dxa"/>
          </w:tblCellMar>
        </w:tblPrEx>
        <w:trPr>
          <w:trHeight w:val="653" w:hRule="atLeast"/>
        </w:trPr>
        <w:tc>
          <w:tcPr>
            <w:tcW w:w="3997" w:type="dxa"/>
            <w:tcBorders>
              <w:top w:val="nil"/>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八、其他收入</w:t>
            </w:r>
          </w:p>
        </w:tc>
        <w:tc>
          <w:tcPr>
            <w:tcW w:w="52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8</w:t>
            </w:r>
          </w:p>
        </w:tc>
        <w:tc>
          <w:tcPr>
            <w:tcW w:w="1663"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c>
          <w:tcPr>
            <w:tcW w:w="1577"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c>
          <w:tcPr>
            <w:tcW w:w="1174"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r>
    </w:tbl>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w:t>
      </w:r>
      <w:r>
        <w:rPr>
          <w:rFonts w:hint="eastAsia" w:ascii="仿宋" w:hAnsi="仿宋" w:eastAsia="仿宋"/>
          <w:color w:val="000000"/>
          <w:sz w:val="32"/>
          <w:szCs w:val="32"/>
          <w:lang w:val="en-US" w:eastAsia="zh-CN"/>
        </w:rPr>
        <w:t>二</w:t>
      </w:r>
      <w:r>
        <w:rPr>
          <w:rFonts w:hint="eastAsia" w:ascii="仿宋" w:hAnsi="仿宋" w:eastAsia="仿宋"/>
          <w:color w:val="000000"/>
          <w:sz w:val="32"/>
          <w:szCs w:val="32"/>
        </w:rPr>
        <w:t>）部门财政资金支出情况</w:t>
      </w:r>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年资阳市雁江区渡口管理所支出决算总额为</w:t>
      </w:r>
      <w:r>
        <w:rPr>
          <w:rFonts w:hint="eastAsia" w:ascii="仿宋" w:hAnsi="仿宋" w:eastAsia="仿宋"/>
          <w:color w:val="000000"/>
          <w:sz w:val="32"/>
          <w:szCs w:val="32"/>
          <w:lang w:val="en-US" w:eastAsia="zh-CN"/>
        </w:rPr>
        <w:t>96.47</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p>
    <w:tbl>
      <w:tblPr>
        <w:tblStyle w:val="12"/>
        <w:tblW w:w="8805" w:type="dxa"/>
        <w:tblInd w:w="0" w:type="dxa"/>
        <w:shd w:val="clear" w:color="auto" w:fill="FFFFFF" w:themeFill="background1"/>
        <w:tblLayout w:type="fixed"/>
        <w:tblCellMar>
          <w:top w:w="0" w:type="dxa"/>
          <w:left w:w="0" w:type="dxa"/>
          <w:bottom w:w="0" w:type="dxa"/>
          <w:right w:w="0" w:type="dxa"/>
        </w:tblCellMar>
      </w:tblPr>
      <w:tblGrid>
        <w:gridCol w:w="3270"/>
        <w:gridCol w:w="570"/>
        <w:gridCol w:w="1249"/>
        <w:gridCol w:w="1431"/>
        <w:gridCol w:w="2285"/>
      </w:tblGrid>
      <w:tr>
        <w:tblPrEx>
          <w:shd w:val="clear" w:color="auto" w:fill="FFFFFF" w:themeFill="background1"/>
          <w:tblCellMar>
            <w:top w:w="0" w:type="dxa"/>
            <w:left w:w="0" w:type="dxa"/>
            <w:bottom w:w="0" w:type="dxa"/>
            <w:right w:w="0" w:type="dxa"/>
          </w:tblCellMar>
        </w:tblPrEx>
        <w:trPr>
          <w:trHeight w:val="306" w:hRule="atLeast"/>
          <w:tblHeader/>
        </w:trPr>
        <w:tc>
          <w:tcPr>
            <w:tcW w:w="3270" w:type="dxa"/>
            <w:tcBorders>
              <w:top w:val="single" w:color="auto" w:sz="4" w:space="0"/>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(按支出性质和经济分类)</w:t>
            </w:r>
          </w:p>
        </w:tc>
        <w:tc>
          <w:tcPr>
            <w:tcW w:w="570" w:type="dxa"/>
            <w:tcBorders>
              <w:top w:val="single" w:color="auto"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行次</w:t>
            </w:r>
          </w:p>
        </w:tc>
        <w:tc>
          <w:tcPr>
            <w:tcW w:w="1249" w:type="dxa"/>
            <w:tcBorders>
              <w:top w:val="single" w:color="auto"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年初</w:t>
            </w:r>
          </w:p>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预算数</w:t>
            </w:r>
          </w:p>
        </w:tc>
        <w:tc>
          <w:tcPr>
            <w:tcW w:w="1431" w:type="dxa"/>
            <w:tcBorders>
              <w:top w:val="single" w:color="auto" w:sz="4" w:space="0"/>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全年预算数</w:t>
            </w:r>
          </w:p>
        </w:tc>
        <w:tc>
          <w:tcPr>
            <w:tcW w:w="2285" w:type="dxa"/>
            <w:tcBorders>
              <w:top w:val="single" w:color="auto" w:sz="4" w:space="0"/>
              <w:left w:val="nil"/>
              <w:bottom w:val="single" w:color="000000" w:sz="4" w:space="0"/>
              <w:right w:val="single" w:color="auto"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决算数</w:t>
            </w:r>
          </w:p>
        </w:tc>
      </w:tr>
      <w:tr>
        <w:tblPrEx>
          <w:shd w:val="clear" w:color="auto" w:fill="FFFFFF" w:themeFill="background1"/>
          <w:tblCellMar>
            <w:top w:w="0" w:type="dxa"/>
            <w:left w:w="0" w:type="dxa"/>
            <w:bottom w:w="0" w:type="dxa"/>
            <w:right w:w="0" w:type="dxa"/>
          </w:tblCellMar>
        </w:tblPrEx>
        <w:trPr>
          <w:trHeight w:val="306" w:hRule="atLeast"/>
        </w:trPr>
        <w:tc>
          <w:tcPr>
            <w:tcW w:w="3270" w:type="dxa"/>
            <w:tcBorders>
              <w:top w:val="nil"/>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栏次</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center"/>
              <w:rPr>
                <w:rFonts w:hint="eastAsia" w:ascii="方正仿宋_GBK" w:hAnsi="方正仿宋_GBK" w:eastAsia="方正仿宋_GBK" w:cs="方正仿宋_GBK"/>
                <w:i w:val="0"/>
                <w:color w:val="000000"/>
                <w:sz w:val="28"/>
                <w:szCs w:val="28"/>
                <w:u w:val="none"/>
              </w:rPr>
            </w:pPr>
          </w:p>
        </w:tc>
        <w:tc>
          <w:tcPr>
            <w:tcW w:w="12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7</w:t>
            </w:r>
          </w:p>
        </w:tc>
        <w:tc>
          <w:tcPr>
            <w:tcW w:w="14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8</w:t>
            </w:r>
          </w:p>
        </w:tc>
        <w:tc>
          <w:tcPr>
            <w:tcW w:w="2285" w:type="dxa"/>
            <w:tcBorders>
              <w:top w:val="nil"/>
              <w:left w:val="nil"/>
              <w:bottom w:val="single" w:color="000000" w:sz="4" w:space="0"/>
              <w:right w:val="single" w:color="auto"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9</w:t>
            </w:r>
          </w:p>
        </w:tc>
      </w:tr>
      <w:tr>
        <w:tblPrEx>
          <w:shd w:val="clear" w:color="auto" w:fill="FFFFFF" w:themeFill="background1"/>
          <w:tblCellMar>
            <w:top w:w="0" w:type="dxa"/>
            <w:left w:w="0" w:type="dxa"/>
            <w:bottom w:w="0" w:type="dxa"/>
            <w:right w:w="0" w:type="dxa"/>
          </w:tblCellMar>
        </w:tblPrEx>
        <w:trPr>
          <w:trHeight w:val="306" w:hRule="atLeast"/>
        </w:trPr>
        <w:tc>
          <w:tcPr>
            <w:tcW w:w="3270" w:type="dxa"/>
            <w:tcBorders>
              <w:top w:val="nil"/>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一、基本支出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58</w:t>
            </w:r>
          </w:p>
        </w:tc>
        <w:tc>
          <w:tcPr>
            <w:tcW w:w="12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right"/>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70</w:t>
            </w:r>
            <w:r>
              <w:rPr>
                <w:rFonts w:hint="eastAsia" w:ascii="方正仿宋_GBK" w:hAnsi="方正仿宋_GBK" w:eastAsia="方正仿宋_GBK" w:cs="方正仿宋_GBK"/>
                <w:i w:val="0"/>
                <w:color w:val="000000"/>
                <w:kern w:val="0"/>
                <w:sz w:val="28"/>
                <w:szCs w:val="28"/>
                <w:u w:val="none"/>
                <w:lang w:val="en-US" w:eastAsia="zh-CN" w:bidi="ar"/>
              </w:rPr>
              <w:t>.</w:t>
            </w:r>
            <w:r>
              <w:rPr>
                <w:rFonts w:hint="eastAsia" w:ascii="宋体" w:hAnsi="宋体" w:eastAsia="方正仿宋_GBK" w:cs="方正仿宋_GBK"/>
                <w:i w:val="0"/>
                <w:color w:val="000000"/>
                <w:kern w:val="0"/>
                <w:sz w:val="28"/>
                <w:szCs w:val="28"/>
                <w:u w:val="none"/>
                <w:lang w:val="en-US" w:eastAsia="zh-CN" w:bidi="ar"/>
              </w:rPr>
              <w:t>02</w:t>
            </w:r>
          </w:p>
        </w:tc>
        <w:tc>
          <w:tcPr>
            <w:tcW w:w="14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right"/>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96</w:t>
            </w:r>
            <w:r>
              <w:rPr>
                <w:rFonts w:hint="eastAsia" w:ascii="方正仿宋_GBK" w:hAnsi="方正仿宋_GBK" w:eastAsia="方正仿宋_GBK" w:cs="方正仿宋_GBK"/>
                <w:i w:val="0"/>
                <w:color w:val="000000"/>
                <w:kern w:val="0"/>
                <w:sz w:val="28"/>
                <w:szCs w:val="28"/>
                <w:u w:val="none"/>
                <w:lang w:val="en-US" w:eastAsia="zh-CN" w:bidi="ar"/>
              </w:rPr>
              <w:t>.</w:t>
            </w:r>
            <w:r>
              <w:rPr>
                <w:rFonts w:hint="eastAsia" w:ascii="宋体" w:hAnsi="宋体" w:eastAsia="方正仿宋_GBK" w:cs="方正仿宋_GBK"/>
                <w:i w:val="0"/>
                <w:color w:val="000000"/>
                <w:kern w:val="0"/>
                <w:sz w:val="28"/>
                <w:szCs w:val="28"/>
                <w:u w:val="none"/>
                <w:lang w:val="en-US" w:eastAsia="zh-CN" w:bidi="ar"/>
              </w:rPr>
              <w:t>12</w:t>
            </w:r>
          </w:p>
        </w:tc>
        <w:tc>
          <w:tcPr>
            <w:tcW w:w="2285" w:type="dxa"/>
            <w:tcBorders>
              <w:top w:val="nil"/>
              <w:left w:val="nil"/>
              <w:bottom w:val="single" w:color="000000" w:sz="4" w:space="0"/>
              <w:right w:val="single" w:color="auto"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right"/>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96</w:t>
            </w:r>
            <w:r>
              <w:rPr>
                <w:rFonts w:hint="eastAsia" w:ascii="方正仿宋_GBK" w:hAnsi="方正仿宋_GBK" w:eastAsia="方正仿宋_GBK" w:cs="方正仿宋_GBK"/>
                <w:i w:val="0"/>
                <w:color w:val="000000"/>
                <w:kern w:val="0"/>
                <w:sz w:val="28"/>
                <w:szCs w:val="28"/>
                <w:u w:val="none"/>
                <w:lang w:val="en-US" w:eastAsia="zh-CN" w:bidi="ar"/>
              </w:rPr>
              <w:t>.</w:t>
            </w:r>
            <w:r>
              <w:rPr>
                <w:rFonts w:hint="eastAsia" w:ascii="宋体" w:hAnsi="宋体" w:eastAsia="方正仿宋_GBK" w:cs="方正仿宋_GBK"/>
                <w:i w:val="0"/>
                <w:color w:val="000000"/>
                <w:kern w:val="0"/>
                <w:sz w:val="28"/>
                <w:szCs w:val="28"/>
                <w:u w:val="none"/>
                <w:lang w:val="en-US" w:eastAsia="zh-CN" w:bidi="ar"/>
              </w:rPr>
              <w:t>12</w:t>
            </w:r>
          </w:p>
        </w:tc>
      </w:tr>
      <w:tr>
        <w:tblPrEx>
          <w:shd w:val="clear" w:color="auto" w:fill="FFFFFF" w:themeFill="background1"/>
          <w:tblCellMar>
            <w:top w:w="0" w:type="dxa"/>
            <w:left w:w="0" w:type="dxa"/>
            <w:bottom w:w="0" w:type="dxa"/>
            <w:right w:w="0" w:type="dxa"/>
          </w:tblCellMar>
        </w:tblPrEx>
        <w:trPr>
          <w:trHeight w:val="306" w:hRule="atLeast"/>
        </w:trPr>
        <w:tc>
          <w:tcPr>
            <w:tcW w:w="3270" w:type="dxa"/>
            <w:tcBorders>
              <w:top w:val="nil"/>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 xml:space="preserve">      公用经费</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60</w:t>
            </w:r>
          </w:p>
        </w:tc>
        <w:tc>
          <w:tcPr>
            <w:tcW w:w="12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right"/>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14</w:t>
            </w:r>
            <w:r>
              <w:rPr>
                <w:rFonts w:hint="eastAsia" w:ascii="方正仿宋_GBK" w:hAnsi="方正仿宋_GBK" w:eastAsia="方正仿宋_GBK" w:cs="方正仿宋_GBK"/>
                <w:i w:val="0"/>
                <w:color w:val="000000"/>
                <w:kern w:val="0"/>
                <w:sz w:val="28"/>
                <w:szCs w:val="28"/>
                <w:u w:val="none"/>
                <w:lang w:val="en-US" w:eastAsia="zh-CN" w:bidi="ar"/>
              </w:rPr>
              <w:t>.</w:t>
            </w:r>
            <w:r>
              <w:rPr>
                <w:rFonts w:hint="eastAsia" w:ascii="宋体" w:hAnsi="宋体" w:eastAsia="方正仿宋_GBK" w:cs="方正仿宋_GBK"/>
                <w:i w:val="0"/>
                <w:color w:val="000000"/>
                <w:kern w:val="0"/>
                <w:sz w:val="28"/>
                <w:szCs w:val="28"/>
                <w:u w:val="none"/>
                <w:lang w:val="en-US" w:eastAsia="zh-CN" w:bidi="ar"/>
              </w:rPr>
              <w:t>92</w:t>
            </w:r>
          </w:p>
        </w:tc>
        <w:tc>
          <w:tcPr>
            <w:tcW w:w="14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right"/>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0</w:t>
            </w:r>
            <w:r>
              <w:rPr>
                <w:rFonts w:hint="eastAsia" w:ascii="方正仿宋_GBK" w:hAnsi="方正仿宋_GBK" w:eastAsia="方正仿宋_GBK" w:cs="方正仿宋_GBK"/>
                <w:i w:val="0"/>
                <w:color w:val="000000"/>
                <w:kern w:val="0"/>
                <w:sz w:val="28"/>
                <w:szCs w:val="28"/>
                <w:u w:val="none"/>
                <w:lang w:val="en-US" w:eastAsia="zh-CN" w:bidi="ar"/>
              </w:rPr>
              <w:t>.</w:t>
            </w:r>
            <w:r>
              <w:rPr>
                <w:rFonts w:hint="eastAsia" w:ascii="宋体" w:hAnsi="宋体" w:eastAsia="方正仿宋_GBK" w:cs="方正仿宋_GBK"/>
                <w:i w:val="0"/>
                <w:color w:val="000000"/>
                <w:kern w:val="0"/>
                <w:sz w:val="28"/>
                <w:szCs w:val="28"/>
                <w:u w:val="none"/>
                <w:lang w:val="en-US" w:eastAsia="zh-CN" w:bidi="ar"/>
              </w:rPr>
              <w:t>43</w:t>
            </w:r>
          </w:p>
        </w:tc>
        <w:tc>
          <w:tcPr>
            <w:tcW w:w="2285" w:type="dxa"/>
            <w:tcBorders>
              <w:top w:val="nil"/>
              <w:left w:val="nil"/>
              <w:bottom w:val="single" w:color="000000" w:sz="4" w:space="0"/>
              <w:right w:val="single" w:color="auto"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right"/>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0</w:t>
            </w:r>
            <w:r>
              <w:rPr>
                <w:rFonts w:hint="eastAsia" w:ascii="方正仿宋_GBK" w:hAnsi="方正仿宋_GBK" w:eastAsia="方正仿宋_GBK" w:cs="方正仿宋_GBK"/>
                <w:i w:val="0"/>
                <w:color w:val="000000"/>
                <w:kern w:val="0"/>
                <w:sz w:val="28"/>
                <w:szCs w:val="28"/>
                <w:u w:val="none"/>
                <w:lang w:val="en-US" w:eastAsia="zh-CN" w:bidi="ar"/>
              </w:rPr>
              <w:t>.</w:t>
            </w:r>
            <w:r>
              <w:rPr>
                <w:rFonts w:hint="eastAsia" w:ascii="宋体" w:hAnsi="宋体" w:eastAsia="方正仿宋_GBK" w:cs="方正仿宋_GBK"/>
                <w:i w:val="0"/>
                <w:color w:val="000000"/>
                <w:kern w:val="0"/>
                <w:sz w:val="28"/>
                <w:szCs w:val="28"/>
                <w:u w:val="none"/>
                <w:lang w:val="en-US" w:eastAsia="zh-CN" w:bidi="ar"/>
              </w:rPr>
              <w:t>43</w:t>
            </w:r>
          </w:p>
        </w:tc>
      </w:tr>
      <w:tr>
        <w:tblPrEx>
          <w:shd w:val="clear" w:color="auto" w:fill="FFFFFF" w:themeFill="background1"/>
          <w:tblCellMar>
            <w:top w:w="0" w:type="dxa"/>
            <w:left w:w="0" w:type="dxa"/>
            <w:bottom w:w="0" w:type="dxa"/>
            <w:right w:w="0" w:type="dxa"/>
          </w:tblCellMar>
        </w:tblPrEx>
        <w:trPr>
          <w:trHeight w:val="306" w:hRule="atLeast"/>
        </w:trPr>
        <w:tc>
          <w:tcPr>
            <w:tcW w:w="3270" w:type="dxa"/>
            <w:tcBorders>
              <w:top w:val="nil"/>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二、项目支出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61</w:t>
            </w:r>
          </w:p>
        </w:tc>
        <w:tc>
          <w:tcPr>
            <w:tcW w:w="12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right"/>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0</w:t>
            </w:r>
            <w:r>
              <w:rPr>
                <w:rFonts w:hint="eastAsia" w:ascii="方正仿宋_GBK" w:hAnsi="方正仿宋_GBK" w:eastAsia="方正仿宋_GBK" w:cs="方正仿宋_GBK"/>
                <w:i w:val="0"/>
                <w:color w:val="000000"/>
                <w:kern w:val="0"/>
                <w:sz w:val="28"/>
                <w:szCs w:val="28"/>
                <w:u w:val="none"/>
                <w:lang w:val="en-US" w:eastAsia="zh-CN" w:bidi="ar"/>
              </w:rPr>
              <w:t>.</w:t>
            </w:r>
            <w:r>
              <w:rPr>
                <w:rFonts w:hint="eastAsia" w:ascii="宋体" w:hAnsi="宋体" w:eastAsia="方正仿宋_GBK" w:cs="方正仿宋_GBK"/>
                <w:i w:val="0"/>
                <w:color w:val="000000"/>
                <w:kern w:val="0"/>
                <w:sz w:val="28"/>
                <w:szCs w:val="28"/>
                <w:u w:val="none"/>
                <w:lang w:val="en-US" w:eastAsia="zh-CN" w:bidi="ar"/>
              </w:rPr>
              <w:t>00</w:t>
            </w:r>
          </w:p>
        </w:tc>
        <w:tc>
          <w:tcPr>
            <w:tcW w:w="14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right"/>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0</w:t>
            </w:r>
            <w:r>
              <w:rPr>
                <w:rFonts w:hint="eastAsia" w:ascii="方正仿宋_GBK" w:hAnsi="方正仿宋_GBK" w:eastAsia="方正仿宋_GBK" w:cs="方正仿宋_GBK"/>
                <w:i w:val="0"/>
                <w:color w:val="000000"/>
                <w:kern w:val="0"/>
                <w:sz w:val="28"/>
                <w:szCs w:val="28"/>
                <w:u w:val="none"/>
                <w:lang w:val="en-US" w:eastAsia="zh-CN" w:bidi="ar"/>
              </w:rPr>
              <w:t>.</w:t>
            </w:r>
            <w:r>
              <w:rPr>
                <w:rFonts w:hint="eastAsia" w:ascii="宋体" w:hAnsi="宋体" w:eastAsia="方正仿宋_GBK" w:cs="方正仿宋_GBK"/>
                <w:i w:val="0"/>
                <w:color w:val="000000"/>
                <w:kern w:val="0"/>
                <w:sz w:val="28"/>
                <w:szCs w:val="28"/>
                <w:u w:val="none"/>
                <w:lang w:val="en-US" w:eastAsia="zh-CN" w:bidi="ar"/>
              </w:rPr>
              <w:t>35</w:t>
            </w:r>
          </w:p>
        </w:tc>
        <w:tc>
          <w:tcPr>
            <w:tcW w:w="2285" w:type="dxa"/>
            <w:tcBorders>
              <w:top w:val="nil"/>
              <w:left w:val="nil"/>
              <w:bottom w:val="single" w:color="000000" w:sz="4" w:space="0"/>
              <w:right w:val="single" w:color="auto"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right"/>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0</w:t>
            </w:r>
            <w:r>
              <w:rPr>
                <w:rFonts w:hint="eastAsia" w:ascii="方正仿宋_GBK" w:hAnsi="方正仿宋_GBK" w:eastAsia="方正仿宋_GBK" w:cs="方正仿宋_GBK"/>
                <w:i w:val="0"/>
                <w:color w:val="000000"/>
                <w:kern w:val="0"/>
                <w:sz w:val="28"/>
                <w:szCs w:val="28"/>
                <w:u w:val="none"/>
                <w:lang w:val="en-US" w:eastAsia="zh-CN" w:bidi="ar"/>
              </w:rPr>
              <w:t>.</w:t>
            </w:r>
            <w:r>
              <w:rPr>
                <w:rFonts w:hint="eastAsia" w:ascii="宋体" w:hAnsi="宋体" w:eastAsia="方正仿宋_GBK" w:cs="方正仿宋_GBK"/>
                <w:i w:val="0"/>
                <w:color w:val="000000"/>
                <w:kern w:val="0"/>
                <w:sz w:val="28"/>
                <w:szCs w:val="28"/>
                <w:u w:val="none"/>
                <w:lang w:val="en-US" w:eastAsia="zh-CN" w:bidi="ar"/>
              </w:rPr>
              <w:t>35</w:t>
            </w:r>
          </w:p>
        </w:tc>
      </w:tr>
      <w:tr>
        <w:tblPrEx>
          <w:shd w:val="clear" w:color="auto" w:fill="FFFFFF" w:themeFill="background1"/>
          <w:tblCellMar>
            <w:top w:w="0" w:type="dxa"/>
            <w:left w:w="0" w:type="dxa"/>
            <w:bottom w:w="0" w:type="dxa"/>
            <w:right w:w="0" w:type="dxa"/>
          </w:tblCellMar>
        </w:tblPrEx>
        <w:trPr>
          <w:trHeight w:val="306" w:hRule="atLeast"/>
        </w:trPr>
        <w:tc>
          <w:tcPr>
            <w:tcW w:w="3270" w:type="dxa"/>
            <w:tcBorders>
              <w:top w:val="nil"/>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 xml:space="preserve">    其中：基本建设类项目</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62</w:t>
            </w:r>
          </w:p>
        </w:tc>
        <w:tc>
          <w:tcPr>
            <w:tcW w:w="12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c>
          <w:tcPr>
            <w:tcW w:w="14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c>
          <w:tcPr>
            <w:tcW w:w="2285" w:type="dxa"/>
            <w:tcBorders>
              <w:top w:val="nil"/>
              <w:left w:val="nil"/>
              <w:bottom w:val="single" w:color="000000" w:sz="4" w:space="0"/>
              <w:right w:val="single" w:color="auto"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r>
      <w:tr>
        <w:tblPrEx>
          <w:shd w:val="clear" w:color="auto" w:fill="FFFFFF" w:themeFill="background1"/>
          <w:tblCellMar>
            <w:top w:w="0" w:type="dxa"/>
            <w:left w:w="0" w:type="dxa"/>
            <w:bottom w:w="0" w:type="dxa"/>
            <w:right w:w="0" w:type="dxa"/>
          </w:tblCellMar>
        </w:tblPrEx>
        <w:trPr>
          <w:trHeight w:val="306" w:hRule="atLeast"/>
        </w:trPr>
        <w:tc>
          <w:tcPr>
            <w:tcW w:w="3270" w:type="dxa"/>
            <w:tcBorders>
              <w:top w:val="nil"/>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三、上缴上级支出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63</w:t>
            </w:r>
          </w:p>
        </w:tc>
        <w:tc>
          <w:tcPr>
            <w:tcW w:w="12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c>
          <w:tcPr>
            <w:tcW w:w="14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c>
          <w:tcPr>
            <w:tcW w:w="2285" w:type="dxa"/>
            <w:tcBorders>
              <w:top w:val="nil"/>
              <w:left w:val="nil"/>
              <w:bottom w:val="single" w:color="000000" w:sz="4" w:space="0"/>
              <w:right w:val="single" w:color="auto"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r>
      <w:tr>
        <w:tblPrEx>
          <w:shd w:val="clear" w:color="auto" w:fill="FFFFFF" w:themeFill="background1"/>
          <w:tblCellMar>
            <w:top w:w="0" w:type="dxa"/>
            <w:left w:w="0" w:type="dxa"/>
            <w:bottom w:w="0" w:type="dxa"/>
            <w:right w:w="0" w:type="dxa"/>
          </w:tblCellMar>
        </w:tblPrEx>
        <w:trPr>
          <w:trHeight w:val="306" w:hRule="atLeast"/>
        </w:trPr>
        <w:tc>
          <w:tcPr>
            <w:tcW w:w="3270" w:type="dxa"/>
            <w:tcBorders>
              <w:top w:val="nil"/>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四、经营支出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64</w:t>
            </w:r>
          </w:p>
        </w:tc>
        <w:tc>
          <w:tcPr>
            <w:tcW w:w="12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c>
          <w:tcPr>
            <w:tcW w:w="14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c>
          <w:tcPr>
            <w:tcW w:w="2285" w:type="dxa"/>
            <w:tcBorders>
              <w:top w:val="nil"/>
              <w:left w:val="nil"/>
              <w:bottom w:val="single" w:color="000000" w:sz="4" w:space="0"/>
              <w:right w:val="single" w:color="auto"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r>
      <w:tr>
        <w:tblPrEx>
          <w:shd w:val="clear" w:color="auto" w:fill="FFFFFF" w:themeFill="background1"/>
          <w:tblCellMar>
            <w:top w:w="0" w:type="dxa"/>
            <w:left w:w="0" w:type="dxa"/>
            <w:bottom w:w="0" w:type="dxa"/>
            <w:right w:w="0" w:type="dxa"/>
          </w:tblCellMar>
        </w:tblPrEx>
        <w:trPr>
          <w:trHeight w:val="306" w:hRule="atLeast"/>
        </w:trPr>
        <w:tc>
          <w:tcPr>
            <w:tcW w:w="3270" w:type="dxa"/>
            <w:tcBorders>
              <w:top w:val="nil"/>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五、对附属单位补助支出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65</w:t>
            </w:r>
          </w:p>
        </w:tc>
        <w:tc>
          <w:tcPr>
            <w:tcW w:w="12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c>
          <w:tcPr>
            <w:tcW w:w="14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c>
          <w:tcPr>
            <w:tcW w:w="2285" w:type="dxa"/>
            <w:tcBorders>
              <w:top w:val="nil"/>
              <w:left w:val="nil"/>
              <w:bottom w:val="single" w:color="000000" w:sz="4" w:space="0"/>
              <w:right w:val="single" w:color="auto"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r>
      <w:tr>
        <w:tblPrEx>
          <w:shd w:val="clear" w:color="auto" w:fill="FFFFFF" w:themeFill="background1"/>
          <w:tblCellMar>
            <w:top w:w="0" w:type="dxa"/>
            <w:left w:w="0" w:type="dxa"/>
            <w:bottom w:w="0" w:type="dxa"/>
            <w:right w:w="0" w:type="dxa"/>
          </w:tblCellMar>
        </w:tblPrEx>
        <w:trPr>
          <w:trHeight w:val="306" w:hRule="atLeast"/>
        </w:trPr>
        <w:tc>
          <w:tcPr>
            <w:tcW w:w="3270" w:type="dxa"/>
            <w:tcBorders>
              <w:top w:val="nil"/>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经济分类支出合计</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68</w:t>
            </w:r>
          </w:p>
        </w:tc>
        <w:tc>
          <w:tcPr>
            <w:tcW w:w="12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w:t>
            </w:r>
          </w:p>
        </w:tc>
        <w:tc>
          <w:tcPr>
            <w:tcW w:w="14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w:t>
            </w:r>
          </w:p>
        </w:tc>
        <w:tc>
          <w:tcPr>
            <w:tcW w:w="2285" w:type="dxa"/>
            <w:tcBorders>
              <w:top w:val="nil"/>
              <w:left w:val="nil"/>
              <w:bottom w:val="single" w:color="000000" w:sz="4" w:space="0"/>
              <w:right w:val="single" w:color="auto"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right"/>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96</w:t>
            </w:r>
            <w:r>
              <w:rPr>
                <w:rFonts w:hint="eastAsia" w:ascii="方正仿宋_GBK" w:hAnsi="方正仿宋_GBK" w:eastAsia="方正仿宋_GBK" w:cs="方正仿宋_GBK"/>
                <w:i w:val="0"/>
                <w:color w:val="000000"/>
                <w:kern w:val="0"/>
                <w:sz w:val="28"/>
                <w:szCs w:val="28"/>
                <w:u w:val="none"/>
                <w:lang w:val="en-US" w:eastAsia="zh-CN" w:bidi="ar"/>
              </w:rPr>
              <w:t>.</w:t>
            </w:r>
            <w:r>
              <w:rPr>
                <w:rFonts w:hint="eastAsia" w:ascii="宋体" w:hAnsi="宋体" w:eastAsia="方正仿宋_GBK" w:cs="方正仿宋_GBK"/>
                <w:i w:val="0"/>
                <w:color w:val="000000"/>
                <w:kern w:val="0"/>
                <w:sz w:val="28"/>
                <w:szCs w:val="28"/>
                <w:u w:val="none"/>
                <w:lang w:val="en-US" w:eastAsia="zh-CN" w:bidi="ar"/>
              </w:rPr>
              <w:t>47</w:t>
            </w:r>
          </w:p>
        </w:tc>
      </w:tr>
      <w:tr>
        <w:tblPrEx>
          <w:shd w:val="clear" w:color="auto" w:fill="FFFFFF" w:themeFill="background1"/>
          <w:tblCellMar>
            <w:top w:w="0" w:type="dxa"/>
            <w:left w:w="0" w:type="dxa"/>
            <w:bottom w:w="0" w:type="dxa"/>
            <w:right w:w="0" w:type="dxa"/>
          </w:tblCellMar>
        </w:tblPrEx>
        <w:trPr>
          <w:trHeight w:val="306" w:hRule="atLeast"/>
        </w:trPr>
        <w:tc>
          <w:tcPr>
            <w:tcW w:w="3270" w:type="dxa"/>
            <w:tcBorders>
              <w:top w:val="nil"/>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一、工资福利支出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69</w:t>
            </w:r>
          </w:p>
        </w:tc>
        <w:tc>
          <w:tcPr>
            <w:tcW w:w="12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w:t>
            </w:r>
          </w:p>
        </w:tc>
        <w:tc>
          <w:tcPr>
            <w:tcW w:w="14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w:t>
            </w:r>
          </w:p>
        </w:tc>
        <w:tc>
          <w:tcPr>
            <w:tcW w:w="2285" w:type="dxa"/>
            <w:tcBorders>
              <w:top w:val="nil"/>
              <w:left w:val="nil"/>
              <w:bottom w:val="single" w:color="000000" w:sz="4" w:space="0"/>
              <w:right w:val="single" w:color="auto"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right"/>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92</w:t>
            </w:r>
            <w:r>
              <w:rPr>
                <w:rFonts w:hint="eastAsia" w:ascii="方正仿宋_GBK" w:hAnsi="方正仿宋_GBK" w:eastAsia="方正仿宋_GBK" w:cs="方正仿宋_GBK"/>
                <w:i w:val="0"/>
                <w:color w:val="000000"/>
                <w:kern w:val="0"/>
                <w:sz w:val="28"/>
                <w:szCs w:val="28"/>
                <w:u w:val="none"/>
                <w:lang w:val="en-US" w:eastAsia="zh-CN" w:bidi="ar"/>
              </w:rPr>
              <w:t>.</w:t>
            </w:r>
            <w:r>
              <w:rPr>
                <w:rFonts w:hint="eastAsia" w:ascii="宋体" w:hAnsi="宋体" w:eastAsia="方正仿宋_GBK" w:cs="方正仿宋_GBK"/>
                <w:i w:val="0"/>
                <w:color w:val="000000"/>
                <w:kern w:val="0"/>
                <w:sz w:val="28"/>
                <w:szCs w:val="28"/>
                <w:u w:val="none"/>
                <w:lang w:val="en-US" w:eastAsia="zh-CN" w:bidi="ar"/>
              </w:rPr>
              <w:t>27</w:t>
            </w:r>
          </w:p>
        </w:tc>
      </w:tr>
      <w:tr>
        <w:tblPrEx>
          <w:shd w:val="clear" w:color="auto" w:fill="FFFFFF" w:themeFill="background1"/>
          <w:tblCellMar>
            <w:top w:w="0" w:type="dxa"/>
            <w:left w:w="0" w:type="dxa"/>
            <w:bottom w:w="0" w:type="dxa"/>
            <w:right w:w="0" w:type="dxa"/>
          </w:tblCellMar>
        </w:tblPrEx>
        <w:trPr>
          <w:trHeight w:val="306" w:hRule="atLeast"/>
        </w:trPr>
        <w:tc>
          <w:tcPr>
            <w:tcW w:w="3270" w:type="dxa"/>
            <w:tcBorders>
              <w:top w:val="nil"/>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二、商品和服务支出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70</w:t>
            </w:r>
          </w:p>
        </w:tc>
        <w:tc>
          <w:tcPr>
            <w:tcW w:w="12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w:t>
            </w:r>
          </w:p>
        </w:tc>
        <w:tc>
          <w:tcPr>
            <w:tcW w:w="14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w:t>
            </w:r>
          </w:p>
        </w:tc>
        <w:tc>
          <w:tcPr>
            <w:tcW w:w="2285" w:type="dxa"/>
            <w:tcBorders>
              <w:top w:val="nil"/>
              <w:left w:val="nil"/>
              <w:bottom w:val="single" w:color="000000" w:sz="4" w:space="0"/>
              <w:right w:val="single" w:color="auto"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right"/>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0</w:t>
            </w:r>
            <w:r>
              <w:rPr>
                <w:rFonts w:hint="eastAsia" w:ascii="方正仿宋_GBK" w:hAnsi="方正仿宋_GBK" w:eastAsia="方正仿宋_GBK" w:cs="方正仿宋_GBK"/>
                <w:i w:val="0"/>
                <w:color w:val="000000"/>
                <w:kern w:val="0"/>
                <w:sz w:val="28"/>
                <w:szCs w:val="28"/>
                <w:u w:val="none"/>
                <w:lang w:val="en-US" w:eastAsia="zh-CN" w:bidi="ar"/>
              </w:rPr>
              <w:t>.</w:t>
            </w:r>
            <w:r>
              <w:rPr>
                <w:rFonts w:hint="eastAsia" w:ascii="宋体" w:hAnsi="宋体" w:eastAsia="方正仿宋_GBK" w:cs="方正仿宋_GBK"/>
                <w:i w:val="0"/>
                <w:color w:val="000000"/>
                <w:kern w:val="0"/>
                <w:sz w:val="28"/>
                <w:szCs w:val="28"/>
                <w:u w:val="none"/>
                <w:lang w:val="en-US" w:eastAsia="zh-CN" w:bidi="ar"/>
              </w:rPr>
              <w:t>78</w:t>
            </w:r>
          </w:p>
        </w:tc>
      </w:tr>
      <w:tr>
        <w:tblPrEx>
          <w:shd w:val="clear" w:color="auto" w:fill="FFFFFF" w:themeFill="background1"/>
          <w:tblCellMar>
            <w:top w:w="0" w:type="dxa"/>
            <w:left w:w="0" w:type="dxa"/>
            <w:bottom w:w="0" w:type="dxa"/>
            <w:right w:w="0" w:type="dxa"/>
          </w:tblCellMar>
        </w:tblPrEx>
        <w:trPr>
          <w:trHeight w:val="306" w:hRule="atLeast"/>
        </w:trPr>
        <w:tc>
          <w:tcPr>
            <w:tcW w:w="3270" w:type="dxa"/>
            <w:tcBorders>
              <w:top w:val="nil"/>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三、对个人和家庭的补助</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71</w:t>
            </w:r>
          </w:p>
        </w:tc>
        <w:tc>
          <w:tcPr>
            <w:tcW w:w="12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w:t>
            </w:r>
          </w:p>
        </w:tc>
        <w:tc>
          <w:tcPr>
            <w:tcW w:w="14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w:t>
            </w:r>
          </w:p>
        </w:tc>
        <w:tc>
          <w:tcPr>
            <w:tcW w:w="2285" w:type="dxa"/>
            <w:tcBorders>
              <w:top w:val="nil"/>
              <w:left w:val="nil"/>
              <w:bottom w:val="single" w:color="000000" w:sz="4" w:space="0"/>
              <w:right w:val="single" w:color="auto"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right"/>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3</w:t>
            </w:r>
            <w:r>
              <w:rPr>
                <w:rFonts w:hint="eastAsia" w:ascii="方正仿宋_GBK" w:hAnsi="方正仿宋_GBK" w:eastAsia="方正仿宋_GBK" w:cs="方正仿宋_GBK"/>
                <w:i w:val="0"/>
                <w:color w:val="000000"/>
                <w:kern w:val="0"/>
                <w:sz w:val="28"/>
                <w:szCs w:val="28"/>
                <w:u w:val="none"/>
                <w:lang w:val="en-US" w:eastAsia="zh-CN" w:bidi="ar"/>
              </w:rPr>
              <w:t>.</w:t>
            </w:r>
            <w:r>
              <w:rPr>
                <w:rFonts w:hint="eastAsia" w:ascii="宋体" w:hAnsi="宋体" w:eastAsia="方正仿宋_GBK" w:cs="方正仿宋_GBK"/>
                <w:i w:val="0"/>
                <w:color w:val="000000"/>
                <w:kern w:val="0"/>
                <w:sz w:val="28"/>
                <w:szCs w:val="28"/>
                <w:u w:val="none"/>
                <w:lang w:val="en-US" w:eastAsia="zh-CN" w:bidi="ar"/>
              </w:rPr>
              <w:t>43</w:t>
            </w:r>
          </w:p>
        </w:tc>
      </w:tr>
      <w:tr>
        <w:tblPrEx>
          <w:shd w:val="clear" w:color="auto" w:fill="FFFFFF" w:themeFill="background1"/>
          <w:tblCellMar>
            <w:top w:w="0" w:type="dxa"/>
            <w:left w:w="0" w:type="dxa"/>
            <w:bottom w:w="0" w:type="dxa"/>
            <w:right w:w="0" w:type="dxa"/>
          </w:tblCellMar>
        </w:tblPrEx>
        <w:trPr>
          <w:trHeight w:val="306" w:hRule="atLeast"/>
        </w:trPr>
        <w:tc>
          <w:tcPr>
            <w:tcW w:w="3270" w:type="dxa"/>
            <w:tcBorders>
              <w:top w:val="nil"/>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四、债务利息及费用支出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72</w:t>
            </w:r>
          </w:p>
        </w:tc>
        <w:tc>
          <w:tcPr>
            <w:tcW w:w="12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w:t>
            </w:r>
          </w:p>
        </w:tc>
        <w:tc>
          <w:tcPr>
            <w:tcW w:w="14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w:t>
            </w:r>
          </w:p>
        </w:tc>
        <w:tc>
          <w:tcPr>
            <w:tcW w:w="2285" w:type="dxa"/>
            <w:tcBorders>
              <w:top w:val="nil"/>
              <w:left w:val="nil"/>
              <w:bottom w:val="single" w:color="000000" w:sz="4" w:space="0"/>
              <w:right w:val="single" w:color="auto"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r>
      <w:tr>
        <w:tblPrEx>
          <w:shd w:val="clear" w:color="auto" w:fill="FFFFFF" w:themeFill="background1"/>
          <w:tblCellMar>
            <w:top w:w="0" w:type="dxa"/>
            <w:left w:w="0" w:type="dxa"/>
            <w:bottom w:w="0" w:type="dxa"/>
            <w:right w:w="0" w:type="dxa"/>
          </w:tblCellMar>
        </w:tblPrEx>
        <w:trPr>
          <w:trHeight w:val="306" w:hRule="atLeast"/>
        </w:trPr>
        <w:tc>
          <w:tcPr>
            <w:tcW w:w="3270" w:type="dxa"/>
            <w:tcBorders>
              <w:top w:val="nil"/>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五、资本性支出（基本建设）</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73</w:t>
            </w:r>
          </w:p>
        </w:tc>
        <w:tc>
          <w:tcPr>
            <w:tcW w:w="12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w:t>
            </w:r>
          </w:p>
        </w:tc>
        <w:tc>
          <w:tcPr>
            <w:tcW w:w="14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w:t>
            </w:r>
          </w:p>
        </w:tc>
        <w:tc>
          <w:tcPr>
            <w:tcW w:w="2285" w:type="dxa"/>
            <w:tcBorders>
              <w:top w:val="nil"/>
              <w:left w:val="nil"/>
              <w:bottom w:val="single" w:color="000000" w:sz="4" w:space="0"/>
              <w:right w:val="single" w:color="auto"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r>
      <w:tr>
        <w:tblPrEx>
          <w:shd w:val="clear" w:color="auto" w:fill="FFFFFF" w:themeFill="background1"/>
          <w:tblCellMar>
            <w:top w:w="0" w:type="dxa"/>
            <w:left w:w="0" w:type="dxa"/>
            <w:bottom w:w="0" w:type="dxa"/>
            <w:right w:w="0" w:type="dxa"/>
          </w:tblCellMar>
        </w:tblPrEx>
        <w:trPr>
          <w:trHeight w:val="306" w:hRule="atLeast"/>
        </w:trPr>
        <w:tc>
          <w:tcPr>
            <w:tcW w:w="3270" w:type="dxa"/>
            <w:tcBorders>
              <w:top w:val="nil"/>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六、资本性支出</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74</w:t>
            </w:r>
          </w:p>
        </w:tc>
        <w:tc>
          <w:tcPr>
            <w:tcW w:w="12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w:t>
            </w:r>
          </w:p>
        </w:tc>
        <w:tc>
          <w:tcPr>
            <w:tcW w:w="14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w:t>
            </w:r>
          </w:p>
        </w:tc>
        <w:tc>
          <w:tcPr>
            <w:tcW w:w="2285" w:type="dxa"/>
            <w:tcBorders>
              <w:top w:val="nil"/>
              <w:left w:val="nil"/>
              <w:bottom w:val="single" w:color="000000" w:sz="4" w:space="0"/>
              <w:right w:val="single" w:color="auto"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r>
      <w:tr>
        <w:tblPrEx>
          <w:shd w:val="clear" w:color="auto" w:fill="FFFFFF" w:themeFill="background1"/>
          <w:tblCellMar>
            <w:top w:w="0" w:type="dxa"/>
            <w:left w:w="0" w:type="dxa"/>
            <w:bottom w:w="0" w:type="dxa"/>
            <w:right w:w="0" w:type="dxa"/>
          </w:tblCellMar>
        </w:tblPrEx>
        <w:trPr>
          <w:trHeight w:val="306" w:hRule="atLeast"/>
        </w:trPr>
        <w:tc>
          <w:tcPr>
            <w:tcW w:w="3270" w:type="dxa"/>
            <w:tcBorders>
              <w:top w:val="nil"/>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七、对企业补助（基本建设）</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75</w:t>
            </w:r>
          </w:p>
        </w:tc>
        <w:tc>
          <w:tcPr>
            <w:tcW w:w="12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w:t>
            </w:r>
          </w:p>
        </w:tc>
        <w:tc>
          <w:tcPr>
            <w:tcW w:w="14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w:t>
            </w:r>
          </w:p>
        </w:tc>
        <w:tc>
          <w:tcPr>
            <w:tcW w:w="2285" w:type="dxa"/>
            <w:tcBorders>
              <w:top w:val="nil"/>
              <w:left w:val="nil"/>
              <w:bottom w:val="single" w:color="000000" w:sz="4" w:space="0"/>
              <w:right w:val="single" w:color="auto"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r>
      <w:tr>
        <w:tblPrEx>
          <w:tblCellMar>
            <w:top w:w="0" w:type="dxa"/>
            <w:left w:w="0" w:type="dxa"/>
            <w:bottom w:w="0" w:type="dxa"/>
            <w:right w:w="0" w:type="dxa"/>
          </w:tblCellMar>
        </w:tblPrEx>
        <w:trPr>
          <w:trHeight w:val="306" w:hRule="atLeast"/>
        </w:trPr>
        <w:tc>
          <w:tcPr>
            <w:tcW w:w="3270" w:type="dxa"/>
            <w:tcBorders>
              <w:top w:val="nil"/>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八、对企业补助</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76</w:t>
            </w:r>
          </w:p>
        </w:tc>
        <w:tc>
          <w:tcPr>
            <w:tcW w:w="12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w:t>
            </w:r>
          </w:p>
        </w:tc>
        <w:tc>
          <w:tcPr>
            <w:tcW w:w="14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w:t>
            </w:r>
          </w:p>
        </w:tc>
        <w:tc>
          <w:tcPr>
            <w:tcW w:w="2285" w:type="dxa"/>
            <w:tcBorders>
              <w:top w:val="nil"/>
              <w:left w:val="nil"/>
              <w:bottom w:val="single" w:color="000000" w:sz="4" w:space="0"/>
              <w:right w:val="single" w:color="auto"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r>
      <w:tr>
        <w:tblPrEx>
          <w:tblCellMar>
            <w:top w:w="0" w:type="dxa"/>
            <w:left w:w="0" w:type="dxa"/>
            <w:bottom w:w="0" w:type="dxa"/>
            <w:right w:w="0" w:type="dxa"/>
          </w:tblCellMar>
        </w:tblPrEx>
        <w:trPr>
          <w:trHeight w:val="306" w:hRule="atLeast"/>
        </w:trPr>
        <w:tc>
          <w:tcPr>
            <w:tcW w:w="3270" w:type="dxa"/>
            <w:tcBorders>
              <w:top w:val="nil"/>
              <w:left w:val="single" w:color="auto"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九、对社会保障基金补助</w:t>
            </w:r>
          </w:p>
        </w:tc>
        <w:tc>
          <w:tcPr>
            <w:tcW w:w="570"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77</w:t>
            </w:r>
          </w:p>
        </w:tc>
        <w:tc>
          <w:tcPr>
            <w:tcW w:w="1249"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w:t>
            </w:r>
          </w:p>
        </w:tc>
        <w:tc>
          <w:tcPr>
            <w:tcW w:w="1431" w:type="dxa"/>
            <w:tcBorders>
              <w:top w:val="nil"/>
              <w:left w:val="nil"/>
              <w:bottom w:val="single" w:color="000000"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w:t>
            </w:r>
          </w:p>
        </w:tc>
        <w:tc>
          <w:tcPr>
            <w:tcW w:w="2285" w:type="dxa"/>
            <w:tcBorders>
              <w:top w:val="nil"/>
              <w:left w:val="nil"/>
              <w:bottom w:val="single" w:color="000000" w:sz="4" w:space="0"/>
              <w:right w:val="single" w:color="auto"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r>
      <w:tr>
        <w:tblPrEx>
          <w:tblCellMar>
            <w:top w:w="0" w:type="dxa"/>
            <w:left w:w="0" w:type="dxa"/>
            <w:bottom w:w="0" w:type="dxa"/>
            <w:right w:w="0" w:type="dxa"/>
          </w:tblCellMar>
        </w:tblPrEx>
        <w:trPr>
          <w:trHeight w:val="306" w:hRule="atLeast"/>
        </w:trPr>
        <w:tc>
          <w:tcPr>
            <w:tcW w:w="3270" w:type="dxa"/>
            <w:tcBorders>
              <w:top w:val="nil"/>
              <w:left w:val="single" w:color="auto" w:sz="4" w:space="0"/>
              <w:bottom w:val="single" w:color="auto"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left"/>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十、其他支出</w:t>
            </w:r>
          </w:p>
        </w:tc>
        <w:tc>
          <w:tcPr>
            <w:tcW w:w="570" w:type="dxa"/>
            <w:tcBorders>
              <w:top w:val="nil"/>
              <w:left w:val="nil"/>
              <w:bottom w:val="single" w:color="auto"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宋体" w:hAnsi="宋体" w:eastAsia="方正仿宋_GBK" w:cs="方正仿宋_GBK"/>
                <w:i w:val="0"/>
                <w:color w:val="000000"/>
                <w:kern w:val="0"/>
                <w:sz w:val="28"/>
                <w:szCs w:val="28"/>
                <w:u w:val="none"/>
                <w:lang w:val="en-US" w:eastAsia="zh-CN" w:bidi="ar"/>
              </w:rPr>
              <w:t>78</w:t>
            </w:r>
          </w:p>
        </w:tc>
        <w:tc>
          <w:tcPr>
            <w:tcW w:w="1249" w:type="dxa"/>
            <w:tcBorders>
              <w:top w:val="nil"/>
              <w:left w:val="nil"/>
              <w:bottom w:val="single" w:color="auto"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w:t>
            </w:r>
          </w:p>
        </w:tc>
        <w:tc>
          <w:tcPr>
            <w:tcW w:w="1431" w:type="dxa"/>
            <w:tcBorders>
              <w:top w:val="nil"/>
              <w:left w:val="nil"/>
              <w:bottom w:val="single" w:color="auto" w:sz="4" w:space="0"/>
              <w:right w:val="single" w:color="000000" w:sz="4" w:space="0"/>
            </w:tcBorders>
            <w:shd w:val="clear" w:color="auto" w:fill="FFFFFF" w:themeFill="background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90" w:lineRule="exact"/>
              <w:ind w:left="0" w:leftChars="0" w:firstLine="0" w:firstLineChars="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w:t>
            </w:r>
          </w:p>
        </w:tc>
        <w:tc>
          <w:tcPr>
            <w:tcW w:w="2285" w:type="dxa"/>
            <w:tcBorders>
              <w:top w:val="nil"/>
              <w:left w:val="nil"/>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90" w:lineRule="exact"/>
              <w:ind w:left="0" w:leftChars="0" w:firstLine="0" w:firstLineChars="0"/>
              <w:jc w:val="right"/>
              <w:rPr>
                <w:rFonts w:hint="eastAsia" w:ascii="方正仿宋_GBK" w:hAnsi="方正仿宋_GBK" w:eastAsia="方正仿宋_GBK" w:cs="方正仿宋_GBK"/>
                <w:i w:val="0"/>
                <w:color w:val="000000"/>
                <w:sz w:val="28"/>
                <w:szCs w:val="28"/>
                <w:u w:val="none"/>
              </w:rPr>
            </w:pPr>
          </w:p>
        </w:tc>
      </w:tr>
    </w:tbl>
    <w:p>
      <w:pPr>
        <w:autoSpaceDE w:val="0"/>
        <w:autoSpaceDN w:val="0"/>
        <w:adjustRightInd w:val="0"/>
        <w:spacing w:line="600" w:lineRule="exact"/>
        <w:ind w:firstLine="643" w:firstLineChars="200"/>
        <w:jc w:val="left"/>
        <w:rPr>
          <w:rFonts w:hint="eastAsia" w:eastAsia="仿宋"/>
          <w:b/>
          <w:color w:val="000000"/>
          <w:sz w:val="32"/>
          <w:szCs w:val="32"/>
        </w:rPr>
      </w:pPr>
      <w:r>
        <w:rPr>
          <w:rFonts w:hint="eastAsia" w:eastAsia="仿宋"/>
          <w:b/>
          <w:color w:val="000000"/>
          <w:sz w:val="32"/>
          <w:szCs w:val="32"/>
        </w:rPr>
        <w:t>三、评价工作开展情况</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（一）自评工作组织领导  </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组   长：张仕良</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成   员：查治明        </w:t>
      </w:r>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（二）自评方式、方法、重点</w:t>
      </w:r>
    </w:p>
    <w:p>
      <w:pPr>
        <w:spacing w:line="600" w:lineRule="exact"/>
        <w:ind w:firstLine="640" w:firstLineChars="200"/>
        <w:rPr>
          <w:rFonts w:hint="default" w:ascii="仿宋" w:hAnsi="仿宋" w:eastAsia="仿宋"/>
          <w:color w:val="000000"/>
          <w:sz w:val="32"/>
          <w:szCs w:val="32"/>
          <w:lang w:val="en-US" w:eastAsia="zh-CN"/>
        </w:rPr>
      </w:pPr>
      <w:r>
        <w:rPr>
          <w:rFonts w:hint="eastAsia" w:ascii="仿宋" w:hAnsi="仿宋" w:eastAsia="仿宋"/>
          <w:color w:val="000000"/>
          <w:sz w:val="32"/>
          <w:szCs w:val="32"/>
          <w:lang w:val="zh-CN" w:eastAsia="zh-CN"/>
        </w:rPr>
        <w:t xml:space="preserve"> 1.</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lang w:val="zh-CN" w:eastAsia="zh-CN"/>
        </w:rPr>
        <w:t>绩效评价标准及方法</w:t>
      </w:r>
      <w:r>
        <w:rPr>
          <w:rFonts w:hint="eastAsia" w:ascii="仿宋" w:hAnsi="仿宋" w:eastAsia="仿宋"/>
          <w:color w:val="000000"/>
          <w:sz w:val="32"/>
          <w:szCs w:val="32"/>
          <w:lang w:val="en-US" w:eastAsia="zh-CN"/>
        </w:rPr>
        <w:t>。</w:t>
      </w:r>
    </w:p>
    <w:p>
      <w:pPr>
        <w:spacing w:line="600" w:lineRule="exact"/>
        <w:ind w:firstLine="640" w:firstLineChars="200"/>
        <w:rPr>
          <w:rFonts w:hint="eastAsia" w:ascii="仿宋" w:hAnsi="仿宋" w:eastAsia="仿宋"/>
          <w:color w:val="000000"/>
          <w:sz w:val="32"/>
          <w:szCs w:val="32"/>
          <w:lang w:val="zh-CN" w:eastAsia="zh-CN"/>
        </w:rPr>
      </w:pPr>
      <w:r>
        <w:rPr>
          <w:rFonts w:hint="eastAsia" w:ascii="仿宋" w:hAnsi="仿宋" w:eastAsia="仿宋"/>
          <w:color w:val="000000"/>
          <w:sz w:val="32"/>
          <w:szCs w:val="32"/>
          <w:lang w:val="zh-CN" w:eastAsia="zh-CN"/>
        </w:rPr>
        <w:t>业务科室收集所实施的项目资料，掌握项目立项决策、项目资金落实、项目实施管理、财务管理全过程（文献法）；收集项目完成情况与年初绩效目标（计划标准、行业标准）开展对比分（比较法）；并通过发放问卷，对受益对象开展满意度问卷调查（社会调查法）。对项目绩效差异通过因素分析，分析内、外部因素，并提出改进措施及建议（因素分析法）。</w:t>
      </w:r>
    </w:p>
    <w:p>
      <w:pPr>
        <w:spacing w:line="600" w:lineRule="exact"/>
        <w:ind w:firstLine="640" w:firstLineChars="200"/>
        <w:rPr>
          <w:rFonts w:hint="eastAsia" w:ascii="仿宋" w:hAnsi="仿宋" w:eastAsia="仿宋"/>
          <w:color w:val="000000"/>
          <w:sz w:val="32"/>
          <w:szCs w:val="32"/>
          <w:lang w:val="zh-CN" w:eastAsia="zh-CN"/>
        </w:rPr>
      </w:pPr>
      <w:r>
        <w:rPr>
          <w:rFonts w:hint="eastAsia" w:ascii="仿宋" w:hAnsi="仿宋" w:eastAsia="仿宋"/>
          <w:color w:val="000000"/>
          <w:sz w:val="32"/>
          <w:szCs w:val="32"/>
          <w:lang w:val="zh-CN" w:eastAsia="zh-CN"/>
        </w:rPr>
        <w:t>财务科室（办公室）负责收集部门“三定”、部门制定的中长期实施规划、部门（单位）实际在职人数、基本支出项目支出明细账；负责收集部门的各项管理制度并抽查业务科室对管理制度的执行情况；负责收集预决算信息公开材料；</w:t>
      </w:r>
    </w:p>
    <w:p>
      <w:pPr>
        <w:spacing w:line="600" w:lineRule="exact"/>
        <w:ind w:firstLine="640" w:firstLineChars="200"/>
        <w:rPr>
          <w:rFonts w:hint="eastAsia" w:ascii="仿宋" w:hAnsi="仿宋" w:eastAsia="仿宋"/>
          <w:color w:val="000000"/>
          <w:sz w:val="32"/>
          <w:szCs w:val="32"/>
          <w:lang w:val="zh-CN" w:eastAsia="zh-CN"/>
        </w:rPr>
      </w:pPr>
      <w:r>
        <w:rPr>
          <w:rFonts w:hint="eastAsia" w:ascii="仿宋" w:hAnsi="仿宋" w:eastAsia="仿宋"/>
          <w:color w:val="000000"/>
          <w:sz w:val="32"/>
          <w:szCs w:val="32"/>
          <w:lang w:val="zh-CN" w:eastAsia="zh-CN"/>
        </w:rPr>
        <w:t>政府采购科室负责收集实际政府采购项目、金额及计划政府采购项目、金额数据。</w:t>
      </w:r>
    </w:p>
    <w:p>
      <w:pPr>
        <w:spacing w:line="600" w:lineRule="exact"/>
        <w:ind w:firstLine="640" w:firstLineChars="200"/>
        <w:rPr>
          <w:rFonts w:hint="eastAsia" w:ascii="仿宋" w:hAnsi="仿宋" w:eastAsia="仿宋"/>
          <w:color w:val="000000"/>
          <w:sz w:val="32"/>
          <w:szCs w:val="32"/>
          <w:lang w:val="zh-CN" w:eastAsia="zh-CN"/>
        </w:rPr>
      </w:pPr>
      <w:r>
        <w:rPr>
          <w:rFonts w:hint="eastAsia" w:ascii="仿宋" w:hAnsi="仿宋" w:eastAsia="仿宋"/>
          <w:color w:val="000000"/>
          <w:sz w:val="32"/>
          <w:szCs w:val="32"/>
          <w:lang w:val="zh-CN" w:eastAsia="zh-CN"/>
        </w:rPr>
        <w:t>资产管理部门负责收集资产管理制度、并抽查业务科室对管理制度的执行情况；负责收集并提供资产管理的全过程档案资料；固定资产利用情况。</w:t>
      </w:r>
    </w:p>
    <w:p>
      <w:pPr>
        <w:spacing w:line="600" w:lineRule="exact"/>
        <w:ind w:firstLine="640" w:firstLineChars="200"/>
        <w:rPr>
          <w:rFonts w:hint="eastAsia" w:ascii="仿宋" w:hAnsi="仿宋" w:eastAsia="仿宋"/>
          <w:color w:val="000000"/>
          <w:sz w:val="32"/>
          <w:szCs w:val="32"/>
          <w:lang w:val="zh-CN" w:eastAsia="zh-CN"/>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lang w:val="zh-CN" w:eastAsia="zh-CN"/>
        </w:rPr>
        <w:t>绩效评价指标体系及重点。</w:t>
      </w:r>
    </w:p>
    <w:p>
      <w:pPr>
        <w:spacing w:line="600" w:lineRule="exact"/>
        <w:ind w:firstLine="640" w:firstLineChars="200"/>
        <w:rPr>
          <w:rFonts w:hint="eastAsia" w:ascii="仿宋" w:hAnsi="仿宋" w:eastAsia="仿宋"/>
          <w:color w:val="000000"/>
          <w:sz w:val="32"/>
          <w:szCs w:val="32"/>
          <w:lang w:val="zh-CN" w:eastAsia="zh-CN"/>
        </w:rPr>
      </w:pPr>
      <w:r>
        <w:rPr>
          <w:rFonts w:hint="eastAsia" w:ascii="仿宋" w:hAnsi="仿宋" w:eastAsia="仿宋"/>
          <w:color w:val="000000"/>
          <w:sz w:val="32"/>
          <w:szCs w:val="32"/>
          <w:lang w:val="zh-CN" w:eastAsia="zh-CN"/>
        </w:rPr>
        <w:t>结合本部门特点、评价重点，按照《资阳市雁江区财政局关于开展2022年度财政支出绩效自评工作的通知》附件4“2022年度雁江区整体支出绩效自评计分表”，本部门绩效评价指标分为“投入”、“过程”、“产出”、“效益”四大类。指标数据来源于政府文件、相关业务科室项目资料、单位财务明细账、预决算数据、实地调研、访谈、问卷调查等。</w:t>
      </w:r>
    </w:p>
    <w:p>
      <w:pPr>
        <w:spacing w:line="600" w:lineRule="exact"/>
        <w:ind w:firstLine="640" w:firstLineChars="200"/>
        <w:rPr>
          <w:rFonts w:hint="eastAsia" w:ascii="仿宋" w:hAnsi="仿宋" w:eastAsia="仿宋"/>
          <w:color w:val="000000"/>
          <w:sz w:val="32"/>
          <w:szCs w:val="32"/>
          <w:lang w:val="zh-CN" w:eastAsia="zh-CN"/>
        </w:rPr>
      </w:pPr>
      <w:r>
        <w:rPr>
          <w:rFonts w:hint="eastAsia" w:ascii="仿宋" w:hAnsi="仿宋" w:eastAsia="仿宋"/>
          <w:color w:val="000000"/>
          <w:sz w:val="32"/>
          <w:szCs w:val="32"/>
          <w:lang w:val="zh-CN" w:eastAsia="zh-CN"/>
        </w:rPr>
        <w:t>“投入”指标关注重点：部门制定的中长期实施规划及年度重点任务、绩效指标明确性、在职人员等是否存在超编情况、“三公经费”较上年的是否减少、重点支出是否与本部门履职和发展密切相关、重点支出是否具有明显社会和经济影响、重点支出是否是</w:t>
      </w:r>
      <w:r>
        <w:rPr>
          <w:rFonts w:hint="eastAsia" w:ascii="仿宋" w:hAnsi="仿宋"/>
          <w:color w:val="000000"/>
          <w:sz w:val="32"/>
          <w:szCs w:val="32"/>
          <w:lang w:val="zh-CN" w:eastAsia="zh-CN"/>
        </w:rPr>
        <w:t>党委、政府</w:t>
      </w:r>
      <w:r>
        <w:rPr>
          <w:rFonts w:hint="eastAsia" w:ascii="仿宋" w:hAnsi="仿宋" w:eastAsia="仿宋"/>
          <w:color w:val="000000"/>
          <w:sz w:val="32"/>
          <w:szCs w:val="32"/>
          <w:lang w:val="zh-CN" w:eastAsia="zh-CN"/>
        </w:rPr>
        <w:t>关心或社会比较关注的支出。</w:t>
      </w:r>
    </w:p>
    <w:p>
      <w:pPr>
        <w:spacing w:line="600" w:lineRule="exact"/>
        <w:ind w:firstLine="640" w:firstLineChars="200"/>
        <w:rPr>
          <w:rFonts w:hint="eastAsia" w:ascii="仿宋" w:hAnsi="仿宋" w:eastAsia="仿宋"/>
          <w:color w:val="000000"/>
          <w:sz w:val="32"/>
          <w:szCs w:val="32"/>
          <w:lang w:val="zh-CN" w:eastAsia="zh-CN"/>
        </w:rPr>
      </w:pPr>
      <w:r>
        <w:rPr>
          <w:rFonts w:hint="eastAsia" w:ascii="仿宋" w:hAnsi="仿宋" w:eastAsia="仿宋"/>
          <w:color w:val="000000"/>
          <w:sz w:val="32"/>
          <w:szCs w:val="32"/>
          <w:lang w:val="zh-CN" w:eastAsia="zh-CN"/>
        </w:rPr>
        <w:t>“过程”指标关注重点：预算调整是否较大、支付进度是否达标、结转结余是否在合理范围内、结转结余是否与上年的控制向好、政府采购执行是否良好，同时是否按照要求预留中小企业采购比例；部门管理制度是否健全、制度</w:t>
      </w:r>
      <w:r>
        <w:rPr>
          <w:rFonts w:hint="eastAsia" w:ascii="仿宋" w:hAnsi="仿宋"/>
          <w:color w:val="000000"/>
          <w:sz w:val="32"/>
          <w:szCs w:val="32"/>
          <w:lang w:val="zh-CN" w:eastAsia="zh-CN"/>
        </w:rPr>
        <w:t>执行</w:t>
      </w:r>
      <w:r>
        <w:rPr>
          <w:rFonts w:hint="eastAsia" w:ascii="仿宋" w:hAnsi="仿宋" w:eastAsia="仿宋"/>
          <w:color w:val="000000"/>
          <w:sz w:val="32"/>
          <w:szCs w:val="32"/>
          <w:lang w:val="zh-CN" w:eastAsia="zh-CN"/>
        </w:rPr>
        <w:t>是否效性、资金使用是否合规性、财务监控是否有效性；部门（单位）的资产是否保存完整、使用合规、配置合理、处置规范、收入及时足额上缴；固定资产利用情况是否良好。</w:t>
      </w:r>
    </w:p>
    <w:p>
      <w:pPr>
        <w:spacing w:line="600" w:lineRule="exact"/>
        <w:ind w:firstLine="640" w:firstLineChars="200"/>
        <w:rPr>
          <w:rFonts w:hint="eastAsia" w:ascii="仿宋" w:hAnsi="仿宋" w:eastAsia="仿宋"/>
          <w:color w:val="000000"/>
          <w:sz w:val="32"/>
          <w:szCs w:val="32"/>
          <w:lang w:val="zh-CN" w:eastAsia="zh-CN"/>
        </w:rPr>
      </w:pPr>
      <w:r>
        <w:rPr>
          <w:rFonts w:hint="eastAsia" w:ascii="仿宋" w:hAnsi="仿宋" w:eastAsia="仿宋"/>
          <w:color w:val="000000"/>
          <w:sz w:val="32"/>
          <w:szCs w:val="32"/>
          <w:lang w:val="zh-CN" w:eastAsia="zh-CN"/>
        </w:rPr>
        <w:t>“产出”指标关注重点：与本部门履职和发展密切相关、具有明显社会和经济影响、</w:t>
      </w:r>
      <w:r>
        <w:rPr>
          <w:rFonts w:hint="eastAsia" w:ascii="仿宋" w:hAnsi="仿宋"/>
          <w:color w:val="000000"/>
          <w:sz w:val="32"/>
          <w:szCs w:val="32"/>
          <w:lang w:val="zh-CN" w:eastAsia="zh-CN"/>
        </w:rPr>
        <w:t>党委、政府</w:t>
      </w:r>
      <w:r>
        <w:rPr>
          <w:rFonts w:hint="eastAsia" w:ascii="仿宋" w:hAnsi="仿宋" w:eastAsia="仿宋"/>
          <w:color w:val="000000"/>
          <w:sz w:val="32"/>
          <w:szCs w:val="32"/>
          <w:lang w:val="zh-CN" w:eastAsia="zh-CN"/>
        </w:rPr>
        <w:t>关心或社会比较关注的重点支出的产出指标完成情况。</w:t>
      </w:r>
    </w:p>
    <w:p>
      <w:pPr>
        <w:spacing w:line="600" w:lineRule="exact"/>
        <w:ind w:firstLine="640" w:firstLineChars="200"/>
        <w:rPr>
          <w:rFonts w:hint="eastAsia" w:ascii="仿宋" w:hAnsi="仿宋" w:eastAsia="仿宋"/>
          <w:color w:val="000000"/>
          <w:sz w:val="32"/>
          <w:szCs w:val="32"/>
          <w:lang w:val="zh-CN" w:eastAsia="zh-CN"/>
        </w:rPr>
      </w:pPr>
      <w:r>
        <w:rPr>
          <w:rFonts w:hint="eastAsia" w:ascii="仿宋" w:hAnsi="仿宋" w:eastAsia="仿宋"/>
          <w:color w:val="000000"/>
          <w:sz w:val="32"/>
          <w:szCs w:val="32"/>
          <w:lang w:val="zh-CN" w:eastAsia="zh-CN"/>
        </w:rPr>
        <w:t>“效益”指标关注重点：与本部门履职和发展密切相关、具有明显社会和经济影响、</w:t>
      </w:r>
      <w:r>
        <w:rPr>
          <w:rFonts w:hint="eastAsia" w:ascii="仿宋" w:hAnsi="仿宋"/>
          <w:color w:val="000000"/>
          <w:sz w:val="32"/>
          <w:szCs w:val="32"/>
          <w:lang w:val="zh-CN" w:eastAsia="zh-CN"/>
        </w:rPr>
        <w:t>党委、政府</w:t>
      </w:r>
      <w:r>
        <w:rPr>
          <w:rFonts w:hint="eastAsia" w:ascii="仿宋" w:hAnsi="仿宋" w:eastAsia="仿宋"/>
          <w:color w:val="000000"/>
          <w:sz w:val="32"/>
          <w:szCs w:val="32"/>
          <w:lang w:val="zh-CN" w:eastAsia="zh-CN"/>
        </w:rPr>
        <w:t>关心或社会比较关注的重点支出的效益指标实现情况；以及部门服务对象满意度。</w:t>
      </w:r>
    </w:p>
    <w:p>
      <w:pPr>
        <w:autoSpaceDE w:val="0"/>
        <w:autoSpaceDN w:val="0"/>
        <w:adjustRightInd w:val="0"/>
        <w:spacing w:line="600" w:lineRule="exact"/>
        <w:ind w:firstLine="643" w:firstLineChars="200"/>
        <w:jc w:val="left"/>
        <w:rPr>
          <w:rFonts w:hint="eastAsia" w:eastAsia="仿宋"/>
          <w:b/>
          <w:color w:val="000000"/>
          <w:sz w:val="32"/>
          <w:szCs w:val="32"/>
        </w:rPr>
      </w:pPr>
      <w:r>
        <w:rPr>
          <w:rFonts w:hint="eastAsia" w:eastAsia="仿宋"/>
          <w:b/>
          <w:color w:val="000000"/>
          <w:sz w:val="32"/>
          <w:szCs w:val="32"/>
        </w:rPr>
        <w:t>四、评价结论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方正仿宋_GBK" w:hAnsi="方正仿宋_GBK" w:eastAsia="方正仿宋_GBK" w:cs="方正仿宋_GBK"/>
          <w:sz w:val="33"/>
          <w:szCs w:val="33"/>
          <w:lang w:val="en-US" w:eastAsia="zh-CN"/>
        </w:rPr>
      </w:pPr>
      <w:r>
        <w:rPr>
          <w:rFonts w:hint="eastAsia" w:ascii="仿宋" w:hAnsi="仿宋" w:eastAsia="仿宋"/>
          <w:color w:val="000000"/>
          <w:sz w:val="32"/>
          <w:szCs w:val="32"/>
          <w:lang w:val="zh-CN" w:eastAsia="zh-CN"/>
        </w:rPr>
        <w:t>总体而言，本部门年度重点任务完成好、在职人员控制好、超 “三公经费”较上年均为</w:t>
      </w:r>
      <w:r>
        <w:rPr>
          <w:rFonts w:hint="eastAsia" w:ascii="仿宋" w:hAnsi="仿宋" w:eastAsia="仿宋"/>
          <w:color w:val="000000"/>
          <w:sz w:val="32"/>
          <w:szCs w:val="32"/>
          <w:lang w:val="en-US" w:eastAsia="zh-CN"/>
        </w:rPr>
        <w:t>0</w:t>
      </w:r>
      <w:r>
        <w:rPr>
          <w:rFonts w:hint="eastAsia" w:ascii="仿宋" w:hAnsi="仿宋" w:eastAsia="仿宋"/>
          <w:color w:val="000000"/>
          <w:sz w:val="32"/>
          <w:szCs w:val="32"/>
          <w:lang w:val="zh-CN" w:eastAsia="zh-CN"/>
        </w:rPr>
        <w:t>；部门管理制度健全、制度</w:t>
      </w:r>
      <w:r>
        <w:rPr>
          <w:rFonts w:hint="eastAsia" w:ascii="仿宋" w:hAnsi="仿宋"/>
          <w:color w:val="000000"/>
          <w:sz w:val="32"/>
          <w:szCs w:val="32"/>
          <w:lang w:val="zh-CN" w:eastAsia="zh-CN"/>
        </w:rPr>
        <w:t>执行</w:t>
      </w:r>
      <w:r>
        <w:rPr>
          <w:rFonts w:hint="eastAsia" w:ascii="仿宋" w:hAnsi="仿宋" w:eastAsia="仿宋"/>
          <w:color w:val="000000"/>
          <w:sz w:val="32"/>
          <w:szCs w:val="32"/>
          <w:lang w:val="zh-CN" w:eastAsia="zh-CN"/>
        </w:rPr>
        <w:t>效性、资金使用合规性；部门（单位）的资产保存完整、使用合规、配置合理、处置规范、收入及时足额上缴，固定资产利用情况良好。总体得分</w:t>
      </w:r>
      <w:r>
        <w:rPr>
          <w:rFonts w:hint="eastAsia" w:ascii="仿宋" w:hAnsi="仿宋" w:eastAsia="仿宋"/>
          <w:color w:val="000000"/>
          <w:sz w:val="32"/>
          <w:szCs w:val="32"/>
          <w:lang w:val="en-US" w:eastAsia="zh-CN"/>
        </w:rPr>
        <w:t>89分。</w:t>
      </w:r>
    </w:p>
    <w:p>
      <w:pPr>
        <w:autoSpaceDE w:val="0"/>
        <w:autoSpaceDN w:val="0"/>
        <w:adjustRightInd w:val="0"/>
        <w:spacing w:line="600" w:lineRule="exact"/>
        <w:ind w:firstLine="643" w:firstLineChars="200"/>
        <w:jc w:val="left"/>
        <w:rPr>
          <w:rFonts w:hint="eastAsia" w:eastAsia="仿宋"/>
          <w:b/>
          <w:color w:val="000000"/>
          <w:sz w:val="32"/>
          <w:szCs w:val="32"/>
        </w:rPr>
      </w:pPr>
      <w:r>
        <w:rPr>
          <w:rFonts w:hint="eastAsia" w:eastAsia="仿宋"/>
          <w:b/>
          <w:color w:val="000000"/>
          <w:sz w:val="32"/>
          <w:szCs w:val="32"/>
          <w:lang w:val="en-US" w:eastAsia="zh-CN"/>
        </w:rPr>
        <w:t>五、</w:t>
      </w:r>
      <w:r>
        <w:rPr>
          <w:rFonts w:hint="eastAsia" w:eastAsia="仿宋"/>
          <w:b/>
          <w:color w:val="000000"/>
          <w:sz w:val="32"/>
          <w:szCs w:val="32"/>
        </w:rPr>
        <w:t>绩效分析</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仿宋" w:hAnsi="仿宋" w:eastAsia="仿宋"/>
          <w:color w:val="000000"/>
          <w:sz w:val="32"/>
          <w:szCs w:val="32"/>
          <w:lang w:val="zh-CN" w:eastAsia="zh-CN"/>
        </w:rPr>
      </w:pPr>
      <w:r>
        <w:rPr>
          <w:rFonts w:hint="eastAsia" w:ascii="仿宋" w:hAnsi="仿宋" w:eastAsia="仿宋"/>
          <w:color w:val="000000"/>
          <w:sz w:val="32"/>
          <w:szCs w:val="32"/>
          <w:lang w:val="zh-CN" w:eastAsia="zh-CN"/>
        </w:rPr>
        <w:t>（一）指标分析</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zh-CN" w:eastAsia="zh-CN"/>
        </w:rPr>
        <w:t>通过对20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lang w:val="zh-CN" w:eastAsia="zh-CN"/>
        </w:rPr>
        <w:t>年预算绩效管理的工作的每一项考核自评，我办得分为</w:t>
      </w:r>
      <w:r>
        <w:rPr>
          <w:rFonts w:hint="eastAsia" w:ascii="仿宋" w:hAnsi="仿宋" w:eastAsia="仿宋"/>
          <w:color w:val="000000"/>
          <w:sz w:val="32"/>
          <w:szCs w:val="32"/>
          <w:lang w:val="en-US" w:eastAsia="zh-CN"/>
        </w:rPr>
        <w:t>89</w:t>
      </w:r>
      <w:r>
        <w:rPr>
          <w:rFonts w:hint="eastAsia" w:ascii="仿宋" w:hAnsi="仿宋" w:eastAsia="仿宋"/>
          <w:color w:val="000000"/>
          <w:sz w:val="32"/>
          <w:szCs w:val="32"/>
          <w:lang w:val="zh-CN" w:eastAsia="zh-CN"/>
        </w:rPr>
        <w:t>分。主要扣分原因是</w:t>
      </w:r>
      <w:r>
        <w:rPr>
          <w:rFonts w:hint="eastAsia" w:ascii="仿宋" w:hAnsi="仿宋" w:eastAsia="仿宋"/>
          <w:color w:val="000000"/>
          <w:sz w:val="32"/>
          <w:szCs w:val="32"/>
          <w:lang w:val="en-US" w:eastAsia="zh-CN"/>
        </w:rPr>
        <w:t>在职人员控制率为200%；预算调整率=26.45/70.02*100=37.77%；项目预算拨款为0万元，项目支出金额为0万元，实际现场监控及百日安全检查支付率为0万元；已制定预算资金管理办法、内部财务管理制度等，但在执行上还需加强，扣除1分；社会公众或服务对象满意度只有85%，扣除1分。</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仿宋" w:hAnsi="仿宋" w:eastAsia="仿宋"/>
          <w:color w:val="000000"/>
          <w:sz w:val="32"/>
          <w:szCs w:val="32"/>
          <w:lang w:val="zh-CN" w:eastAsia="zh-CN"/>
        </w:rPr>
      </w:pPr>
      <w:r>
        <w:rPr>
          <w:rFonts w:hint="eastAsia" w:ascii="仿宋" w:hAnsi="仿宋" w:eastAsia="仿宋"/>
          <w:color w:val="000000"/>
          <w:sz w:val="32"/>
          <w:szCs w:val="32"/>
          <w:lang w:val="zh-CN" w:eastAsia="zh-CN"/>
        </w:rPr>
        <w:t>（二）综合绩效分析</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1．部门职能履行情况。</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2022年，我所在区委、区政府及区交通运输局的坚强领导下，在全体干部职工共同努力下，认真贯彻执行国家有关水上交通的方针、政策、法律、法规，牢固树立“以人为本，安全第一，预防为主”的思想，积极做好节假日、防汛期间的值班值守工作及现场监控工作，认真履行渡口的日常安全管理工作。一是按照宗旨和业务范围，围绕年初制定的“平安渡运”总目标，加强节假日现场监控及春运汛期值班值守工作；完成辖区渡船及船员的年审工作；积极开展新冠肺炎预防；宣讲安全知识，协助海事部门处理水上交通事故；协助区交运局完成蜀都大道延线、紫薇大道、丰高路、罗一路、南双路等规划、拆迁工作；完成石岭镇石河村169户520人脱贫攻坚任务，实施石岭镇石河村乡村振兴工作。二是实现“平安渡运”总目标，多年来未发生一起水上交通责任事故。完成石岭镇石河村整村脱贫、无返贫发生。三是在区交运局统一安排下协助完成区交通综合执法大队工作，协助区交运局完成蜀都大道延线、紫薇大道、丰高路、罗一路、南双路等规划、拆迁工作后续工作，完成石岭镇石河村乡村振兴工作。</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部门履职有效性。</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2022年，我所积极履职，强化管理，较好地完成了年度工作目标。通过加强预算收支管理，不断建立健全内部管理制度，梳理内部管理流程，部门整体支出管理水平得到提升。</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部门职能实现程度</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2022年，我所能够完成区委、区政府和区交通运输局下达的工作任务，工程项目实施进度符合要求，水路运输服务质量不断提高，群众满意度显著提升。</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六、问题分析</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一是工作机制有待进一步完善，在平时工作中开展绩效动态监控工作。二是财务资金紧张，在部门整体支出的资金安排和使用上仍有不可预见性，在实际工作中有资金延迟到位的情况。</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七、建议</w:t>
      </w:r>
    </w:p>
    <w:p>
      <w:pPr>
        <w:spacing w:line="620" w:lineRule="exact"/>
        <w:ind w:left="0" w:leftChars="0" w:firstLine="0" w:firstLineChars="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一是进一步加强对绩效目标动态监控的重视，对预算执行情况进行监控，使绩效目标监控与日常工作、财务工作挂钩，做到及时监控，及时控制，避免疏忽。二是加强各部门衔接，使预算绩效目标实施进度得到及时反馈，便于及时监控。</w:t>
      </w:r>
    </w:p>
    <w:p>
      <w:pPr>
        <w:spacing w:line="620" w:lineRule="exact"/>
        <w:ind w:left="0" w:leftChars="0" w:firstLine="0" w:firstLineChars="0"/>
        <w:jc w:val="both"/>
        <w:rPr>
          <w:rFonts w:hint="eastAsia" w:ascii="仿宋" w:hAnsi="仿宋" w:eastAsia="仿宋"/>
          <w:color w:val="000000"/>
          <w:sz w:val="32"/>
          <w:szCs w:val="32"/>
          <w:lang w:val="en-US" w:eastAsia="zh-CN"/>
        </w:rPr>
      </w:pPr>
    </w:p>
    <w:p>
      <w:pPr>
        <w:spacing w:line="620" w:lineRule="exact"/>
        <w:ind w:left="0" w:leftChars="0" w:firstLine="0" w:firstLineChars="0"/>
        <w:jc w:val="both"/>
        <w:rPr>
          <w:rFonts w:hint="eastAsia" w:ascii="仿宋" w:hAnsi="仿宋" w:eastAsia="仿宋"/>
          <w:color w:val="000000"/>
          <w:sz w:val="32"/>
          <w:szCs w:val="32"/>
          <w:lang w:val="en-US" w:eastAsia="zh-CN"/>
        </w:rPr>
      </w:pPr>
    </w:p>
    <w:p>
      <w:pPr>
        <w:spacing w:line="620" w:lineRule="exact"/>
        <w:ind w:left="0" w:leftChars="0" w:firstLine="0" w:firstLineChars="0"/>
        <w:jc w:val="both"/>
        <w:rPr>
          <w:rFonts w:hint="eastAsia" w:ascii="仿宋" w:hAnsi="仿宋" w:eastAsia="仿宋"/>
          <w:color w:val="000000"/>
          <w:sz w:val="32"/>
          <w:szCs w:val="32"/>
          <w:lang w:val="en-US" w:eastAsia="zh-CN"/>
        </w:rPr>
      </w:pPr>
    </w:p>
    <w:p>
      <w:pPr>
        <w:spacing w:line="620" w:lineRule="exact"/>
        <w:ind w:left="0" w:leftChars="0" w:firstLine="0" w:firstLineChars="0"/>
        <w:jc w:val="both"/>
        <w:rPr>
          <w:rFonts w:hint="eastAsia" w:ascii="仿宋" w:hAnsi="仿宋" w:eastAsia="仿宋"/>
          <w:color w:val="000000"/>
          <w:sz w:val="32"/>
          <w:szCs w:val="32"/>
          <w:lang w:val="en-US" w:eastAsia="zh-CN"/>
        </w:rPr>
      </w:pPr>
    </w:p>
    <w:p>
      <w:pPr>
        <w:spacing w:line="620" w:lineRule="exact"/>
        <w:ind w:left="0" w:leftChars="0" w:firstLine="0" w:firstLineChars="0"/>
        <w:jc w:val="both"/>
        <w:rPr>
          <w:rFonts w:hint="eastAsia" w:ascii="仿宋" w:hAnsi="仿宋" w:eastAsia="仿宋"/>
          <w:color w:val="000000"/>
          <w:sz w:val="32"/>
          <w:szCs w:val="32"/>
          <w:lang w:val="en-US" w:eastAsia="zh-CN"/>
        </w:rPr>
      </w:pPr>
    </w:p>
    <w:p>
      <w:pPr>
        <w:spacing w:line="620" w:lineRule="exact"/>
        <w:ind w:left="0" w:leftChars="0" w:firstLine="0" w:firstLineChars="0"/>
        <w:jc w:val="both"/>
        <w:rPr>
          <w:rFonts w:hint="eastAsia" w:ascii="仿宋" w:hAnsi="仿宋" w:eastAsia="仿宋"/>
          <w:color w:val="000000"/>
          <w:sz w:val="32"/>
          <w:szCs w:val="32"/>
          <w:lang w:val="en-US" w:eastAsia="zh-CN"/>
        </w:rPr>
      </w:pPr>
    </w:p>
    <w:p>
      <w:pPr>
        <w:spacing w:line="620" w:lineRule="exact"/>
        <w:ind w:left="0" w:leftChars="0" w:firstLine="0" w:firstLineChars="0"/>
        <w:jc w:val="both"/>
        <w:rPr>
          <w:rFonts w:hint="eastAsia" w:ascii="仿宋" w:hAnsi="仿宋" w:eastAsia="仿宋"/>
          <w:color w:val="000000"/>
          <w:sz w:val="32"/>
          <w:szCs w:val="32"/>
          <w:lang w:val="en-US" w:eastAsia="zh-CN"/>
        </w:rPr>
      </w:pPr>
    </w:p>
    <w:p>
      <w:pPr>
        <w:spacing w:line="620" w:lineRule="exact"/>
        <w:ind w:left="0" w:leftChars="0" w:firstLine="0" w:firstLineChars="0"/>
        <w:jc w:val="both"/>
        <w:rPr>
          <w:rFonts w:hint="eastAsia" w:ascii="方正小标宋_GBK" w:hAnsi="方正小标宋_GBK" w:eastAsia="方正小标宋_GBK" w:cs="方正小标宋_GBK"/>
          <w:kern w:val="0"/>
          <w:sz w:val="44"/>
          <w:szCs w:val="44"/>
        </w:rPr>
      </w:pPr>
      <w:r>
        <w:rPr>
          <w:rFonts w:hint="eastAsia" w:ascii="宋体" w:hAnsi="宋体" w:eastAsia="方正小标宋_GBK" w:cs="方正小标宋_GBK"/>
          <w:bCs/>
          <w:kern w:val="0"/>
          <w:sz w:val="44"/>
          <w:szCs w:val="44"/>
        </w:rPr>
        <w:t>202</w:t>
      </w:r>
      <w:r>
        <w:rPr>
          <w:rFonts w:hint="eastAsia" w:ascii="宋体" w:hAnsi="宋体" w:eastAsia="方正小标宋_GBK" w:cs="方正小标宋_GBK"/>
          <w:bCs/>
          <w:kern w:val="0"/>
          <w:sz w:val="44"/>
          <w:szCs w:val="44"/>
          <w:lang w:val="en-US" w:eastAsia="zh-CN"/>
        </w:rPr>
        <w:t>2</w:t>
      </w:r>
      <w:r>
        <w:rPr>
          <w:rFonts w:hint="eastAsia" w:ascii="方正小标宋_GBK" w:hAnsi="方正小标宋_GBK" w:eastAsia="方正小标宋_GBK" w:cs="方正小标宋_GBK"/>
          <w:bCs/>
          <w:kern w:val="0"/>
          <w:sz w:val="44"/>
          <w:szCs w:val="44"/>
        </w:rPr>
        <w:t>年度雁江区整体支出绩效自评计分表</w:t>
      </w:r>
    </w:p>
    <w:p>
      <w:pPr>
        <w:spacing w:line="240" w:lineRule="auto"/>
        <w:ind w:left="0" w:leftChars="0" w:firstLine="0" w:firstLineChars="0"/>
        <w:jc w:val="both"/>
        <w:rPr>
          <w:rFonts w:hint="eastAsia"/>
          <w:sz w:val="22"/>
          <w:szCs w:val="20"/>
        </w:rPr>
      </w:pPr>
      <w:r>
        <w:rPr>
          <w:rFonts w:hint="eastAsia" w:ascii="方正仿宋_GBK" w:hAnsi="方正仿宋_GBK" w:eastAsia="方正仿宋_GBK" w:cs="方正仿宋_GBK"/>
          <w:color w:val="000000"/>
          <w:kern w:val="0"/>
          <w:sz w:val="22"/>
          <w:szCs w:val="20"/>
        </w:rPr>
        <w:t>单位名称：</w:t>
      </w:r>
      <w:r>
        <w:rPr>
          <w:rFonts w:hint="eastAsia" w:ascii="方正仿宋_GBK" w:hAnsi="方正仿宋_GBK" w:eastAsia="方正仿宋_GBK" w:cs="方正仿宋_GBK"/>
          <w:color w:val="000000"/>
          <w:kern w:val="0"/>
          <w:sz w:val="22"/>
          <w:szCs w:val="20"/>
          <w:lang w:eastAsia="zh-CN"/>
        </w:rPr>
        <w:t>资阳市雁江区渡口管理所</w:t>
      </w:r>
      <w:r>
        <w:rPr>
          <w:rFonts w:hint="eastAsia" w:ascii="方正仿宋_GBK" w:hAnsi="方正仿宋_GBK" w:eastAsia="方正仿宋_GBK" w:cs="方正仿宋_GBK"/>
          <w:color w:val="000000"/>
          <w:kern w:val="0"/>
          <w:sz w:val="22"/>
          <w:szCs w:val="20"/>
        </w:rPr>
        <w:t xml:space="preserve">    预算单位编码：</w:t>
      </w:r>
      <w:r>
        <w:rPr>
          <w:rFonts w:hint="eastAsia" w:ascii="宋体" w:hAnsi="宋体" w:eastAsia="方正仿宋_GBK" w:cs="方正仿宋_GBK"/>
          <w:color w:val="000000"/>
          <w:kern w:val="0"/>
          <w:sz w:val="22"/>
          <w:szCs w:val="20"/>
          <w:lang w:val="en-US" w:eastAsia="zh-CN"/>
        </w:rPr>
        <w:t>257001</w:t>
      </w:r>
      <w:r>
        <w:rPr>
          <w:rFonts w:hint="eastAsia" w:ascii="方正仿宋_GBK" w:hAnsi="方正仿宋_GBK" w:eastAsia="方正仿宋_GBK" w:cs="方正仿宋_GBK"/>
          <w:color w:val="000000"/>
          <w:kern w:val="0"/>
          <w:sz w:val="22"/>
          <w:szCs w:val="20"/>
        </w:rPr>
        <w:t xml:space="preserve">       自评等级：</w:t>
      </w:r>
      <w:r>
        <w:rPr>
          <w:rFonts w:hint="eastAsia" w:ascii="方正仿宋_GBK" w:hAnsi="方正仿宋_GBK" w:eastAsia="方正仿宋_GBK" w:cs="方正仿宋_GBK"/>
          <w:color w:val="000000"/>
          <w:kern w:val="0"/>
          <w:sz w:val="22"/>
          <w:szCs w:val="20"/>
          <w:lang w:eastAsia="zh-CN"/>
        </w:rPr>
        <w:t>良</w:t>
      </w:r>
    </w:p>
    <w:tbl>
      <w:tblPr>
        <w:tblStyle w:val="12"/>
        <w:tblpPr w:leftFromText="180" w:rightFromText="180" w:vertAnchor="text" w:horzAnchor="page" w:tblpXSpec="center" w:tblpY="1741"/>
        <w:tblOverlap w:val="never"/>
        <w:tblW w:w="5550" w:type="pct"/>
        <w:jc w:val="center"/>
        <w:tblLayout w:type="fixed"/>
        <w:tblCellMar>
          <w:top w:w="0" w:type="dxa"/>
          <w:left w:w="108" w:type="dxa"/>
          <w:bottom w:w="0" w:type="dxa"/>
          <w:right w:w="108" w:type="dxa"/>
        </w:tblCellMar>
      </w:tblPr>
      <w:tblGrid>
        <w:gridCol w:w="894"/>
        <w:gridCol w:w="1026"/>
        <w:gridCol w:w="1019"/>
        <w:gridCol w:w="1055"/>
        <w:gridCol w:w="1314"/>
        <w:gridCol w:w="946"/>
        <w:gridCol w:w="3206"/>
      </w:tblGrid>
      <w:tr>
        <w:tblPrEx>
          <w:tblCellMar>
            <w:top w:w="0" w:type="dxa"/>
            <w:left w:w="108" w:type="dxa"/>
            <w:bottom w:w="0" w:type="dxa"/>
            <w:right w:w="108" w:type="dxa"/>
          </w:tblCellMar>
        </w:tblPrEx>
        <w:trPr>
          <w:trHeight w:val="660" w:hRule="atLeast"/>
          <w:tblHeader/>
          <w:jc w:val="center"/>
        </w:trPr>
        <w:tc>
          <w:tcPr>
            <w:tcW w:w="472" w:type="pct"/>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both"/>
              <w:rPr>
                <w:rFonts w:hint="eastAsia" w:ascii="方正仿宋_GBK" w:hAnsi="方正仿宋_GBK" w:eastAsia="方正仿宋_GBK" w:cs="方正仿宋_GBK"/>
                <w:b/>
                <w:bCs/>
                <w:spacing w:val="-20"/>
                <w:kern w:val="0"/>
                <w:sz w:val="20"/>
                <w:szCs w:val="20"/>
              </w:rPr>
            </w:pPr>
            <w:r>
              <w:rPr>
                <w:rFonts w:hint="eastAsia" w:ascii="方正仿宋_GBK" w:hAnsi="方正仿宋_GBK" w:eastAsia="方正仿宋_GBK" w:cs="方正仿宋_GBK"/>
                <w:b/>
                <w:bCs/>
                <w:spacing w:val="-20"/>
                <w:kern w:val="0"/>
                <w:sz w:val="20"/>
                <w:szCs w:val="20"/>
              </w:rPr>
              <w:t>一级指标</w:t>
            </w:r>
          </w:p>
        </w:tc>
        <w:tc>
          <w:tcPr>
            <w:tcW w:w="542" w:type="pct"/>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spacing w:val="-20"/>
                <w:kern w:val="0"/>
                <w:sz w:val="20"/>
                <w:szCs w:val="20"/>
              </w:rPr>
            </w:pPr>
            <w:r>
              <w:rPr>
                <w:rFonts w:hint="eastAsia" w:ascii="方正仿宋_GBK" w:hAnsi="方正仿宋_GBK" w:eastAsia="方正仿宋_GBK" w:cs="方正仿宋_GBK"/>
                <w:b/>
                <w:bCs/>
                <w:spacing w:val="-20"/>
                <w:kern w:val="0"/>
                <w:sz w:val="20"/>
                <w:szCs w:val="20"/>
              </w:rPr>
              <w:t>二级指标</w:t>
            </w:r>
          </w:p>
        </w:tc>
        <w:tc>
          <w:tcPr>
            <w:tcW w:w="538" w:type="pct"/>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spacing w:val="-20"/>
                <w:kern w:val="0"/>
                <w:sz w:val="20"/>
                <w:szCs w:val="20"/>
              </w:rPr>
            </w:pPr>
            <w:r>
              <w:rPr>
                <w:rFonts w:hint="eastAsia" w:ascii="方正仿宋_GBK" w:hAnsi="方正仿宋_GBK" w:eastAsia="方正仿宋_GBK" w:cs="方正仿宋_GBK"/>
                <w:b/>
                <w:bCs/>
                <w:spacing w:val="-20"/>
                <w:kern w:val="0"/>
                <w:sz w:val="20"/>
                <w:szCs w:val="20"/>
              </w:rPr>
              <w:t>三级指标</w:t>
            </w:r>
          </w:p>
        </w:tc>
        <w:tc>
          <w:tcPr>
            <w:tcW w:w="557" w:type="pct"/>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spacing w:val="-20"/>
                <w:kern w:val="0"/>
                <w:sz w:val="20"/>
                <w:szCs w:val="20"/>
              </w:rPr>
            </w:pPr>
            <w:r>
              <w:rPr>
                <w:rFonts w:hint="eastAsia" w:ascii="方正仿宋_GBK" w:hAnsi="方正仿宋_GBK" w:eastAsia="方正仿宋_GBK" w:cs="方正仿宋_GBK"/>
                <w:b/>
                <w:bCs/>
                <w:spacing w:val="-20"/>
                <w:kern w:val="0"/>
                <w:sz w:val="20"/>
                <w:szCs w:val="20"/>
              </w:rPr>
              <w:t>指标解释</w:t>
            </w:r>
          </w:p>
        </w:tc>
        <w:tc>
          <w:tcPr>
            <w:tcW w:w="694" w:type="pct"/>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spacing w:val="-20"/>
                <w:kern w:val="0"/>
                <w:sz w:val="20"/>
                <w:szCs w:val="20"/>
              </w:rPr>
            </w:pPr>
            <w:r>
              <w:rPr>
                <w:rFonts w:hint="eastAsia" w:ascii="方正仿宋_GBK" w:hAnsi="方正仿宋_GBK" w:eastAsia="方正仿宋_GBK" w:cs="方正仿宋_GBK"/>
                <w:b/>
                <w:bCs/>
                <w:spacing w:val="-20"/>
                <w:kern w:val="0"/>
                <w:sz w:val="20"/>
                <w:szCs w:val="20"/>
              </w:rPr>
              <w:t>指标说明(评价计分标准）</w:t>
            </w:r>
          </w:p>
        </w:tc>
        <w:tc>
          <w:tcPr>
            <w:tcW w:w="500" w:type="pct"/>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spacing w:val="-20"/>
                <w:kern w:val="0"/>
                <w:sz w:val="20"/>
                <w:szCs w:val="20"/>
              </w:rPr>
            </w:pPr>
            <w:r>
              <w:rPr>
                <w:rFonts w:hint="eastAsia" w:ascii="方正仿宋_GBK" w:hAnsi="方正仿宋_GBK" w:eastAsia="方正仿宋_GBK" w:cs="方正仿宋_GBK"/>
                <w:b/>
                <w:bCs/>
                <w:spacing w:val="-20"/>
                <w:kern w:val="0"/>
                <w:sz w:val="20"/>
                <w:szCs w:val="20"/>
              </w:rPr>
              <w:t>自评</w:t>
            </w:r>
          </w:p>
          <w:p>
            <w:pPr>
              <w:widowControl/>
              <w:jc w:val="center"/>
              <w:rPr>
                <w:rFonts w:hint="eastAsia" w:ascii="方正仿宋_GBK" w:hAnsi="方正仿宋_GBK" w:eastAsia="方正仿宋_GBK" w:cs="方正仿宋_GBK"/>
                <w:b/>
                <w:bCs/>
                <w:spacing w:val="-20"/>
                <w:kern w:val="0"/>
                <w:sz w:val="20"/>
                <w:szCs w:val="20"/>
              </w:rPr>
            </w:pPr>
            <w:r>
              <w:rPr>
                <w:rFonts w:hint="eastAsia" w:ascii="方正仿宋_GBK" w:hAnsi="方正仿宋_GBK" w:eastAsia="方正仿宋_GBK" w:cs="方正仿宋_GBK"/>
                <w:b/>
                <w:bCs/>
                <w:spacing w:val="-20"/>
                <w:kern w:val="0"/>
                <w:sz w:val="20"/>
                <w:szCs w:val="20"/>
              </w:rPr>
              <w:t>分数</w:t>
            </w:r>
          </w:p>
        </w:tc>
        <w:tc>
          <w:tcPr>
            <w:tcW w:w="1694" w:type="pct"/>
            <w:tcBorders>
              <w:top w:val="single" w:color="auto" w:sz="4" w:space="0"/>
              <w:left w:val="nil"/>
              <w:bottom w:val="single" w:color="auto" w:sz="4" w:space="0"/>
              <w:right w:val="single" w:color="auto" w:sz="4" w:space="0"/>
            </w:tcBorders>
            <w:vAlign w:val="center"/>
          </w:tcPr>
          <w:p>
            <w:pPr>
              <w:widowControl/>
              <w:jc w:val="center"/>
              <w:rPr>
                <w:rFonts w:hint="eastAsia" w:ascii="方正仿宋_GBK" w:hAnsi="方正仿宋_GBK" w:eastAsia="方正仿宋_GBK" w:cs="方正仿宋_GBK"/>
                <w:b/>
                <w:bCs/>
                <w:spacing w:val="-20"/>
                <w:kern w:val="0"/>
                <w:sz w:val="20"/>
                <w:szCs w:val="20"/>
              </w:rPr>
            </w:pPr>
            <w:r>
              <w:rPr>
                <w:rFonts w:hint="eastAsia" w:ascii="方正仿宋_GBK" w:hAnsi="方正仿宋_GBK" w:eastAsia="方正仿宋_GBK" w:cs="方正仿宋_GBK"/>
                <w:b/>
                <w:bCs/>
                <w:spacing w:val="-20"/>
                <w:kern w:val="0"/>
                <w:sz w:val="20"/>
                <w:szCs w:val="20"/>
              </w:rPr>
              <w:t>自评</w:t>
            </w:r>
          </w:p>
          <w:p>
            <w:pPr>
              <w:widowControl/>
              <w:jc w:val="center"/>
              <w:rPr>
                <w:rFonts w:hint="eastAsia" w:ascii="方正仿宋_GBK" w:hAnsi="方正仿宋_GBK" w:eastAsia="方正仿宋_GBK" w:cs="方正仿宋_GBK"/>
                <w:b/>
                <w:bCs/>
                <w:spacing w:val="-20"/>
                <w:kern w:val="0"/>
                <w:sz w:val="20"/>
                <w:szCs w:val="20"/>
              </w:rPr>
            </w:pPr>
            <w:r>
              <w:rPr>
                <w:rFonts w:hint="eastAsia" w:ascii="方正仿宋_GBK" w:hAnsi="方正仿宋_GBK" w:eastAsia="方正仿宋_GBK" w:cs="方正仿宋_GBK"/>
                <w:b/>
                <w:bCs/>
                <w:spacing w:val="-20"/>
                <w:kern w:val="0"/>
                <w:sz w:val="20"/>
                <w:szCs w:val="20"/>
              </w:rPr>
              <w:t>依据及说明</w:t>
            </w:r>
          </w:p>
        </w:tc>
      </w:tr>
      <w:tr>
        <w:tblPrEx>
          <w:tblCellMar>
            <w:top w:w="0" w:type="dxa"/>
            <w:left w:w="108" w:type="dxa"/>
            <w:bottom w:w="0" w:type="dxa"/>
            <w:right w:w="108" w:type="dxa"/>
          </w:tblCellMar>
        </w:tblPrEx>
        <w:trPr>
          <w:trHeight w:val="1695" w:hRule="atLeast"/>
          <w:jc w:val="center"/>
        </w:trPr>
        <w:tc>
          <w:tcPr>
            <w:tcW w:w="472" w:type="pct"/>
            <w:vMerge w:val="restart"/>
            <w:tcBorders>
              <w:top w:val="nil"/>
              <w:left w:val="single" w:color="auto" w:sz="4" w:space="0"/>
              <w:bottom w:val="single" w:color="000000" w:sz="4" w:space="0"/>
              <w:right w:val="single" w:color="auto" w:sz="4" w:space="0"/>
            </w:tcBorders>
            <w:noWrap/>
            <w:textDirection w:val="tbRlV"/>
            <w:vAlign w:val="center"/>
          </w:tcPr>
          <w:p>
            <w:pPr>
              <w:widowControl/>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投入（</w:t>
            </w:r>
            <w:r>
              <w:rPr>
                <w:rFonts w:hint="eastAsia" w:ascii="宋体" w:hAnsi="宋体" w:eastAsia="方正仿宋_GBK" w:cs="方正仿宋_GBK"/>
                <w:kern w:val="0"/>
                <w:sz w:val="20"/>
                <w:szCs w:val="20"/>
              </w:rPr>
              <w:t>20</w:t>
            </w:r>
            <w:r>
              <w:rPr>
                <w:rFonts w:hint="eastAsia" w:ascii="方正仿宋_GBK" w:hAnsi="方正仿宋_GBK" w:eastAsia="方正仿宋_GBK" w:cs="方正仿宋_GBK"/>
                <w:kern w:val="0"/>
                <w:sz w:val="20"/>
                <w:szCs w:val="20"/>
              </w:rPr>
              <w:t>分）</w:t>
            </w:r>
          </w:p>
        </w:tc>
        <w:tc>
          <w:tcPr>
            <w:tcW w:w="542" w:type="pct"/>
            <w:vMerge w:val="restart"/>
            <w:tcBorders>
              <w:top w:val="nil"/>
              <w:left w:val="single" w:color="auto" w:sz="4" w:space="0"/>
              <w:bottom w:val="single" w:color="auto" w:sz="4" w:space="0"/>
              <w:right w:val="single" w:color="auto" w:sz="4" w:space="0"/>
            </w:tcBorders>
            <w:vAlign w:val="center"/>
          </w:tcPr>
          <w:p>
            <w:pPr>
              <w:widowControl/>
              <w:ind w:left="0" w:leftChars="0" w:firstLine="0" w:firstLineChars="0"/>
              <w:jc w:val="both"/>
              <w:rPr>
                <w:rFonts w:hint="eastAsia" w:ascii="方正仿宋_GBK" w:hAnsi="方正仿宋_GBK" w:eastAsia="方正仿宋_GBK" w:cs="方正仿宋_GBK"/>
                <w:spacing w:val="-20"/>
                <w:kern w:val="0"/>
                <w:sz w:val="20"/>
                <w:szCs w:val="20"/>
              </w:rPr>
            </w:pPr>
            <w:r>
              <w:rPr>
                <w:rFonts w:hint="eastAsia" w:ascii="方正仿宋_GBK" w:hAnsi="方正仿宋_GBK" w:eastAsia="方正仿宋_GBK" w:cs="方正仿宋_GBK"/>
                <w:spacing w:val="-20"/>
                <w:kern w:val="0"/>
                <w:sz w:val="20"/>
                <w:szCs w:val="20"/>
              </w:rPr>
              <w:t>目标设定（</w:t>
            </w:r>
            <w:r>
              <w:rPr>
                <w:rFonts w:hint="eastAsia" w:ascii="宋体" w:hAnsi="宋体" w:eastAsia="方正仿宋_GBK" w:cs="方正仿宋_GBK"/>
                <w:spacing w:val="-20"/>
                <w:kern w:val="0"/>
                <w:sz w:val="20"/>
                <w:szCs w:val="20"/>
              </w:rPr>
              <w:t>5</w:t>
            </w:r>
            <w:r>
              <w:rPr>
                <w:rFonts w:hint="eastAsia" w:ascii="方正仿宋_GBK" w:hAnsi="方正仿宋_GBK" w:eastAsia="方正仿宋_GBK" w:cs="方正仿宋_GBK"/>
                <w:spacing w:val="-20"/>
                <w:kern w:val="0"/>
                <w:sz w:val="20"/>
                <w:szCs w:val="20"/>
              </w:rPr>
              <w:t>分）</w:t>
            </w: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绩效目标合理性（</w:t>
            </w:r>
            <w:r>
              <w:rPr>
                <w:rFonts w:hint="eastAsia" w:ascii="宋体" w:hAnsi="宋体" w:eastAsia="方正仿宋_GBK" w:cs="方正仿宋_GBK"/>
                <w:kern w:val="0"/>
                <w:sz w:val="20"/>
                <w:szCs w:val="20"/>
              </w:rPr>
              <w:t>2</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部门（单位）所设立的整体绩效目标依据是否充分，是否符合客观实际，用以反映和考核部门（单位）整体绩效目标与部门履职、年度工作任务的相符性情况。</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①是否符合国家法律法规、国民经济和社会发展总体规划；(</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②是否符合部门“三定”方案确定的职责；（</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③是否符合部门制定的中长期实施规划。（</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分）</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2</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0"/>
                <w:szCs w:val="20"/>
                <w:lang w:eastAsia="zh-CN"/>
              </w:rPr>
            </w:pPr>
            <w:r>
              <w:rPr>
                <w:rFonts w:hint="eastAsia" w:ascii="方正仿宋_GBK" w:hAnsi="方正仿宋_GBK" w:eastAsia="方正仿宋_GBK" w:cs="方正仿宋_GBK"/>
                <w:kern w:val="0"/>
                <w:sz w:val="20"/>
                <w:szCs w:val="20"/>
                <w:lang w:eastAsia="zh-CN"/>
              </w:rPr>
              <w:t>单位人由于我单数较少，</w:t>
            </w:r>
          </w:p>
          <w:p>
            <w:pPr>
              <w:widowControl/>
              <w:jc w:val="left"/>
              <w:rPr>
                <w:rFonts w:hint="eastAsia" w:ascii="方正仿宋_GBK" w:hAnsi="方正仿宋_GBK" w:eastAsia="方正仿宋_GBK" w:cs="方正仿宋_GBK"/>
                <w:kern w:val="0"/>
                <w:sz w:val="20"/>
                <w:szCs w:val="20"/>
                <w:lang w:eastAsia="zh-CN"/>
              </w:rPr>
            </w:pPr>
            <w:r>
              <w:rPr>
                <w:rFonts w:hint="eastAsia" w:ascii="方正仿宋_GBK" w:hAnsi="方正仿宋_GBK" w:eastAsia="方正仿宋_GBK" w:cs="方正仿宋_GBK"/>
                <w:kern w:val="0"/>
                <w:sz w:val="20"/>
                <w:szCs w:val="20"/>
                <w:lang w:eastAsia="zh-CN"/>
              </w:rPr>
              <w:t>符合“三定”方案确定的职责</w:t>
            </w:r>
          </w:p>
        </w:tc>
      </w:tr>
      <w:tr>
        <w:tblPrEx>
          <w:tblCellMar>
            <w:top w:w="0" w:type="dxa"/>
            <w:left w:w="108" w:type="dxa"/>
            <w:bottom w:w="0" w:type="dxa"/>
            <w:right w:w="108" w:type="dxa"/>
          </w:tblCellMar>
        </w:tblPrEx>
        <w:trPr>
          <w:trHeight w:val="1845" w:hRule="atLeast"/>
          <w:jc w:val="center"/>
        </w:trPr>
        <w:tc>
          <w:tcPr>
            <w:tcW w:w="47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pacing w:val="-20"/>
                <w:kern w:val="0"/>
                <w:sz w:val="20"/>
                <w:szCs w:val="20"/>
              </w:rPr>
            </w:pP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绩效指标明确性（</w:t>
            </w:r>
            <w:r>
              <w:rPr>
                <w:rFonts w:hint="eastAsia" w:ascii="宋体" w:hAnsi="宋体" w:eastAsia="方正仿宋_GBK" w:cs="方正仿宋_GBK"/>
                <w:kern w:val="0"/>
                <w:sz w:val="20"/>
                <w:szCs w:val="20"/>
              </w:rPr>
              <w:t>3</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部门（单位）依据整体绩效目标所设定的绩效指标是否清晰、细化、可衡量，用以反映和考核部门（单位）整体绩效目标的明细化情况。</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spacing w:val="-16"/>
                <w:kern w:val="0"/>
                <w:sz w:val="20"/>
                <w:szCs w:val="20"/>
              </w:rPr>
            </w:pPr>
            <w:r>
              <w:rPr>
                <w:rFonts w:hint="eastAsia" w:ascii="方正仿宋_GBK" w:hAnsi="方正仿宋_GBK" w:eastAsia="方正仿宋_GBK" w:cs="方正仿宋_GBK"/>
                <w:kern w:val="0"/>
                <w:sz w:val="20"/>
                <w:szCs w:val="20"/>
              </w:rPr>
              <w:t>①是</w:t>
            </w:r>
            <w:r>
              <w:rPr>
                <w:rFonts w:hint="eastAsia" w:ascii="方正仿宋_GBK" w:hAnsi="方正仿宋_GBK" w:eastAsia="方正仿宋_GBK" w:cs="方正仿宋_GBK"/>
                <w:spacing w:val="-16"/>
                <w:kern w:val="0"/>
                <w:sz w:val="20"/>
                <w:szCs w:val="20"/>
              </w:rPr>
              <w:t>否将部门整体的绩效目标细化分解为具体的工作任务；（</w:t>
            </w:r>
            <w:r>
              <w:rPr>
                <w:rFonts w:hint="eastAsia" w:ascii="宋体" w:hAnsi="宋体" w:eastAsia="方正仿宋_GBK" w:cs="方正仿宋_GBK"/>
                <w:spacing w:val="-16"/>
                <w:kern w:val="0"/>
                <w:sz w:val="20"/>
                <w:szCs w:val="20"/>
              </w:rPr>
              <w:t>1</w:t>
            </w:r>
            <w:r>
              <w:rPr>
                <w:rFonts w:hint="eastAsia" w:ascii="方正仿宋_GBK" w:hAnsi="方正仿宋_GBK" w:eastAsia="方正仿宋_GBK" w:cs="方正仿宋_GBK"/>
                <w:spacing w:val="-16"/>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②是否通过清晰、可衡量的指标值予以体现;(</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分）    ③是否与部门年度的任务数或计划数相对应；（</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④是否与本年度部门预算资金相匹配。（</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分）</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3</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spacing w:val="-11"/>
                <w:w w:val="99"/>
                <w:sz w:val="20"/>
              </w:rPr>
            </w:pPr>
            <w:r>
              <w:rPr>
                <w:rFonts w:hint="eastAsia" w:ascii="方正仿宋_GBK" w:hAnsi="方正仿宋_GBK" w:eastAsia="方正仿宋_GBK" w:cs="方正仿宋_GBK"/>
                <w:spacing w:val="-11"/>
                <w:w w:val="99"/>
                <w:sz w:val="20"/>
              </w:rPr>
              <w:t>单位年度计划及总结中有相关</w:t>
            </w:r>
          </w:p>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spacing w:val="-11"/>
                <w:w w:val="99"/>
                <w:sz w:val="20"/>
              </w:rPr>
              <w:t>任务，目标分为了具体的指标</w:t>
            </w:r>
          </w:p>
        </w:tc>
      </w:tr>
      <w:tr>
        <w:tblPrEx>
          <w:tblCellMar>
            <w:top w:w="0" w:type="dxa"/>
            <w:left w:w="108" w:type="dxa"/>
            <w:bottom w:w="0" w:type="dxa"/>
            <w:right w:w="108" w:type="dxa"/>
          </w:tblCellMar>
        </w:tblPrEx>
        <w:trPr>
          <w:trHeight w:val="1530" w:hRule="atLeast"/>
          <w:jc w:val="center"/>
        </w:trPr>
        <w:tc>
          <w:tcPr>
            <w:tcW w:w="47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restart"/>
            <w:tcBorders>
              <w:top w:val="nil"/>
              <w:left w:val="single" w:color="auto" w:sz="4" w:space="0"/>
              <w:bottom w:val="single" w:color="000000" w:sz="4" w:space="0"/>
              <w:right w:val="single" w:color="auto" w:sz="4" w:space="0"/>
            </w:tcBorders>
            <w:vAlign w:val="center"/>
          </w:tcPr>
          <w:p>
            <w:pPr>
              <w:widowControl/>
              <w:ind w:left="0" w:leftChars="0" w:firstLine="0" w:firstLineChars="0"/>
              <w:jc w:val="both"/>
              <w:rPr>
                <w:rFonts w:hint="eastAsia" w:ascii="方正仿宋_GBK" w:hAnsi="方正仿宋_GBK" w:eastAsia="方正仿宋_GBK" w:cs="方正仿宋_GBK"/>
                <w:spacing w:val="-20"/>
                <w:kern w:val="0"/>
                <w:sz w:val="20"/>
                <w:szCs w:val="20"/>
              </w:rPr>
            </w:pPr>
            <w:r>
              <w:rPr>
                <w:rFonts w:hint="eastAsia" w:ascii="方正仿宋_GBK" w:hAnsi="方正仿宋_GBK" w:eastAsia="方正仿宋_GBK" w:cs="方正仿宋_GBK"/>
                <w:spacing w:val="-20"/>
                <w:kern w:val="0"/>
                <w:sz w:val="20"/>
                <w:szCs w:val="20"/>
              </w:rPr>
              <w:t>预算配置（</w:t>
            </w:r>
            <w:r>
              <w:rPr>
                <w:rFonts w:hint="eastAsia" w:ascii="宋体" w:hAnsi="宋体" w:eastAsia="方正仿宋_GBK" w:cs="方正仿宋_GBK"/>
                <w:spacing w:val="-20"/>
                <w:kern w:val="0"/>
                <w:sz w:val="20"/>
                <w:szCs w:val="20"/>
              </w:rPr>
              <w:t>15</w:t>
            </w:r>
            <w:r>
              <w:rPr>
                <w:rFonts w:hint="eastAsia" w:ascii="方正仿宋_GBK" w:hAnsi="方正仿宋_GBK" w:eastAsia="方正仿宋_GBK" w:cs="方正仿宋_GBK"/>
                <w:spacing w:val="-20"/>
                <w:kern w:val="0"/>
                <w:sz w:val="20"/>
                <w:szCs w:val="20"/>
              </w:rPr>
              <w:t>分）</w:t>
            </w: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在职人员控制率（</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部门（单位）本年度实际在职人员数与编制数的比率，用以反映和考核部门（单位）对人员成本的控制程度。</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在职人员控制率=（在职人员数/编制数）×</w:t>
            </w:r>
            <w:r>
              <w:rPr>
                <w:rFonts w:hint="eastAsia" w:ascii="宋体" w:hAnsi="宋体" w:eastAsia="方正仿宋_GBK" w:cs="方正仿宋_GBK"/>
                <w:kern w:val="0"/>
                <w:sz w:val="20"/>
                <w:szCs w:val="20"/>
              </w:rPr>
              <w:t>100</w:t>
            </w:r>
            <w:r>
              <w:rPr>
                <w:rFonts w:hint="eastAsia" w:ascii="方正仿宋_GBK" w:hAnsi="方正仿宋_GBK" w:eastAsia="方正仿宋_GBK" w:cs="方正仿宋_GBK"/>
                <w:kern w:val="0"/>
                <w:sz w:val="20"/>
                <w:szCs w:val="20"/>
              </w:rPr>
              <w:t>%。（小于或等于</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计</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分，否则按比例计分）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在职人员数：部门（单位）实际在职人数，以财政部确定的部门决算编制口径为准。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编制数：机构编制部门核定批复的部门（单位）的人员编制数。</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0</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方正仿宋_GBK" w:hAnsi="方正仿宋_GBK" w:eastAsia="方正仿宋_GBK" w:cs="方正仿宋_GBK"/>
                <w:kern w:val="0"/>
                <w:sz w:val="20"/>
                <w:szCs w:val="20"/>
                <w:lang w:eastAsia="zh-CN"/>
              </w:rPr>
              <w:t>在职人员控制率</w:t>
            </w:r>
            <w:r>
              <w:rPr>
                <w:rFonts w:hint="eastAsia" w:ascii="方正仿宋_GBK" w:hAnsi="方正仿宋_GBK" w:eastAsia="方正仿宋_GBK" w:cs="方正仿宋_GBK"/>
                <w:kern w:val="0"/>
                <w:sz w:val="20"/>
                <w:szCs w:val="20"/>
                <w:lang w:val="en-US" w:eastAsia="zh-CN"/>
              </w:rPr>
              <w:t>=</w:t>
            </w:r>
            <w:r>
              <w:rPr>
                <w:rFonts w:hint="eastAsia" w:ascii="宋体" w:hAnsi="宋体" w:eastAsia="方正仿宋_GBK" w:cs="方正仿宋_GBK"/>
                <w:kern w:val="0"/>
                <w:sz w:val="20"/>
                <w:szCs w:val="20"/>
                <w:lang w:val="en-US" w:eastAsia="zh-CN"/>
              </w:rPr>
              <w:t>6</w:t>
            </w:r>
            <w:r>
              <w:rPr>
                <w:rFonts w:hint="eastAsia" w:ascii="方正仿宋_GBK" w:hAnsi="方正仿宋_GBK" w:eastAsia="方正仿宋_GBK" w:cs="方正仿宋_GBK"/>
                <w:kern w:val="0"/>
                <w:sz w:val="20"/>
                <w:szCs w:val="20"/>
                <w:lang w:val="en-US" w:eastAsia="zh-CN"/>
              </w:rPr>
              <w:t>/</w:t>
            </w:r>
            <w:r>
              <w:rPr>
                <w:rFonts w:hint="eastAsia" w:ascii="宋体" w:hAnsi="宋体" w:eastAsia="方正仿宋_GBK" w:cs="方正仿宋_GBK"/>
                <w:kern w:val="0"/>
                <w:sz w:val="20"/>
                <w:szCs w:val="20"/>
                <w:lang w:val="en-US" w:eastAsia="zh-CN"/>
              </w:rPr>
              <w:t>3</w:t>
            </w:r>
            <w:r>
              <w:rPr>
                <w:rFonts w:hint="eastAsia" w:ascii="方正仿宋_GBK" w:hAnsi="方正仿宋_GBK" w:eastAsia="方正仿宋_GBK" w:cs="方正仿宋_GBK"/>
                <w:kern w:val="0"/>
                <w:sz w:val="20"/>
                <w:szCs w:val="20"/>
                <w:lang w:val="en-US" w:eastAsia="zh-CN"/>
              </w:rPr>
              <w:t>=</w:t>
            </w:r>
            <w:r>
              <w:rPr>
                <w:rFonts w:hint="eastAsia" w:ascii="宋体" w:hAnsi="宋体" w:eastAsia="方正仿宋_GBK" w:cs="方正仿宋_GBK"/>
                <w:kern w:val="0"/>
                <w:sz w:val="20"/>
                <w:szCs w:val="20"/>
                <w:lang w:val="en-US" w:eastAsia="zh-CN"/>
              </w:rPr>
              <w:t>200</w:t>
            </w:r>
            <w:r>
              <w:rPr>
                <w:rFonts w:hint="eastAsia" w:ascii="方正仿宋_GBK" w:hAnsi="方正仿宋_GBK" w:eastAsia="方正仿宋_GBK" w:cs="方正仿宋_GBK"/>
                <w:kern w:val="0"/>
                <w:sz w:val="20"/>
                <w:szCs w:val="20"/>
                <w:lang w:val="en-US" w:eastAsia="zh-CN"/>
              </w:rPr>
              <w:t>%</w:t>
            </w:r>
          </w:p>
        </w:tc>
      </w:tr>
      <w:tr>
        <w:tblPrEx>
          <w:tblCellMar>
            <w:top w:w="0" w:type="dxa"/>
            <w:left w:w="108" w:type="dxa"/>
            <w:bottom w:w="0" w:type="dxa"/>
            <w:right w:w="108" w:type="dxa"/>
          </w:tblCellMar>
        </w:tblPrEx>
        <w:trPr>
          <w:trHeight w:val="1605" w:hRule="atLeast"/>
          <w:jc w:val="center"/>
        </w:trPr>
        <w:tc>
          <w:tcPr>
            <w:tcW w:w="47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spacing w:val="-20"/>
                <w:kern w:val="0"/>
                <w:sz w:val="20"/>
                <w:szCs w:val="20"/>
              </w:rPr>
            </w:pP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“三公经费”变动率（</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部门（单位）本年度“三公经费”预算数与上年度“三公经费”预算数的变动比率，用以反映和考核部门（单位）对控制重点行政成本的努力程度。</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“三公经费”变动率=[（本年度“三公经费”总额-上年度“三公经费”总额）/上年度“三公经费”总额]×</w:t>
            </w:r>
            <w:r>
              <w:rPr>
                <w:rFonts w:hint="eastAsia" w:ascii="宋体" w:hAnsi="宋体" w:eastAsia="方正仿宋_GBK" w:cs="方正仿宋_GBK"/>
                <w:kern w:val="0"/>
                <w:sz w:val="20"/>
                <w:szCs w:val="20"/>
              </w:rPr>
              <w:t>100</w:t>
            </w:r>
            <w:r>
              <w:rPr>
                <w:rFonts w:hint="eastAsia" w:ascii="方正仿宋_GBK" w:hAnsi="方正仿宋_GBK" w:eastAsia="方正仿宋_GBK" w:cs="方正仿宋_GBK"/>
                <w:kern w:val="0"/>
                <w:sz w:val="20"/>
                <w:szCs w:val="20"/>
              </w:rPr>
              <w:t>%。（下降的计</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分，增加的按比例扣减）</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“三公经费”：年度预算安排的因公出国（境）费、公务车辆购置及运行费和公务招待费。</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5</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0"/>
                <w:szCs w:val="20"/>
                <w:lang w:eastAsia="zh-CN"/>
              </w:rPr>
              <w:t>无三公经费发生</w:t>
            </w:r>
          </w:p>
        </w:tc>
      </w:tr>
      <w:tr>
        <w:tblPrEx>
          <w:tblCellMar>
            <w:top w:w="0" w:type="dxa"/>
            <w:left w:w="108" w:type="dxa"/>
            <w:bottom w:w="0" w:type="dxa"/>
            <w:right w:w="108" w:type="dxa"/>
          </w:tblCellMar>
        </w:tblPrEx>
        <w:trPr>
          <w:trHeight w:val="1956" w:hRule="atLeast"/>
          <w:jc w:val="center"/>
        </w:trPr>
        <w:tc>
          <w:tcPr>
            <w:tcW w:w="47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spacing w:val="-20"/>
                <w:kern w:val="0"/>
                <w:sz w:val="20"/>
                <w:szCs w:val="20"/>
              </w:rPr>
            </w:pP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重点支出安排率（</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部门（单位）本年度预算安排的重点项目支出与部门项目总支出的比率，用以反映和考核部门（单位）对履行主要职责或完成重点任务的保障程度。</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重点支出安排率=（重点项目支出/项目总支出）×</w:t>
            </w:r>
            <w:r>
              <w:rPr>
                <w:rFonts w:hint="eastAsia" w:ascii="宋体" w:hAnsi="宋体" w:eastAsia="方正仿宋_GBK" w:cs="方正仿宋_GBK"/>
                <w:kern w:val="0"/>
                <w:sz w:val="20"/>
                <w:szCs w:val="20"/>
              </w:rPr>
              <w:t>100</w:t>
            </w:r>
            <w:r>
              <w:rPr>
                <w:rFonts w:hint="eastAsia" w:ascii="方正仿宋_GBK" w:hAnsi="方正仿宋_GBK" w:eastAsia="方正仿宋_GBK" w:cs="方正仿宋_GBK"/>
                <w:kern w:val="0"/>
                <w:sz w:val="20"/>
                <w:szCs w:val="20"/>
              </w:rPr>
              <w:t>%。（实际得分=支出安排率*</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重点项目支出：部门（单位）年度预算安排的，与本部门履职和发展密切相关、具有明显社会和经济影响、</w:t>
            </w:r>
            <w:r>
              <w:rPr>
                <w:rFonts w:hint="eastAsia" w:ascii="方正仿宋_GBK" w:hAnsi="方正仿宋_GBK" w:eastAsia="方正仿宋_GBK" w:cs="方正仿宋_GBK"/>
                <w:kern w:val="0"/>
                <w:sz w:val="20"/>
                <w:szCs w:val="20"/>
                <w:lang w:eastAsia="zh-CN"/>
              </w:rPr>
              <w:t>党委、政府</w:t>
            </w:r>
            <w:r>
              <w:rPr>
                <w:rFonts w:hint="eastAsia" w:ascii="方正仿宋_GBK" w:hAnsi="方正仿宋_GBK" w:eastAsia="方正仿宋_GBK" w:cs="方正仿宋_GBK"/>
                <w:kern w:val="0"/>
                <w:sz w:val="20"/>
                <w:szCs w:val="20"/>
              </w:rPr>
              <w:t>关心或社会比较关注的项目支出总额。</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项目总支出：部门（单位）年度预算安排的项目支出总额。</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5</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0"/>
                <w:szCs w:val="20"/>
                <w:lang w:eastAsia="zh-CN"/>
              </w:rPr>
            </w:pPr>
            <w:r>
              <w:rPr>
                <w:rFonts w:hint="eastAsia" w:ascii="方正仿宋_GBK" w:hAnsi="方正仿宋_GBK" w:eastAsia="方正仿宋_GBK" w:cs="方正仿宋_GBK"/>
                <w:kern w:val="0"/>
                <w:sz w:val="20"/>
                <w:szCs w:val="20"/>
                <w:lang w:eastAsia="zh-CN"/>
              </w:rPr>
              <w:t>我单位为一个项目，重</w:t>
            </w:r>
          </w:p>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0"/>
                <w:szCs w:val="20"/>
                <w:lang w:eastAsia="zh-CN"/>
              </w:rPr>
              <w:t>点项目支出率为</w:t>
            </w:r>
            <w:r>
              <w:rPr>
                <w:rFonts w:hint="eastAsia" w:ascii="宋体" w:hAnsi="宋体" w:eastAsia="方正仿宋_GBK" w:cs="方正仿宋_GBK"/>
                <w:kern w:val="0"/>
                <w:sz w:val="20"/>
                <w:szCs w:val="20"/>
                <w:lang w:val="en-US" w:eastAsia="zh-CN"/>
              </w:rPr>
              <w:t>100</w:t>
            </w:r>
            <w:r>
              <w:rPr>
                <w:rFonts w:hint="eastAsia" w:ascii="方正仿宋_GBK" w:hAnsi="方正仿宋_GBK" w:eastAsia="方正仿宋_GBK" w:cs="方正仿宋_GBK"/>
                <w:kern w:val="0"/>
                <w:sz w:val="20"/>
                <w:szCs w:val="20"/>
                <w:lang w:val="en-US" w:eastAsia="zh-CN"/>
              </w:rPr>
              <w:t>%</w:t>
            </w:r>
            <w:r>
              <w:rPr>
                <w:rFonts w:hint="eastAsia" w:ascii="方正仿宋_GBK" w:hAnsi="方正仿宋_GBK" w:eastAsia="方正仿宋_GBK" w:cs="方正仿宋_GBK"/>
                <w:kern w:val="0"/>
                <w:sz w:val="24"/>
              </w:rPr>
              <w:t>　</w:t>
            </w:r>
          </w:p>
        </w:tc>
      </w:tr>
      <w:tr>
        <w:tblPrEx>
          <w:tblCellMar>
            <w:top w:w="0" w:type="dxa"/>
            <w:left w:w="108" w:type="dxa"/>
            <w:bottom w:w="0" w:type="dxa"/>
            <w:right w:w="108" w:type="dxa"/>
          </w:tblCellMar>
        </w:tblPrEx>
        <w:trPr>
          <w:trHeight w:val="1695" w:hRule="atLeast"/>
          <w:jc w:val="center"/>
        </w:trPr>
        <w:tc>
          <w:tcPr>
            <w:tcW w:w="472" w:type="pct"/>
            <w:vMerge w:val="restart"/>
            <w:tcBorders>
              <w:top w:val="nil"/>
              <w:left w:val="single" w:color="auto" w:sz="4" w:space="0"/>
              <w:bottom w:val="single" w:color="000000" w:sz="4" w:space="0"/>
              <w:right w:val="single" w:color="auto" w:sz="4" w:space="0"/>
            </w:tcBorders>
            <w:noWrap/>
            <w:textDirection w:val="tbRlV"/>
            <w:vAlign w:val="center"/>
          </w:tcPr>
          <w:p>
            <w:pPr>
              <w:widowControl/>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过程（</w:t>
            </w:r>
            <w:r>
              <w:rPr>
                <w:rFonts w:hint="eastAsia" w:ascii="宋体" w:hAnsi="宋体" w:eastAsia="方正仿宋_GBK" w:cs="方正仿宋_GBK"/>
                <w:kern w:val="0"/>
                <w:sz w:val="20"/>
                <w:szCs w:val="20"/>
              </w:rPr>
              <w:t>30</w:t>
            </w:r>
            <w:r>
              <w:rPr>
                <w:rFonts w:hint="eastAsia" w:ascii="方正仿宋_GBK" w:hAnsi="方正仿宋_GBK" w:eastAsia="方正仿宋_GBK" w:cs="方正仿宋_GBK"/>
                <w:kern w:val="0"/>
                <w:sz w:val="20"/>
                <w:szCs w:val="20"/>
              </w:rPr>
              <w:t>分）</w:t>
            </w:r>
          </w:p>
        </w:tc>
        <w:tc>
          <w:tcPr>
            <w:tcW w:w="542" w:type="pct"/>
            <w:vMerge w:val="restart"/>
            <w:tcBorders>
              <w:top w:val="nil"/>
              <w:left w:val="single" w:color="auto" w:sz="4" w:space="0"/>
              <w:bottom w:val="single" w:color="000000" w:sz="4" w:space="0"/>
              <w:right w:val="single" w:color="auto" w:sz="4" w:space="0"/>
            </w:tcBorders>
            <w:vAlign w:val="center"/>
          </w:tcPr>
          <w:p>
            <w:pPr>
              <w:widowControl/>
              <w:jc w:val="center"/>
              <w:rPr>
                <w:rFonts w:hint="eastAsia" w:ascii="方正仿宋_GBK" w:hAnsi="方正仿宋_GBK" w:eastAsia="方正仿宋_GBK" w:cs="方正仿宋_GBK"/>
                <w:spacing w:val="-20"/>
                <w:kern w:val="0"/>
                <w:sz w:val="20"/>
                <w:szCs w:val="20"/>
              </w:rPr>
            </w:pPr>
            <w:r>
              <w:rPr>
                <w:rFonts w:hint="eastAsia" w:ascii="方正仿宋_GBK" w:hAnsi="方正仿宋_GBK" w:eastAsia="方正仿宋_GBK" w:cs="方正仿宋_GBK"/>
                <w:spacing w:val="-20"/>
                <w:kern w:val="0"/>
                <w:sz w:val="20"/>
                <w:szCs w:val="20"/>
              </w:rPr>
              <w:t>预算执行（</w:t>
            </w:r>
            <w:r>
              <w:rPr>
                <w:rFonts w:hint="eastAsia" w:ascii="宋体" w:hAnsi="宋体" w:eastAsia="方正仿宋_GBK" w:cs="方正仿宋_GBK"/>
                <w:spacing w:val="-20"/>
                <w:kern w:val="0"/>
                <w:sz w:val="20"/>
                <w:szCs w:val="20"/>
              </w:rPr>
              <w:t>20</w:t>
            </w:r>
            <w:r>
              <w:rPr>
                <w:rFonts w:hint="eastAsia" w:ascii="方正仿宋_GBK" w:hAnsi="方正仿宋_GBK" w:eastAsia="方正仿宋_GBK" w:cs="方正仿宋_GBK"/>
                <w:spacing w:val="-20"/>
                <w:kern w:val="0"/>
                <w:sz w:val="20"/>
                <w:szCs w:val="20"/>
              </w:rPr>
              <w:t>分）</w:t>
            </w: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预算完成率（</w:t>
            </w:r>
            <w:r>
              <w:rPr>
                <w:rFonts w:hint="eastAsia" w:ascii="宋体" w:hAnsi="宋体" w:eastAsia="方正仿宋_GBK" w:cs="方正仿宋_GBK"/>
                <w:kern w:val="0"/>
                <w:sz w:val="20"/>
                <w:szCs w:val="20"/>
              </w:rPr>
              <w:t>4</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部门（单位）本年度预算完成数与预算数的比率，用以反映和考核部门（单位）预算完成程度。</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预算完成率=（预算完成数/预算数）×</w:t>
            </w:r>
            <w:r>
              <w:rPr>
                <w:rFonts w:hint="eastAsia" w:ascii="宋体" w:hAnsi="宋体" w:eastAsia="方正仿宋_GBK" w:cs="方正仿宋_GBK"/>
                <w:kern w:val="0"/>
                <w:sz w:val="20"/>
                <w:szCs w:val="20"/>
              </w:rPr>
              <w:t>100</w:t>
            </w:r>
            <w:r>
              <w:rPr>
                <w:rFonts w:hint="eastAsia" w:ascii="方正仿宋_GBK" w:hAnsi="方正仿宋_GBK" w:eastAsia="方正仿宋_GBK" w:cs="方正仿宋_GBK"/>
                <w:kern w:val="0"/>
                <w:sz w:val="20"/>
                <w:szCs w:val="20"/>
              </w:rPr>
              <w:t>%。（完成年初预算计</w:t>
            </w:r>
            <w:r>
              <w:rPr>
                <w:rFonts w:hint="eastAsia" w:ascii="宋体" w:hAnsi="宋体" w:eastAsia="方正仿宋_GBK" w:cs="方正仿宋_GBK"/>
                <w:kern w:val="0"/>
                <w:sz w:val="20"/>
                <w:szCs w:val="20"/>
              </w:rPr>
              <w:t>4</w:t>
            </w:r>
            <w:r>
              <w:rPr>
                <w:rFonts w:hint="eastAsia" w:ascii="方正仿宋_GBK" w:hAnsi="方正仿宋_GBK" w:eastAsia="方正仿宋_GBK" w:cs="方正仿宋_GBK"/>
                <w:kern w:val="0"/>
                <w:sz w:val="20"/>
                <w:szCs w:val="20"/>
              </w:rPr>
              <w:t>分，未完成年初按比例扣减）</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预算完成数：部门（单位）本年度实际完成的预算数。</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预算数：财政部门批复的本年度部门（单位）预算数。</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4</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0"/>
                <w:szCs w:val="20"/>
                <w:lang w:val="en-US" w:eastAsia="zh-CN"/>
              </w:rPr>
            </w:pPr>
            <w:r>
              <w:rPr>
                <w:rFonts w:hint="eastAsia" w:ascii="方正仿宋_GBK" w:hAnsi="方正仿宋_GBK" w:eastAsia="方正仿宋_GBK" w:cs="方正仿宋_GBK"/>
                <w:kern w:val="0"/>
                <w:sz w:val="20"/>
                <w:szCs w:val="20"/>
                <w:lang w:eastAsia="zh-CN"/>
              </w:rPr>
              <w:t>预算完成率</w:t>
            </w:r>
            <w:r>
              <w:rPr>
                <w:rFonts w:hint="eastAsia" w:ascii="方正仿宋_GBK" w:hAnsi="方正仿宋_GBK" w:eastAsia="方正仿宋_GBK" w:cs="方正仿宋_GBK"/>
                <w:kern w:val="0"/>
                <w:sz w:val="20"/>
                <w:szCs w:val="20"/>
                <w:lang w:val="en-US" w:eastAsia="zh-CN"/>
              </w:rPr>
              <w:t>=</w:t>
            </w:r>
            <w:r>
              <w:rPr>
                <w:rFonts w:hint="eastAsia" w:ascii="宋体" w:hAnsi="宋体" w:eastAsia="方正仿宋_GBK" w:cs="方正仿宋_GBK"/>
                <w:kern w:val="0"/>
                <w:sz w:val="20"/>
                <w:szCs w:val="20"/>
                <w:lang w:val="en-US" w:eastAsia="zh-CN"/>
              </w:rPr>
              <w:t>96</w:t>
            </w:r>
            <w:r>
              <w:rPr>
                <w:rFonts w:hint="eastAsia" w:ascii="方正仿宋_GBK" w:hAnsi="方正仿宋_GBK" w:eastAsia="方正仿宋_GBK" w:cs="方正仿宋_GBK"/>
                <w:kern w:val="0"/>
                <w:sz w:val="20"/>
                <w:szCs w:val="20"/>
                <w:lang w:val="en-US" w:eastAsia="zh-CN"/>
              </w:rPr>
              <w:t>.</w:t>
            </w:r>
            <w:r>
              <w:rPr>
                <w:rFonts w:hint="eastAsia" w:ascii="宋体" w:hAnsi="宋体" w:eastAsia="方正仿宋_GBK" w:cs="方正仿宋_GBK"/>
                <w:kern w:val="0"/>
                <w:sz w:val="20"/>
                <w:szCs w:val="20"/>
                <w:lang w:val="en-US" w:eastAsia="zh-CN"/>
              </w:rPr>
              <w:t>47</w:t>
            </w:r>
            <w:r>
              <w:rPr>
                <w:rFonts w:hint="eastAsia" w:ascii="方正仿宋_GBK" w:hAnsi="方正仿宋_GBK" w:eastAsia="方正仿宋_GBK" w:cs="方正仿宋_GBK"/>
                <w:kern w:val="0"/>
                <w:sz w:val="20"/>
                <w:szCs w:val="20"/>
                <w:lang w:val="en-US" w:eastAsia="zh-CN"/>
              </w:rPr>
              <w:t>/</w:t>
            </w:r>
            <w:r>
              <w:rPr>
                <w:rFonts w:hint="eastAsia" w:ascii="宋体" w:hAnsi="宋体" w:eastAsia="方正仿宋_GBK" w:cs="方正仿宋_GBK"/>
                <w:kern w:val="0"/>
                <w:sz w:val="20"/>
                <w:szCs w:val="20"/>
                <w:lang w:val="en-US" w:eastAsia="zh-CN"/>
              </w:rPr>
              <w:t>70</w:t>
            </w:r>
            <w:r>
              <w:rPr>
                <w:rFonts w:hint="eastAsia" w:ascii="方正仿宋_GBK" w:hAnsi="方正仿宋_GBK" w:eastAsia="方正仿宋_GBK" w:cs="方正仿宋_GBK"/>
                <w:kern w:val="0"/>
                <w:sz w:val="20"/>
                <w:szCs w:val="20"/>
                <w:lang w:val="en-US" w:eastAsia="zh-CN"/>
              </w:rPr>
              <w:t>.</w:t>
            </w:r>
            <w:r>
              <w:rPr>
                <w:rFonts w:hint="eastAsia" w:ascii="宋体" w:hAnsi="宋体" w:eastAsia="方正仿宋_GBK" w:cs="方正仿宋_GBK"/>
                <w:kern w:val="0"/>
                <w:sz w:val="20"/>
                <w:szCs w:val="20"/>
                <w:lang w:val="en-US" w:eastAsia="zh-CN"/>
              </w:rPr>
              <w:t>02</w:t>
            </w:r>
            <w:r>
              <w:rPr>
                <w:rFonts w:hint="eastAsia" w:ascii="方正仿宋_GBK" w:hAnsi="方正仿宋_GBK" w:eastAsia="方正仿宋_GBK" w:cs="方正仿宋_GBK"/>
                <w:kern w:val="0"/>
                <w:sz w:val="20"/>
                <w:szCs w:val="20"/>
                <w:lang w:val="en-US" w:eastAsia="zh-CN"/>
              </w:rPr>
              <w:t>*</w:t>
            </w:r>
            <w:r>
              <w:rPr>
                <w:rFonts w:hint="eastAsia" w:ascii="宋体" w:hAnsi="宋体" w:eastAsia="方正仿宋_GBK" w:cs="方正仿宋_GBK"/>
                <w:kern w:val="0"/>
                <w:sz w:val="20"/>
                <w:szCs w:val="20"/>
                <w:lang w:val="en-US" w:eastAsia="zh-CN"/>
              </w:rPr>
              <w:t>100</w:t>
            </w:r>
            <w:r>
              <w:rPr>
                <w:rFonts w:hint="eastAsia" w:ascii="方正仿宋_GBK" w:hAnsi="方正仿宋_GBK" w:eastAsia="方正仿宋_GBK" w:cs="方正仿宋_GBK"/>
                <w:kern w:val="0"/>
                <w:sz w:val="20"/>
                <w:szCs w:val="20"/>
                <w:lang w:val="en-US" w:eastAsia="zh-CN"/>
              </w:rPr>
              <w:t>%</w:t>
            </w:r>
          </w:p>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0"/>
                <w:szCs w:val="20"/>
                <w:lang w:val="en-US" w:eastAsia="zh-CN"/>
              </w:rPr>
              <w:t>=</w:t>
            </w:r>
            <w:r>
              <w:rPr>
                <w:rFonts w:hint="eastAsia" w:ascii="宋体" w:hAnsi="宋体" w:eastAsia="方正仿宋_GBK" w:cs="方正仿宋_GBK"/>
                <w:kern w:val="0"/>
                <w:sz w:val="20"/>
                <w:szCs w:val="20"/>
                <w:lang w:val="en-US" w:eastAsia="zh-CN"/>
              </w:rPr>
              <w:t>137</w:t>
            </w:r>
            <w:r>
              <w:rPr>
                <w:rFonts w:hint="eastAsia" w:ascii="方正仿宋_GBK" w:hAnsi="方正仿宋_GBK" w:eastAsia="方正仿宋_GBK" w:cs="方正仿宋_GBK"/>
                <w:kern w:val="0"/>
                <w:sz w:val="20"/>
                <w:szCs w:val="20"/>
                <w:lang w:val="en-US" w:eastAsia="zh-CN"/>
              </w:rPr>
              <w:t>.</w:t>
            </w:r>
            <w:r>
              <w:rPr>
                <w:rFonts w:hint="eastAsia" w:ascii="宋体" w:hAnsi="宋体" w:eastAsia="方正仿宋_GBK" w:cs="方正仿宋_GBK"/>
                <w:kern w:val="0"/>
                <w:sz w:val="20"/>
                <w:szCs w:val="20"/>
                <w:lang w:val="en-US" w:eastAsia="zh-CN"/>
              </w:rPr>
              <w:t>77</w:t>
            </w:r>
            <w:r>
              <w:rPr>
                <w:rFonts w:hint="eastAsia" w:ascii="方正仿宋_GBK" w:hAnsi="方正仿宋_GBK" w:eastAsia="方正仿宋_GBK" w:cs="方正仿宋_GBK"/>
                <w:kern w:val="0"/>
                <w:sz w:val="20"/>
                <w:szCs w:val="20"/>
                <w:lang w:val="en-US" w:eastAsia="zh-CN"/>
              </w:rPr>
              <w:t>%</w:t>
            </w:r>
          </w:p>
        </w:tc>
      </w:tr>
      <w:tr>
        <w:tblPrEx>
          <w:tblCellMar>
            <w:top w:w="0" w:type="dxa"/>
            <w:left w:w="108" w:type="dxa"/>
            <w:bottom w:w="0" w:type="dxa"/>
            <w:right w:w="108" w:type="dxa"/>
          </w:tblCellMar>
        </w:tblPrEx>
        <w:trPr>
          <w:trHeight w:val="1860" w:hRule="atLeast"/>
          <w:jc w:val="center"/>
        </w:trPr>
        <w:tc>
          <w:tcPr>
            <w:tcW w:w="47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spacing w:val="-20"/>
                <w:kern w:val="0"/>
                <w:sz w:val="20"/>
                <w:szCs w:val="20"/>
              </w:rPr>
            </w:pP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预算调整率（</w:t>
            </w:r>
            <w:r>
              <w:rPr>
                <w:rFonts w:hint="eastAsia" w:ascii="宋体" w:hAnsi="宋体" w:eastAsia="方正仿宋_GBK" w:cs="方正仿宋_GBK"/>
                <w:kern w:val="0"/>
                <w:sz w:val="20"/>
                <w:szCs w:val="20"/>
              </w:rPr>
              <w:t>2</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部门（单位）本年度预算调整数与预算数的比率，用以反映和考核部门（单位）预算的调整程度。</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预算调整率=（预算调整数/预算数）×</w:t>
            </w:r>
            <w:r>
              <w:rPr>
                <w:rFonts w:hint="eastAsia" w:ascii="宋体" w:hAnsi="宋体" w:eastAsia="方正仿宋_GBK" w:cs="方正仿宋_GBK"/>
                <w:kern w:val="0"/>
                <w:sz w:val="20"/>
                <w:szCs w:val="20"/>
              </w:rPr>
              <w:t>100</w:t>
            </w:r>
            <w:r>
              <w:rPr>
                <w:rFonts w:hint="eastAsia" w:ascii="方正仿宋_GBK" w:hAnsi="方正仿宋_GBK" w:eastAsia="方正仿宋_GBK" w:cs="方正仿宋_GBK"/>
                <w:kern w:val="0"/>
                <w:sz w:val="20"/>
                <w:szCs w:val="20"/>
              </w:rPr>
              <w:t>%。（未调整的计</w:t>
            </w:r>
            <w:r>
              <w:rPr>
                <w:rFonts w:hint="eastAsia" w:ascii="宋体" w:hAnsi="宋体" w:eastAsia="方正仿宋_GBK" w:cs="方正仿宋_GBK"/>
                <w:kern w:val="0"/>
                <w:sz w:val="20"/>
                <w:szCs w:val="20"/>
              </w:rPr>
              <w:t>2</w:t>
            </w:r>
            <w:r>
              <w:rPr>
                <w:rFonts w:hint="eastAsia" w:ascii="方正仿宋_GBK" w:hAnsi="方正仿宋_GBK" w:eastAsia="方正仿宋_GBK" w:cs="方正仿宋_GBK"/>
                <w:kern w:val="0"/>
                <w:sz w:val="20"/>
                <w:szCs w:val="20"/>
              </w:rPr>
              <w:t>分，调整了的除特殊原因外按比例扣减）</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预算调整数：部门（单位）在本年度内涉及预算的追加、追减或结构调整的资金总和（因落实国家政策、发生不可抗力、上级部门或本级</w:t>
            </w:r>
            <w:r>
              <w:rPr>
                <w:rFonts w:hint="eastAsia" w:ascii="方正仿宋_GBK" w:hAnsi="方正仿宋_GBK" w:eastAsia="方正仿宋_GBK" w:cs="方正仿宋_GBK"/>
                <w:kern w:val="0"/>
                <w:sz w:val="20"/>
                <w:szCs w:val="20"/>
                <w:lang w:eastAsia="zh-CN"/>
              </w:rPr>
              <w:t>党委、政府</w:t>
            </w:r>
            <w:r>
              <w:rPr>
                <w:rFonts w:hint="eastAsia" w:ascii="方正仿宋_GBK" w:hAnsi="方正仿宋_GBK" w:eastAsia="方正仿宋_GBK" w:cs="方正仿宋_GBK"/>
                <w:kern w:val="0"/>
                <w:sz w:val="20"/>
                <w:szCs w:val="20"/>
              </w:rPr>
              <w:t>临时交办而产生的调整除外）。</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0</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0"/>
                <w:szCs w:val="20"/>
                <w:lang w:val="en-US" w:eastAsia="zh-CN"/>
              </w:rPr>
            </w:pPr>
            <w:r>
              <w:rPr>
                <w:rFonts w:hint="eastAsia" w:ascii="方正仿宋_GBK" w:hAnsi="方正仿宋_GBK" w:eastAsia="方正仿宋_GBK" w:cs="方正仿宋_GBK"/>
                <w:kern w:val="0"/>
                <w:sz w:val="20"/>
                <w:szCs w:val="20"/>
                <w:lang w:eastAsia="zh-CN"/>
              </w:rPr>
              <w:t>预算调整率</w:t>
            </w:r>
            <w:r>
              <w:rPr>
                <w:rFonts w:hint="eastAsia" w:ascii="方正仿宋_GBK" w:hAnsi="方正仿宋_GBK" w:eastAsia="方正仿宋_GBK" w:cs="方正仿宋_GBK"/>
                <w:kern w:val="0"/>
                <w:sz w:val="20"/>
                <w:szCs w:val="20"/>
                <w:lang w:val="en-US" w:eastAsia="zh-CN"/>
              </w:rPr>
              <w:t>=26.45/70.02*100</w:t>
            </w:r>
          </w:p>
          <w:p>
            <w:pPr>
              <w:widowControl/>
              <w:jc w:val="lef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kern w:val="0"/>
                <w:sz w:val="20"/>
                <w:szCs w:val="20"/>
                <w:lang w:val="en-US" w:eastAsia="zh-CN"/>
              </w:rPr>
              <w:t>=37.77%</w:t>
            </w:r>
          </w:p>
        </w:tc>
      </w:tr>
      <w:tr>
        <w:tblPrEx>
          <w:tblCellMar>
            <w:top w:w="0" w:type="dxa"/>
            <w:left w:w="108" w:type="dxa"/>
            <w:bottom w:w="0" w:type="dxa"/>
            <w:right w:w="108" w:type="dxa"/>
          </w:tblCellMar>
        </w:tblPrEx>
        <w:trPr>
          <w:trHeight w:val="2295" w:hRule="atLeast"/>
          <w:jc w:val="center"/>
        </w:trPr>
        <w:tc>
          <w:tcPr>
            <w:tcW w:w="47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spacing w:val="-20"/>
                <w:kern w:val="0"/>
                <w:sz w:val="20"/>
                <w:szCs w:val="20"/>
              </w:rPr>
            </w:pP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支付进度率（</w:t>
            </w:r>
            <w:r>
              <w:rPr>
                <w:rFonts w:hint="eastAsia" w:ascii="宋体" w:hAnsi="宋体" w:eastAsia="方正仿宋_GBK" w:cs="方正仿宋_GBK"/>
                <w:kern w:val="0"/>
                <w:sz w:val="20"/>
                <w:szCs w:val="20"/>
              </w:rPr>
              <w:t>2</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部门（单位）实际支付进度与既定支付进度的比率，用以反映和考核部门（单位）预算执行的及时性和均衡性程度。</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支付进度率=（实际支付进度/既定支付进度）×</w:t>
            </w:r>
            <w:r>
              <w:rPr>
                <w:rFonts w:hint="eastAsia" w:ascii="宋体" w:hAnsi="宋体" w:eastAsia="方正仿宋_GBK" w:cs="方正仿宋_GBK"/>
                <w:kern w:val="0"/>
                <w:sz w:val="20"/>
                <w:szCs w:val="20"/>
              </w:rPr>
              <w:t>100</w:t>
            </w:r>
            <w:r>
              <w:rPr>
                <w:rFonts w:hint="eastAsia" w:ascii="方正仿宋_GBK" w:hAnsi="方正仿宋_GBK" w:eastAsia="方正仿宋_GBK" w:cs="方正仿宋_GBK"/>
                <w:kern w:val="0"/>
                <w:sz w:val="20"/>
                <w:szCs w:val="20"/>
              </w:rPr>
              <w:t>%。完成年终进度的计</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分，按季度完成预算进度的计</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实际支付进度：部门（单位）在某一时点的支出预算执行总数与年度支出预算数的比率。</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既定支付进度：由部门（单位）在申报部门整体绩效目标时，参照序时支付进度、前三年支付进度、同级部门平均支付进度水平等确定的，在某一时点应达到的支付进度（比率）。</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0</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0"/>
                <w:szCs w:val="20"/>
                <w:lang w:val="en-US" w:eastAsia="zh-CN"/>
              </w:rPr>
            </w:pPr>
            <w:r>
              <w:rPr>
                <w:rFonts w:hint="eastAsia" w:ascii="方正仿宋_GBK" w:hAnsi="方正仿宋_GBK" w:eastAsia="方正仿宋_GBK" w:cs="方正仿宋_GBK"/>
                <w:kern w:val="0"/>
                <w:sz w:val="20"/>
                <w:szCs w:val="20"/>
                <w:lang w:val="en-US" w:eastAsia="zh-CN"/>
              </w:rPr>
              <w:t>项目预算拨款为</w:t>
            </w:r>
            <w:r>
              <w:rPr>
                <w:rFonts w:hint="eastAsia" w:ascii="宋体" w:hAnsi="宋体" w:eastAsia="方正仿宋_GBK" w:cs="方正仿宋_GBK"/>
                <w:kern w:val="0"/>
                <w:sz w:val="20"/>
                <w:szCs w:val="20"/>
                <w:lang w:val="en-US" w:eastAsia="zh-CN"/>
              </w:rPr>
              <w:t>0</w:t>
            </w:r>
            <w:r>
              <w:rPr>
                <w:rFonts w:hint="eastAsia" w:ascii="方正仿宋_GBK" w:hAnsi="方正仿宋_GBK" w:eastAsia="方正仿宋_GBK" w:cs="方正仿宋_GBK"/>
                <w:kern w:val="0"/>
                <w:sz w:val="20"/>
                <w:szCs w:val="20"/>
                <w:lang w:val="en-US" w:eastAsia="zh-CN"/>
              </w:rPr>
              <w:t>，</w:t>
            </w:r>
          </w:p>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0"/>
                <w:szCs w:val="20"/>
                <w:lang w:val="en-US" w:eastAsia="zh-CN"/>
              </w:rPr>
              <w:t>项目支出金额为</w:t>
            </w:r>
            <w:r>
              <w:rPr>
                <w:rFonts w:hint="eastAsia" w:ascii="宋体" w:hAnsi="宋体" w:eastAsia="方正仿宋_GBK" w:cs="方正仿宋_GBK"/>
                <w:kern w:val="0"/>
                <w:sz w:val="20"/>
                <w:szCs w:val="20"/>
                <w:lang w:val="en-US" w:eastAsia="zh-CN"/>
              </w:rPr>
              <w:t>0</w:t>
            </w:r>
            <w:r>
              <w:rPr>
                <w:rFonts w:hint="eastAsia" w:ascii="方正仿宋_GBK" w:hAnsi="方正仿宋_GBK" w:eastAsia="方正仿宋_GBK" w:cs="方正仿宋_GBK"/>
                <w:kern w:val="0"/>
                <w:sz w:val="20"/>
                <w:szCs w:val="20"/>
                <w:lang w:val="en-US" w:eastAsia="zh-CN"/>
              </w:rPr>
              <w:t>元</w:t>
            </w:r>
          </w:p>
        </w:tc>
      </w:tr>
      <w:tr>
        <w:tblPrEx>
          <w:tblCellMar>
            <w:top w:w="0" w:type="dxa"/>
            <w:left w:w="108" w:type="dxa"/>
            <w:bottom w:w="0" w:type="dxa"/>
            <w:right w:w="108" w:type="dxa"/>
          </w:tblCellMar>
        </w:tblPrEx>
        <w:trPr>
          <w:trHeight w:val="1320" w:hRule="atLeast"/>
          <w:jc w:val="center"/>
        </w:trPr>
        <w:tc>
          <w:tcPr>
            <w:tcW w:w="47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spacing w:val="-20"/>
                <w:kern w:val="0"/>
                <w:sz w:val="20"/>
                <w:szCs w:val="20"/>
              </w:rPr>
            </w:pP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结转结余率（</w:t>
            </w:r>
            <w:r>
              <w:rPr>
                <w:rFonts w:hint="eastAsia" w:ascii="宋体" w:hAnsi="宋体" w:eastAsia="方正仿宋_GBK" w:cs="方正仿宋_GBK"/>
                <w:kern w:val="0"/>
                <w:sz w:val="20"/>
                <w:szCs w:val="20"/>
              </w:rPr>
              <w:t>2</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部门（单位）本年度结转结余总额与支出预算数的比率，用以反映和考核部门（单位）对本年度结转结余资金的实际控制程度。</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结转结余率=结转结余总额/支出预算数×</w:t>
            </w:r>
            <w:r>
              <w:rPr>
                <w:rFonts w:hint="eastAsia" w:ascii="宋体" w:hAnsi="宋体" w:eastAsia="方正仿宋_GBK" w:cs="方正仿宋_GBK"/>
                <w:kern w:val="0"/>
                <w:sz w:val="20"/>
                <w:szCs w:val="20"/>
              </w:rPr>
              <w:t>100</w:t>
            </w:r>
            <w:r>
              <w:rPr>
                <w:rFonts w:hint="eastAsia" w:ascii="方正仿宋_GBK" w:hAnsi="方正仿宋_GBK" w:eastAsia="方正仿宋_GBK" w:cs="方正仿宋_GBK"/>
                <w:kern w:val="0"/>
                <w:sz w:val="20"/>
                <w:szCs w:val="20"/>
              </w:rPr>
              <w:t>%。低于</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%的计</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分，每超过</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个百分点扣</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分，扣完为止。</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结转结余总额：部门（单位）本年度的结转资金与结余资金之和（以决算数为准）。</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2</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0"/>
                <w:szCs w:val="20"/>
                <w:lang w:eastAsia="zh-CN"/>
              </w:rPr>
              <w:t>无结转结余，结转结余率为</w:t>
            </w:r>
            <w:r>
              <w:rPr>
                <w:rFonts w:hint="eastAsia" w:ascii="宋体" w:hAnsi="宋体" w:eastAsia="方正仿宋_GBK" w:cs="方正仿宋_GBK"/>
                <w:kern w:val="0"/>
                <w:sz w:val="20"/>
                <w:szCs w:val="20"/>
                <w:lang w:val="en-US" w:eastAsia="zh-CN"/>
              </w:rPr>
              <w:t>0</w:t>
            </w:r>
          </w:p>
        </w:tc>
      </w:tr>
      <w:tr>
        <w:tblPrEx>
          <w:tblCellMar>
            <w:top w:w="0" w:type="dxa"/>
            <w:left w:w="108" w:type="dxa"/>
            <w:bottom w:w="0" w:type="dxa"/>
            <w:right w:w="108" w:type="dxa"/>
          </w:tblCellMar>
        </w:tblPrEx>
        <w:trPr>
          <w:trHeight w:val="1590" w:hRule="atLeast"/>
          <w:jc w:val="center"/>
        </w:trPr>
        <w:tc>
          <w:tcPr>
            <w:tcW w:w="47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spacing w:val="-20"/>
                <w:kern w:val="0"/>
                <w:sz w:val="20"/>
                <w:szCs w:val="20"/>
              </w:rPr>
            </w:pPr>
          </w:p>
        </w:tc>
        <w:tc>
          <w:tcPr>
            <w:tcW w:w="538"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结转结余变动率（</w:t>
            </w:r>
            <w:r>
              <w:rPr>
                <w:rFonts w:hint="eastAsia" w:ascii="宋体" w:hAnsi="宋体" w:eastAsia="方正仿宋_GBK" w:cs="方正仿宋_GBK"/>
                <w:kern w:val="0"/>
                <w:sz w:val="20"/>
                <w:szCs w:val="20"/>
              </w:rPr>
              <w:t>2</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部门（单位）本年度结转结余资金总额与上年度结转结余资金总额的变动比率，用以反映和考核部门（单位）对控制结转结余资金的努力程度。</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结转结余变动率=[（本年度累计结转结余资金总额-上年度累计结转结余资金总额）/上年度累计结转结余资金总额]×</w:t>
            </w:r>
            <w:r>
              <w:rPr>
                <w:rFonts w:hint="eastAsia" w:ascii="宋体" w:hAnsi="宋体" w:eastAsia="方正仿宋_GBK" w:cs="方正仿宋_GBK"/>
                <w:kern w:val="0"/>
                <w:sz w:val="20"/>
                <w:szCs w:val="20"/>
              </w:rPr>
              <w:t>100</w:t>
            </w:r>
            <w:r>
              <w:rPr>
                <w:rFonts w:hint="eastAsia" w:ascii="方正仿宋_GBK" w:hAnsi="方正仿宋_GBK" w:eastAsia="方正仿宋_GBK" w:cs="方正仿宋_GBK"/>
                <w:kern w:val="0"/>
                <w:sz w:val="20"/>
                <w:szCs w:val="20"/>
              </w:rPr>
              <w:t>%。（低于</w:t>
            </w:r>
            <w:r>
              <w:rPr>
                <w:rFonts w:hint="eastAsia" w:ascii="宋体" w:hAnsi="宋体" w:eastAsia="方正仿宋_GBK" w:cs="方正仿宋_GBK"/>
                <w:kern w:val="0"/>
                <w:sz w:val="20"/>
                <w:szCs w:val="20"/>
              </w:rPr>
              <w:t>15</w:t>
            </w:r>
            <w:r>
              <w:rPr>
                <w:rFonts w:hint="eastAsia" w:ascii="方正仿宋_GBK" w:hAnsi="方正仿宋_GBK" w:eastAsia="方正仿宋_GBK" w:cs="方正仿宋_GBK"/>
                <w:kern w:val="0"/>
                <w:sz w:val="20"/>
                <w:szCs w:val="20"/>
              </w:rPr>
              <w:t>%的计</w:t>
            </w:r>
            <w:r>
              <w:rPr>
                <w:rFonts w:hint="eastAsia" w:ascii="宋体" w:hAnsi="宋体" w:eastAsia="方正仿宋_GBK" w:cs="方正仿宋_GBK"/>
                <w:kern w:val="0"/>
                <w:sz w:val="20"/>
                <w:szCs w:val="20"/>
              </w:rPr>
              <w:t>2</w:t>
            </w:r>
            <w:r>
              <w:rPr>
                <w:rFonts w:hint="eastAsia" w:ascii="方正仿宋_GBK" w:hAnsi="方正仿宋_GBK" w:eastAsia="方正仿宋_GBK" w:cs="方正仿宋_GBK"/>
                <w:kern w:val="0"/>
                <w:sz w:val="20"/>
                <w:szCs w:val="20"/>
              </w:rPr>
              <w:t>分，每超过</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个百分点扣</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分，扣完为止）</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2</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0"/>
                <w:szCs w:val="20"/>
                <w:lang w:eastAsia="zh-CN"/>
              </w:rPr>
              <w:t>结转结余变动率为</w:t>
            </w:r>
            <w:r>
              <w:rPr>
                <w:rFonts w:hint="eastAsia" w:ascii="宋体" w:hAnsi="宋体" w:eastAsia="方正仿宋_GBK" w:cs="方正仿宋_GBK"/>
                <w:kern w:val="0"/>
                <w:sz w:val="20"/>
                <w:szCs w:val="20"/>
                <w:lang w:val="en-US" w:eastAsia="zh-CN"/>
              </w:rPr>
              <w:t>0</w:t>
            </w:r>
            <w:r>
              <w:rPr>
                <w:rFonts w:hint="eastAsia" w:ascii="方正仿宋_GBK" w:hAnsi="方正仿宋_GBK" w:eastAsia="方正仿宋_GBK" w:cs="方正仿宋_GBK"/>
                <w:kern w:val="0"/>
                <w:sz w:val="20"/>
                <w:szCs w:val="20"/>
              </w:rPr>
              <w:t>　</w:t>
            </w:r>
          </w:p>
        </w:tc>
      </w:tr>
      <w:tr>
        <w:tblPrEx>
          <w:tblCellMar>
            <w:top w:w="0" w:type="dxa"/>
            <w:left w:w="108" w:type="dxa"/>
            <w:bottom w:w="0" w:type="dxa"/>
            <w:right w:w="108" w:type="dxa"/>
          </w:tblCellMar>
        </w:tblPrEx>
        <w:trPr>
          <w:trHeight w:val="1470" w:hRule="atLeast"/>
          <w:jc w:val="center"/>
        </w:trPr>
        <w:tc>
          <w:tcPr>
            <w:tcW w:w="47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spacing w:val="-20"/>
                <w:kern w:val="0"/>
                <w:sz w:val="20"/>
                <w:szCs w:val="20"/>
              </w:rPr>
            </w:pP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公用经费控制率（</w:t>
            </w:r>
            <w:r>
              <w:rPr>
                <w:rFonts w:hint="eastAsia" w:ascii="宋体" w:hAnsi="宋体" w:eastAsia="方正仿宋_GBK" w:cs="方正仿宋_GBK"/>
                <w:kern w:val="0"/>
                <w:sz w:val="20"/>
                <w:szCs w:val="20"/>
              </w:rPr>
              <w:t>2</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部门（单位）本年度实际支出的公用经费总额与预算安排的公用经费总额的比率，用以反映和考核部门（单位）对机构运转成本的实际控制程度。</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公用经费控制率=（实际支出公用经费总额/预算安排公用经费总额）×</w:t>
            </w:r>
            <w:r>
              <w:rPr>
                <w:rFonts w:hint="eastAsia" w:ascii="宋体" w:hAnsi="宋体" w:eastAsia="方正仿宋_GBK" w:cs="方正仿宋_GBK"/>
                <w:kern w:val="0"/>
                <w:sz w:val="20"/>
                <w:szCs w:val="20"/>
              </w:rPr>
              <w:t>100</w:t>
            </w:r>
            <w:r>
              <w:rPr>
                <w:rFonts w:hint="eastAsia" w:ascii="方正仿宋_GBK" w:hAnsi="方正仿宋_GBK" w:eastAsia="方正仿宋_GBK" w:cs="方正仿宋_GBK"/>
                <w:kern w:val="0"/>
                <w:sz w:val="20"/>
                <w:szCs w:val="20"/>
              </w:rPr>
              <w:t>%。（为</w:t>
            </w:r>
            <w:r>
              <w:rPr>
                <w:rFonts w:hint="eastAsia" w:ascii="宋体" w:hAnsi="宋体" w:eastAsia="方正仿宋_GBK" w:cs="方正仿宋_GBK"/>
                <w:kern w:val="0"/>
                <w:sz w:val="20"/>
                <w:szCs w:val="20"/>
              </w:rPr>
              <w:t>100</w:t>
            </w:r>
            <w:r>
              <w:rPr>
                <w:rFonts w:hint="eastAsia" w:ascii="方正仿宋_GBK" w:hAnsi="方正仿宋_GBK" w:eastAsia="方正仿宋_GBK" w:cs="方正仿宋_GBK"/>
                <w:kern w:val="0"/>
                <w:sz w:val="20"/>
                <w:szCs w:val="20"/>
              </w:rPr>
              <w:t>%的计</w:t>
            </w:r>
            <w:r>
              <w:rPr>
                <w:rFonts w:hint="eastAsia" w:ascii="宋体" w:hAnsi="宋体" w:eastAsia="方正仿宋_GBK" w:cs="方正仿宋_GBK"/>
                <w:kern w:val="0"/>
                <w:sz w:val="20"/>
                <w:szCs w:val="20"/>
              </w:rPr>
              <w:t>2</w:t>
            </w:r>
            <w:r>
              <w:rPr>
                <w:rFonts w:hint="eastAsia" w:ascii="方正仿宋_GBK" w:hAnsi="方正仿宋_GBK" w:eastAsia="方正仿宋_GBK" w:cs="方正仿宋_GBK"/>
                <w:kern w:val="0"/>
                <w:sz w:val="20"/>
                <w:szCs w:val="20"/>
              </w:rPr>
              <w:t>分，每超过</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个百分点扣</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分，扣完为止）</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2</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0"/>
                <w:szCs w:val="20"/>
                <w:lang w:val="en-US" w:eastAsia="zh-CN"/>
              </w:rPr>
            </w:pPr>
            <w:r>
              <w:rPr>
                <w:rFonts w:hint="eastAsia" w:ascii="方正仿宋_GBK" w:hAnsi="方正仿宋_GBK" w:eastAsia="方正仿宋_GBK" w:cs="方正仿宋_GBK"/>
                <w:kern w:val="0"/>
                <w:sz w:val="20"/>
                <w:szCs w:val="20"/>
                <w:lang w:eastAsia="zh-CN"/>
              </w:rPr>
              <w:t>公用经费控制率为</w:t>
            </w:r>
            <w:r>
              <w:rPr>
                <w:rFonts w:hint="eastAsia" w:ascii="宋体" w:hAnsi="宋体" w:eastAsia="方正仿宋_GBK" w:cs="方正仿宋_GBK"/>
                <w:kern w:val="0"/>
                <w:sz w:val="20"/>
                <w:szCs w:val="20"/>
                <w:lang w:val="en-US" w:eastAsia="zh-CN"/>
              </w:rPr>
              <w:t>100</w:t>
            </w:r>
            <w:r>
              <w:rPr>
                <w:rFonts w:hint="eastAsia" w:ascii="方正仿宋_GBK" w:hAnsi="方正仿宋_GBK" w:eastAsia="方正仿宋_GBK" w:cs="方正仿宋_GBK"/>
                <w:kern w:val="0"/>
                <w:sz w:val="20"/>
                <w:szCs w:val="20"/>
                <w:lang w:val="en-US" w:eastAsia="zh-CN"/>
              </w:rPr>
              <w:t>%，</w:t>
            </w:r>
          </w:p>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0"/>
                <w:szCs w:val="20"/>
                <w:lang w:val="en-US" w:eastAsia="zh-CN"/>
              </w:rPr>
              <w:t>公用经费发生额度为</w:t>
            </w:r>
            <w:r>
              <w:rPr>
                <w:rFonts w:hint="eastAsia" w:ascii="宋体" w:hAnsi="宋体" w:eastAsia="方正仿宋_GBK" w:cs="方正仿宋_GBK"/>
                <w:kern w:val="0"/>
                <w:sz w:val="20"/>
                <w:szCs w:val="20"/>
                <w:lang w:val="en-US" w:eastAsia="zh-CN"/>
              </w:rPr>
              <w:t>1000</w:t>
            </w:r>
            <w:r>
              <w:rPr>
                <w:rFonts w:hint="eastAsia" w:ascii="方正仿宋_GBK" w:hAnsi="方正仿宋_GBK" w:eastAsia="方正仿宋_GBK" w:cs="方正仿宋_GBK"/>
                <w:kern w:val="0"/>
                <w:sz w:val="20"/>
                <w:szCs w:val="20"/>
                <w:lang w:val="en-US" w:eastAsia="zh-CN"/>
              </w:rPr>
              <w:t>元。</w:t>
            </w:r>
            <w:r>
              <w:rPr>
                <w:rFonts w:hint="eastAsia" w:ascii="方正仿宋_GBK" w:hAnsi="方正仿宋_GBK" w:eastAsia="方正仿宋_GBK" w:cs="方正仿宋_GBK"/>
                <w:kern w:val="0"/>
                <w:sz w:val="20"/>
                <w:szCs w:val="20"/>
              </w:rPr>
              <w:t>　</w:t>
            </w:r>
          </w:p>
        </w:tc>
      </w:tr>
      <w:tr>
        <w:tblPrEx>
          <w:tblCellMar>
            <w:top w:w="0" w:type="dxa"/>
            <w:left w:w="108" w:type="dxa"/>
            <w:bottom w:w="0" w:type="dxa"/>
            <w:right w:w="108" w:type="dxa"/>
          </w:tblCellMar>
        </w:tblPrEx>
        <w:trPr>
          <w:trHeight w:val="1494" w:hRule="atLeast"/>
          <w:jc w:val="center"/>
        </w:trPr>
        <w:tc>
          <w:tcPr>
            <w:tcW w:w="47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spacing w:val="-20"/>
                <w:kern w:val="0"/>
                <w:sz w:val="20"/>
                <w:szCs w:val="20"/>
              </w:rPr>
            </w:pP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“三公经费”控制率（</w:t>
            </w:r>
            <w:r>
              <w:rPr>
                <w:rFonts w:hint="eastAsia" w:ascii="宋体" w:hAnsi="宋体" w:eastAsia="方正仿宋_GBK" w:cs="方正仿宋_GBK"/>
                <w:kern w:val="0"/>
                <w:sz w:val="20"/>
                <w:szCs w:val="20"/>
              </w:rPr>
              <w:t>2</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部门（单位）本年度“三公经费”实际支出数与预算安排数的比率，用以反映和考核部门（单位）对“三公经费”的实际控制程度。</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“三公经费”控制率=（“三公经费”实际支出数/“三公经费”预算安排数）×</w:t>
            </w:r>
            <w:r>
              <w:rPr>
                <w:rFonts w:hint="eastAsia" w:ascii="宋体" w:hAnsi="宋体" w:eastAsia="方正仿宋_GBK" w:cs="方正仿宋_GBK"/>
                <w:kern w:val="0"/>
                <w:sz w:val="20"/>
                <w:szCs w:val="20"/>
              </w:rPr>
              <w:t>100</w:t>
            </w:r>
            <w:r>
              <w:rPr>
                <w:rFonts w:hint="eastAsia" w:ascii="方正仿宋_GBK" w:hAnsi="方正仿宋_GBK" w:eastAsia="方正仿宋_GBK" w:cs="方正仿宋_GBK"/>
                <w:kern w:val="0"/>
                <w:sz w:val="20"/>
                <w:szCs w:val="20"/>
              </w:rPr>
              <w:t>%。（为</w:t>
            </w:r>
            <w:r>
              <w:rPr>
                <w:rFonts w:hint="eastAsia" w:ascii="宋体" w:hAnsi="宋体" w:eastAsia="方正仿宋_GBK" w:cs="方正仿宋_GBK"/>
                <w:kern w:val="0"/>
                <w:sz w:val="20"/>
                <w:szCs w:val="20"/>
              </w:rPr>
              <w:t>100</w:t>
            </w:r>
            <w:r>
              <w:rPr>
                <w:rFonts w:hint="eastAsia" w:ascii="方正仿宋_GBK" w:hAnsi="方正仿宋_GBK" w:eastAsia="方正仿宋_GBK" w:cs="方正仿宋_GBK"/>
                <w:kern w:val="0"/>
                <w:sz w:val="20"/>
                <w:szCs w:val="20"/>
              </w:rPr>
              <w:t>%的计</w:t>
            </w:r>
            <w:r>
              <w:rPr>
                <w:rFonts w:hint="eastAsia" w:ascii="宋体" w:hAnsi="宋体" w:eastAsia="方正仿宋_GBK" w:cs="方正仿宋_GBK"/>
                <w:kern w:val="0"/>
                <w:sz w:val="20"/>
                <w:szCs w:val="20"/>
              </w:rPr>
              <w:t>2</w:t>
            </w:r>
            <w:r>
              <w:rPr>
                <w:rFonts w:hint="eastAsia" w:ascii="方正仿宋_GBK" w:hAnsi="方正仿宋_GBK" w:eastAsia="方正仿宋_GBK" w:cs="方正仿宋_GBK"/>
                <w:kern w:val="0"/>
                <w:sz w:val="20"/>
                <w:szCs w:val="20"/>
              </w:rPr>
              <w:t>分，每超过</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个百分点扣</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分，扣完为止）</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2</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0"/>
                <w:szCs w:val="20"/>
              </w:rPr>
              <w:t>“三公经费”</w:t>
            </w:r>
            <w:r>
              <w:rPr>
                <w:rFonts w:hint="eastAsia" w:ascii="方正仿宋_GBK" w:hAnsi="方正仿宋_GBK" w:eastAsia="方正仿宋_GBK" w:cs="方正仿宋_GBK"/>
                <w:kern w:val="0"/>
                <w:sz w:val="20"/>
                <w:szCs w:val="20"/>
                <w:lang w:eastAsia="zh-CN"/>
              </w:rPr>
              <w:t>发生额为</w:t>
            </w:r>
            <w:r>
              <w:rPr>
                <w:rFonts w:hint="eastAsia" w:ascii="宋体" w:hAnsi="宋体" w:eastAsia="方正仿宋_GBK" w:cs="方正仿宋_GBK"/>
                <w:kern w:val="0"/>
                <w:sz w:val="20"/>
                <w:szCs w:val="20"/>
                <w:lang w:val="en-US" w:eastAsia="zh-CN"/>
              </w:rPr>
              <w:t>0</w:t>
            </w:r>
            <w:r>
              <w:rPr>
                <w:rFonts w:hint="eastAsia" w:ascii="方正仿宋_GBK" w:hAnsi="方正仿宋_GBK" w:eastAsia="方正仿宋_GBK" w:cs="方正仿宋_GBK"/>
                <w:kern w:val="0"/>
                <w:sz w:val="24"/>
              </w:rPr>
              <w:t>　</w:t>
            </w:r>
          </w:p>
        </w:tc>
      </w:tr>
      <w:tr>
        <w:tblPrEx>
          <w:tblCellMar>
            <w:top w:w="0" w:type="dxa"/>
            <w:left w:w="108" w:type="dxa"/>
            <w:bottom w:w="0" w:type="dxa"/>
            <w:right w:w="108" w:type="dxa"/>
          </w:tblCellMar>
        </w:tblPrEx>
        <w:trPr>
          <w:trHeight w:val="1912" w:hRule="atLeast"/>
          <w:jc w:val="center"/>
        </w:trPr>
        <w:tc>
          <w:tcPr>
            <w:tcW w:w="47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spacing w:val="-20"/>
                <w:kern w:val="0"/>
                <w:sz w:val="20"/>
                <w:szCs w:val="20"/>
              </w:rPr>
            </w:pP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政府采购执行率（</w:t>
            </w:r>
            <w:r>
              <w:rPr>
                <w:rFonts w:hint="eastAsia" w:ascii="宋体" w:hAnsi="宋体" w:eastAsia="方正仿宋_GBK" w:cs="方正仿宋_GBK"/>
                <w:kern w:val="0"/>
                <w:sz w:val="20"/>
                <w:szCs w:val="20"/>
              </w:rPr>
              <w:t>4</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部门（单位）本年度实际政府采购金额与年初政府采购预算的比率，用以反映和考核部门（单位）政府采购预算执行情况。</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政府采购执行率=（实际政府采购金额/政府采购预算数）×</w:t>
            </w:r>
            <w:r>
              <w:rPr>
                <w:rFonts w:hint="eastAsia" w:ascii="宋体" w:hAnsi="宋体" w:eastAsia="方正仿宋_GBK" w:cs="方正仿宋_GBK"/>
                <w:kern w:val="0"/>
                <w:sz w:val="20"/>
                <w:szCs w:val="20"/>
              </w:rPr>
              <w:t>100</w:t>
            </w:r>
            <w:r>
              <w:rPr>
                <w:rFonts w:hint="eastAsia" w:ascii="方正仿宋_GBK" w:hAnsi="方正仿宋_GBK" w:eastAsia="方正仿宋_GBK" w:cs="方正仿宋_GBK"/>
                <w:kern w:val="0"/>
                <w:sz w:val="20"/>
                <w:szCs w:val="20"/>
              </w:rPr>
              <w:t>%。（为</w:t>
            </w:r>
            <w:r>
              <w:rPr>
                <w:rFonts w:hint="eastAsia" w:ascii="宋体" w:hAnsi="宋体" w:eastAsia="方正仿宋_GBK" w:cs="方正仿宋_GBK"/>
                <w:kern w:val="0"/>
                <w:sz w:val="20"/>
                <w:szCs w:val="20"/>
              </w:rPr>
              <w:t>100</w:t>
            </w:r>
            <w:r>
              <w:rPr>
                <w:rFonts w:hint="eastAsia" w:ascii="方正仿宋_GBK" w:hAnsi="方正仿宋_GBK" w:eastAsia="方正仿宋_GBK" w:cs="方正仿宋_GBK"/>
                <w:kern w:val="0"/>
                <w:sz w:val="20"/>
                <w:szCs w:val="20"/>
              </w:rPr>
              <w:t>%的计</w:t>
            </w:r>
            <w:r>
              <w:rPr>
                <w:rFonts w:hint="eastAsia" w:ascii="宋体" w:hAnsi="宋体" w:eastAsia="方正仿宋_GBK" w:cs="方正仿宋_GBK"/>
                <w:kern w:val="0"/>
                <w:sz w:val="20"/>
                <w:szCs w:val="20"/>
              </w:rPr>
              <w:t>2</w:t>
            </w:r>
            <w:r>
              <w:rPr>
                <w:rFonts w:hint="eastAsia" w:ascii="方正仿宋_GBK" w:hAnsi="方正仿宋_GBK" w:eastAsia="方正仿宋_GBK" w:cs="方正仿宋_GBK"/>
                <w:kern w:val="0"/>
                <w:sz w:val="20"/>
                <w:szCs w:val="20"/>
              </w:rPr>
              <w:t>分，每低于</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个百分点扣</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分，扣完为止）</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 xml:space="preserve">政府采购预算：采购机关根据事业发展计划和行政任务编制的、并经过规定程序批准的年度政府采购计划。 </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4</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rPr>
            </w:pPr>
            <w:r>
              <w:rPr>
                <w:rFonts w:hint="eastAsia" w:ascii="宋体" w:hAnsi="宋体" w:eastAsia="方正仿宋_GBK" w:cs="方正仿宋_GBK"/>
                <w:kern w:val="0"/>
                <w:sz w:val="20"/>
                <w:szCs w:val="20"/>
                <w:lang w:val="en-US"/>
              </w:rPr>
              <w:t>202</w:t>
            </w:r>
            <w:r>
              <w:rPr>
                <w:rFonts w:hint="eastAsia" w:ascii="宋体" w:hAnsi="宋体" w:eastAsia="方正仿宋_GBK" w:cs="方正仿宋_GBK"/>
                <w:kern w:val="0"/>
                <w:sz w:val="20"/>
                <w:szCs w:val="20"/>
                <w:lang w:val="en-US" w:eastAsia="zh-CN"/>
              </w:rPr>
              <w:t>2</w:t>
            </w:r>
            <w:r>
              <w:rPr>
                <w:rFonts w:hint="eastAsia" w:ascii="方正仿宋_GBK" w:hAnsi="方正仿宋_GBK" w:eastAsia="方正仿宋_GBK" w:cs="方正仿宋_GBK"/>
                <w:kern w:val="0"/>
                <w:sz w:val="20"/>
                <w:szCs w:val="20"/>
                <w:lang w:val="en-US"/>
              </w:rPr>
              <w:t>年未发生</w:t>
            </w:r>
            <w:r>
              <w:rPr>
                <w:rFonts w:hint="eastAsia" w:ascii="方正仿宋_GBK" w:hAnsi="方正仿宋_GBK" w:eastAsia="方正仿宋_GBK" w:cs="方正仿宋_GBK"/>
                <w:kern w:val="0"/>
                <w:sz w:val="20"/>
                <w:szCs w:val="20"/>
              </w:rPr>
              <w:t>政府采购金额</w:t>
            </w:r>
          </w:p>
        </w:tc>
      </w:tr>
      <w:tr>
        <w:tblPrEx>
          <w:tblCellMar>
            <w:top w:w="0" w:type="dxa"/>
            <w:left w:w="108" w:type="dxa"/>
            <w:bottom w:w="0" w:type="dxa"/>
            <w:right w:w="108" w:type="dxa"/>
          </w:tblCellMar>
        </w:tblPrEx>
        <w:trPr>
          <w:trHeight w:val="2084" w:hRule="atLeast"/>
          <w:jc w:val="center"/>
        </w:trPr>
        <w:tc>
          <w:tcPr>
            <w:tcW w:w="47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restart"/>
            <w:tcBorders>
              <w:top w:val="nil"/>
              <w:left w:val="single" w:color="auto" w:sz="4" w:space="0"/>
              <w:bottom w:val="single" w:color="auto" w:sz="4" w:space="0"/>
              <w:right w:val="single" w:color="auto" w:sz="4" w:space="0"/>
            </w:tcBorders>
            <w:vAlign w:val="center"/>
          </w:tcPr>
          <w:p>
            <w:pPr>
              <w:widowControl/>
              <w:ind w:left="0" w:leftChars="0" w:firstLine="0" w:firstLineChars="0"/>
              <w:jc w:val="both"/>
              <w:rPr>
                <w:rFonts w:hint="eastAsia" w:ascii="方正仿宋_GBK" w:hAnsi="方正仿宋_GBK" w:eastAsia="方正仿宋_GBK" w:cs="方正仿宋_GBK"/>
                <w:spacing w:val="-20"/>
                <w:kern w:val="0"/>
                <w:sz w:val="20"/>
                <w:szCs w:val="20"/>
              </w:rPr>
            </w:pPr>
            <w:r>
              <w:rPr>
                <w:rFonts w:hint="eastAsia" w:ascii="方正仿宋_GBK" w:hAnsi="方正仿宋_GBK" w:eastAsia="方正仿宋_GBK" w:cs="方正仿宋_GBK"/>
                <w:spacing w:val="-20"/>
                <w:kern w:val="0"/>
                <w:sz w:val="20"/>
                <w:szCs w:val="20"/>
              </w:rPr>
              <w:t>预算管理（</w:t>
            </w:r>
            <w:r>
              <w:rPr>
                <w:rFonts w:hint="eastAsia" w:ascii="宋体" w:hAnsi="宋体" w:eastAsia="方正仿宋_GBK" w:cs="方正仿宋_GBK"/>
                <w:spacing w:val="-20"/>
                <w:kern w:val="0"/>
                <w:sz w:val="20"/>
                <w:szCs w:val="20"/>
              </w:rPr>
              <w:t>5</w:t>
            </w:r>
            <w:r>
              <w:rPr>
                <w:rFonts w:hint="eastAsia" w:ascii="方正仿宋_GBK" w:hAnsi="方正仿宋_GBK" w:eastAsia="方正仿宋_GBK" w:cs="方正仿宋_GBK"/>
                <w:spacing w:val="-20"/>
                <w:kern w:val="0"/>
                <w:sz w:val="20"/>
                <w:szCs w:val="20"/>
              </w:rPr>
              <w:t>分）</w:t>
            </w: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管理制度健全性（</w:t>
            </w:r>
            <w:r>
              <w:rPr>
                <w:rFonts w:hint="eastAsia" w:ascii="宋体" w:hAnsi="宋体" w:eastAsia="方正仿宋_GBK" w:cs="方正仿宋_GBK"/>
                <w:kern w:val="0"/>
                <w:sz w:val="20"/>
                <w:szCs w:val="20"/>
              </w:rPr>
              <w:t>2</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部门（单位）为加强预算管理、规范财务行为而制定的管理制度是否健全完整，用以反映和考核部门（单位）预算管理制度对完成主要职责或促进事业发展的保障情况。</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①是否已制定或具有预算资金管理办法、内部财务管理制度、会计核算制度等管理制度；（</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②相关管理制度是否合法、合规、完整；（</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③相关管理制度是否得到有效执行。（</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分）</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1</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0"/>
                <w:szCs w:val="20"/>
                <w:lang w:val="en-US"/>
              </w:rPr>
            </w:pPr>
            <w:r>
              <w:rPr>
                <w:rFonts w:hint="eastAsia" w:ascii="方正仿宋_GBK" w:hAnsi="方正仿宋_GBK" w:eastAsia="方正仿宋_GBK" w:cs="方正仿宋_GBK"/>
                <w:kern w:val="0"/>
                <w:sz w:val="20"/>
                <w:szCs w:val="20"/>
                <w:lang w:val="en-US"/>
              </w:rPr>
              <w:t>已制定预算资金管理办法、</w:t>
            </w:r>
          </w:p>
          <w:p>
            <w:pPr>
              <w:widowControl/>
              <w:jc w:val="left"/>
              <w:rPr>
                <w:rFonts w:hint="eastAsia" w:ascii="方正仿宋_GBK" w:hAnsi="方正仿宋_GBK" w:eastAsia="方正仿宋_GBK" w:cs="方正仿宋_GBK"/>
                <w:kern w:val="0"/>
                <w:sz w:val="20"/>
                <w:szCs w:val="20"/>
                <w:lang w:val="en-US"/>
              </w:rPr>
            </w:pPr>
            <w:r>
              <w:rPr>
                <w:rFonts w:hint="eastAsia" w:ascii="方正仿宋_GBK" w:hAnsi="方正仿宋_GBK" w:eastAsia="方正仿宋_GBK" w:cs="方正仿宋_GBK"/>
                <w:kern w:val="0"/>
                <w:sz w:val="20"/>
                <w:szCs w:val="20"/>
                <w:lang w:val="en-US"/>
              </w:rPr>
              <w:t>内部财务管理制度等，但在</w:t>
            </w:r>
          </w:p>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0"/>
                <w:szCs w:val="20"/>
                <w:lang w:val="en-US"/>
              </w:rPr>
              <w:t>执行上还需加强　</w:t>
            </w:r>
          </w:p>
        </w:tc>
      </w:tr>
      <w:tr>
        <w:tblPrEx>
          <w:tblCellMar>
            <w:top w:w="0" w:type="dxa"/>
            <w:left w:w="108" w:type="dxa"/>
            <w:bottom w:w="0" w:type="dxa"/>
            <w:right w:w="108" w:type="dxa"/>
          </w:tblCellMar>
        </w:tblPrEx>
        <w:trPr>
          <w:trHeight w:val="2976" w:hRule="atLeast"/>
          <w:jc w:val="center"/>
        </w:trPr>
        <w:tc>
          <w:tcPr>
            <w:tcW w:w="47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pacing w:val="-20"/>
                <w:kern w:val="0"/>
                <w:sz w:val="20"/>
                <w:szCs w:val="20"/>
              </w:rPr>
            </w:pP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资金使用合规性（</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部门（单位）使用预算资金是否符合相关的预算财务管理制度的规定，用以反映和考核部门（单位）预算资金的规范运行情况。</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①是否符合国家财经法规和财务管理制度规定以及有关专项资金管理办法的规定；（</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2</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②资金的拨付是否有完整的审批程序和手续；（</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2</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③项目的重大开支是否经过评估论证；（</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2</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④是否符合部门预算批复的用途；（</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2</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⑤是否存在截留、挤占、挪用、虚列支出等情况。（</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2</w:t>
            </w:r>
            <w:r>
              <w:rPr>
                <w:rFonts w:hint="eastAsia" w:ascii="方正仿宋_GBK" w:hAnsi="方正仿宋_GBK" w:eastAsia="方正仿宋_GBK" w:cs="方正仿宋_GBK"/>
                <w:kern w:val="0"/>
                <w:sz w:val="20"/>
                <w:szCs w:val="20"/>
              </w:rPr>
              <w:t>分）</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1</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符合国家财经法规和财务管</w:t>
            </w:r>
          </w:p>
          <w:p>
            <w:pPr>
              <w:widowControl/>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理制度规定以及有关专项资</w:t>
            </w:r>
          </w:p>
          <w:p>
            <w:pPr>
              <w:widowControl/>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金管理办法的规定；资金的</w:t>
            </w:r>
          </w:p>
          <w:p>
            <w:pPr>
              <w:widowControl/>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拨付有完整的审批程序和手</w:t>
            </w:r>
          </w:p>
          <w:p>
            <w:pPr>
              <w:widowControl/>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续；项目的重大开支经过评</w:t>
            </w:r>
          </w:p>
          <w:p>
            <w:pPr>
              <w:widowControl/>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估论证；符合部门预算批复</w:t>
            </w:r>
          </w:p>
          <w:p>
            <w:pPr>
              <w:widowControl/>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的用途；不存在截留、挤占</w:t>
            </w:r>
          </w:p>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sz w:val="18"/>
                <w:szCs w:val="18"/>
              </w:rPr>
              <w:t>、挪用、虚列支出等情况。</w:t>
            </w:r>
            <w:r>
              <w:rPr>
                <w:rFonts w:hint="eastAsia" w:ascii="方正仿宋_GBK" w:hAnsi="方正仿宋_GBK" w:eastAsia="方正仿宋_GBK" w:cs="方正仿宋_GBK"/>
                <w:kern w:val="0"/>
                <w:sz w:val="24"/>
              </w:rPr>
              <w:t>　</w:t>
            </w:r>
          </w:p>
        </w:tc>
      </w:tr>
      <w:tr>
        <w:tblPrEx>
          <w:tblCellMar>
            <w:top w:w="0" w:type="dxa"/>
            <w:left w:w="108" w:type="dxa"/>
            <w:bottom w:w="0" w:type="dxa"/>
            <w:right w:w="108" w:type="dxa"/>
          </w:tblCellMar>
        </w:tblPrEx>
        <w:trPr>
          <w:trHeight w:val="2096" w:hRule="atLeast"/>
          <w:jc w:val="center"/>
        </w:trPr>
        <w:tc>
          <w:tcPr>
            <w:tcW w:w="47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pacing w:val="-20"/>
                <w:kern w:val="0"/>
                <w:sz w:val="20"/>
                <w:szCs w:val="20"/>
              </w:rPr>
            </w:pP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预决算信息公开性（</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部门（单位）是否按照政府信息公开有关规定公开相关预决算信息，用以反映和考核部门（单位）预决算管理的公开透明情况。</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①是否按规定内容公开预决算信息；（</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②是否按规定时限公开预决算信息。（</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预决算信息是指与部门预算、执行、决算、监督、绩效等管理相关的信息。</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1</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按规定内容公开预决算信息；</w:t>
            </w:r>
          </w:p>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sz w:val="18"/>
                <w:szCs w:val="18"/>
              </w:rPr>
              <w:t>按规定时限公开预决算信息</w:t>
            </w:r>
            <w:r>
              <w:rPr>
                <w:rFonts w:hint="eastAsia" w:ascii="方正仿宋_GBK" w:hAnsi="方正仿宋_GBK" w:eastAsia="方正仿宋_GBK" w:cs="方正仿宋_GBK"/>
                <w:kern w:val="0"/>
                <w:sz w:val="24"/>
              </w:rPr>
              <w:t>　</w:t>
            </w:r>
          </w:p>
        </w:tc>
      </w:tr>
      <w:tr>
        <w:tblPrEx>
          <w:tblCellMar>
            <w:top w:w="0" w:type="dxa"/>
            <w:left w:w="108" w:type="dxa"/>
            <w:bottom w:w="0" w:type="dxa"/>
            <w:right w:w="108" w:type="dxa"/>
          </w:tblCellMar>
        </w:tblPrEx>
        <w:trPr>
          <w:trHeight w:val="1983" w:hRule="atLeast"/>
          <w:jc w:val="center"/>
        </w:trPr>
        <w:tc>
          <w:tcPr>
            <w:tcW w:w="47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pacing w:val="-20"/>
                <w:kern w:val="0"/>
                <w:sz w:val="20"/>
                <w:szCs w:val="20"/>
              </w:rPr>
            </w:pP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基础信息完善性（</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部门（单位）基础信息是否完善，用以反映和考核基础信息对预算管理工作的支撑情况。</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①基础数据信息和会计信息资料是否真实；（</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4</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②基础数据信息和会计信息资料是否完整；（</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3</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③基础数据信息和会计信息资料是否准确。（</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3</w:t>
            </w:r>
            <w:r>
              <w:rPr>
                <w:rFonts w:hint="eastAsia" w:ascii="方正仿宋_GBK" w:hAnsi="方正仿宋_GBK" w:eastAsia="方正仿宋_GBK" w:cs="方正仿宋_GBK"/>
                <w:kern w:val="0"/>
                <w:sz w:val="20"/>
                <w:szCs w:val="20"/>
              </w:rPr>
              <w:t>分）</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1</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基础数据信息和会计信息资</w:t>
            </w:r>
          </w:p>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sz w:val="18"/>
                <w:szCs w:val="18"/>
              </w:rPr>
              <w:t>料真实完整准确</w:t>
            </w:r>
            <w:r>
              <w:rPr>
                <w:rFonts w:hint="eastAsia" w:ascii="方正仿宋_GBK" w:hAnsi="方正仿宋_GBK" w:eastAsia="方正仿宋_GBK" w:cs="方正仿宋_GBK"/>
                <w:kern w:val="0"/>
                <w:sz w:val="24"/>
              </w:rPr>
              <w:t>　</w:t>
            </w:r>
          </w:p>
        </w:tc>
      </w:tr>
      <w:tr>
        <w:tblPrEx>
          <w:tblCellMar>
            <w:top w:w="0" w:type="dxa"/>
            <w:left w:w="108" w:type="dxa"/>
            <w:bottom w:w="0" w:type="dxa"/>
            <w:right w:w="108" w:type="dxa"/>
          </w:tblCellMar>
        </w:tblPrEx>
        <w:trPr>
          <w:trHeight w:val="1290" w:hRule="atLeast"/>
          <w:jc w:val="center"/>
        </w:trPr>
        <w:tc>
          <w:tcPr>
            <w:tcW w:w="47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restart"/>
            <w:tcBorders>
              <w:top w:val="nil"/>
              <w:left w:val="single" w:color="auto" w:sz="4" w:space="0"/>
              <w:bottom w:val="single" w:color="auto" w:sz="4" w:space="0"/>
              <w:right w:val="single" w:color="auto" w:sz="4" w:space="0"/>
            </w:tcBorders>
            <w:vAlign w:val="center"/>
          </w:tcPr>
          <w:p>
            <w:pPr>
              <w:widowControl/>
              <w:ind w:left="0" w:leftChars="0" w:firstLine="0" w:firstLineChars="0"/>
              <w:jc w:val="both"/>
              <w:rPr>
                <w:rFonts w:hint="eastAsia" w:ascii="方正仿宋_GBK" w:hAnsi="方正仿宋_GBK" w:eastAsia="方正仿宋_GBK" w:cs="方正仿宋_GBK"/>
                <w:spacing w:val="-20"/>
                <w:kern w:val="0"/>
                <w:sz w:val="20"/>
                <w:szCs w:val="20"/>
              </w:rPr>
            </w:pPr>
            <w:r>
              <w:rPr>
                <w:rFonts w:hint="eastAsia" w:ascii="方正仿宋_GBK" w:hAnsi="方正仿宋_GBK" w:eastAsia="方正仿宋_GBK" w:cs="方正仿宋_GBK"/>
                <w:spacing w:val="-20"/>
                <w:kern w:val="0"/>
                <w:sz w:val="20"/>
                <w:szCs w:val="20"/>
              </w:rPr>
              <w:t>资产管理（</w:t>
            </w:r>
            <w:r>
              <w:rPr>
                <w:rFonts w:hint="eastAsia" w:ascii="宋体" w:hAnsi="宋体" w:eastAsia="方正仿宋_GBK" w:cs="方正仿宋_GBK"/>
                <w:spacing w:val="-20"/>
                <w:kern w:val="0"/>
                <w:sz w:val="20"/>
                <w:szCs w:val="20"/>
              </w:rPr>
              <w:t>5</w:t>
            </w:r>
            <w:r>
              <w:rPr>
                <w:rFonts w:hint="eastAsia" w:ascii="方正仿宋_GBK" w:hAnsi="方正仿宋_GBK" w:eastAsia="方正仿宋_GBK" w:cs="方正仿宋_GBK"/>
                <w:spacing w:val="-20"/>
                <w:kern w:val="0"/>
                <w:sz w:val="20"/>
                <w:szCs w:val="20"/>
              </w:rPr>
              <w:t>分）</w:t>
            </w: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管理制度健全性（</w:t>
            </w:r>
            <w:r>
              <w:rPr>
                <w:rFonts w:hint="eastAsia" w:ascii="宋体" w:hAnsi="宋体" w:eastAsia="方正仿宋_GBK" w:cs="方正仿宋_GBK"/>
                <w:kern w:val="0"/>
                <w:sz w:val="20"/>
                <w:szCs w:val="20"/>
              </w:rPr>
              <w:t>2</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94" w:type="pct"/>
            <w:tcBorders>
              <w:top w:val="nil"/>
              <w:left w:val="nil"/>
              <w:bottom w:val="single" w:color="auto" w:sz="4" w:space="0"/>
              <w:right w:val="single" w:color="auto" w:sz="4" w:space="0"/>
            </w:tcBorders>
            <w:vAlign w:val="center"/>
          </w:tcPr>
          <w:p>
            <w:pPr>
              <w:widowControl/>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①是否已制定或具有资产管理制度；（</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分）</w:t>
            </w:r>
          </w:p>
          <w:p>
            <w:pPr>
              <w:widowControl/>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②相关资金管理制度是否合法、合规、完整；（</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分）</w:t>
            </w:r>
          </w:p>
          <w:p>
            <w:pPr>
              <w:widowControl/>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③相关资产管理制度是否得到有效执行。（</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分）</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2</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sz w:val="18"/>
              </w:rPr>
            </w:pPr>
            <w:r>
              <w:rPr>
                <w:rFonts w:hint="eastAsia" w:ascii="方正仿宋_GBK" w:hAnsi="方正仿宋_GBK" w:eastAsia="方正仿宋_GBK" w:cs="方正仿宋_GBK"/>
                <w:sz w:val="18"/>
              </w:rPr>
              <w:t>已制定资产管理制度；相关资</w:t>
            </w:r>
          </w:p>
          <w:p>
            <w:pPr>
              <w:widowControl/>
              <w:jc w:val="left"/>
              <w:rPr>
                <w:rFonts w:hint="eastAsia" w:ascii="方正仿宋_GBK" w:hAnsi="方正仿宋_GBK" w:eastAsia="方正仿宋_GBK" w:cs="方正仿宋_GBK"/>
                <w:sz w:val="18"/>
              </w:rPr>
            </w:pPr>
            <w:r>
              <w:rPr>
                <w:rFonts w:hint="eastAsia" w:ascii="方正仿宋_GBK" w:hAnsi="方正仿宋_GBK" w:eastAsia="方正仿宋_GBK" w:cs="方正仿宋_GBK"/>
                <w:sz w:val="18"/>
              </w:rPr>
              <w:t>金管理制度合法、合规、完整；</w:t>
            </w:r>
          </w:p>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sz w:val="18"/>
              </w:rPr>
              <w:t>相关资产管理制度得到有效执行</w:t>
            </w:r>
            <w:r>
              <w:rPr>
                <w:rFonts w:hint="eastAsia" w:ascii="方正仿宋_GBK" w:hAnsi="方正仿宋_GBK" w:eastAsia="方正仿宋_GBK" w:cs="方正仿宋_GBK"/>
                <w:kern w:val="0"/>
                <w:sz w:val="24"/>
              </w:rPr>
              <w:t>　</w:t>
            </w:r>
          </w:p>
        </w:tc>
      </w:tr>
      <w:tr>
        <w:tblPrEx>
          <w:tblCellMar>
            <w:top w:w="0" w:type="dxa"/>
            <w:left w:w="108" w:type="dxa"/>
            <w:bottom w:w="0" w:type="dxa"/>
            <w:right w:w="108" w:type="dxa"/>
          </w:tblCellMar>
        </w:tblPrEx>
        <w:trPr>
          <w:trHeight w:val="2198" w:hRule="atLeast"/>
          <w:jc w:val="center"/>
        </w:trPr>
        <w:tc>
          <w:tcPr>
            <w:tcW w:w="47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pacing w:val="-20"/>
                <w:kern w:val="0"/>
                <w:sz w:val="20"/>
                <w:szCs w:val="20"/>
              </w:rPr>
            </w:pP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资产管理安全性（</w:t>
            </w:r>
            <w:r>
              <w:rPr>
                <w:rFonts w:hint="eastAsia" w:ascii="宋体" w:hAnsi="宋体" w:eastAsia="方正仿宋_GBK" w:cs="方正仿宋_GBK"/>
                <w:kern w:val="0"/>
                <w:sz w:val="20"/>
                <w:szCs w:val="20"/>
              </w:rPr>
              <w:t>2</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部门（单位）的资产是否保存完整、使用合规、配置合理、处置规范、收入及时足额上缴，用以反映和考核部门（单位）资产安全运行情况。</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①资产保存是否完整；（</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4</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②资产配置是否合理；（</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4</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③资产处置是否规范；（</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4</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④资产账务管理是否合规，是否帐实相符；（</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4</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⑤资产是否有偿使用及处置收入及时足额上缴。（</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4</w:t>
            </w:r>
            <w:r>
              <w:rPr>
                <w:rFonts w:hint="eastAsia" w:ascii="方正仿宋_GBK" w:hAnsi="方正仿宋_GBK" w:eastAsia="方正仿宋_GBK" w:cs="方正仿宋_GBK"/>
                <w:kern w:val="0"/>
                <w:sz w:val="20"/>
                <w:szCs w:val="20"/>
              </w:rPr>
              <w:t>分）</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2</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sz w:val="18"/>
              </w:rPr>
            </w:pPr>
            <w:r>
              <w:rPr>
                <w:rFonts w:hint="eastAsia" w:ascii="方正仿宋_GBK" w:hAnsi="方正仿宋_GBK" w:eastAsia="方正仿宋_GBK" w:cs="方正仿宋_GBK"/>
                <w:sz w:val="18"/>
              </w:rPr>
              <w:t>资产保存完整；资产配置比较</w:t>
            </w:r>
          </w:p>
          <w:p>
            <w:pPr>
              <w:widowControl/>
              <w:jc w:val="left"/>
              <w:rPr>
                <w:rFonts w:hint="eastAsia" w:ascii="方正仿宋_GBK" w:hAnsi="方正仿宋_GBK" w:eastAsia="方正仿宋_GBK" w:cs="方正仿宋_GBK"/>
                <w:sz w:val="18"/>
              </w:rPr>
            </w:pPr>
            <w:r>
              <w:rPr>
                <w:rFonts w:hint="eastAsia" w:ascii="方正仿宋_GBK" w:hAnsi="方正仿宋_GBK" w:eastAsia="方正仿宋_GBK" w:cs="方正仿宋_GBK"/>
                <w:sz w:val="18"/>
              </w:rPr>
              <w:t>合理；资产处置规范；资产账</w:t>
            </w:r>
          </w:p>
          <w:p>
            <w:pPr>
              <w:widowControl/>
              <w:jc w:val="left"/>
              <w:rPr>
                <w:rFonts w:hint="eastAsia" w:ascii="方正仿宋_GBK" w:hAnsi="方正仿宋_GBK" w:eastAsia="方正仿宋_GBK" w:cs="方正仿宋_GBK"/>
                <w:sz w:val="18"/>
              </w:rPr>
            </w:pPr>
            <w:r>
              <w:rPr>
                <w:rFonts w:hint="eastAsia" w:ascii="方正仿宋_GBK" w:hAnsi="方正仿宋_GBK" w:eastAsia="方正仿宋_GBK" w:cs="方正仿宋_GBK"/>
                <w:sz w:val="18"/>
              </w:rPr>
              <w:t>务管理合规，帐实相符；资产</w:t>
            </w:r>
          </w:p>
          <w:p>
            <w:pPr>
              <w:widowControl/>
              <w:jc w:val="left"/>
              <w:rPr>
                <w:rFonts w:hint="eastAsia" w:ascii="方正仿宋_GBK" w:hAnsi="方正仿宋_GBK" w:eastAsia="方正仿宋_GBK" w:cs="方正仿宋_GBK"/>
                <w:sz w:val="18"/>
              </w:rPr>
            </w:pPr>
            <w:r>
              <w:rPr>
                <w:rFonts w:hint="eastAsia" w:ascii="方正仿宋_GBK" w:hAnsi="方正仿宋_GBK" w:eastAsia="方正仿宋_GBK" w:cs="方正仿宋_GBK"/>
                <w:sz w:val="18"/>
              </w:rPr>
              <w:t>有偿使用及处置收入及时足额</w:t>
            </w:r>
          </w:p>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sz w:val="18"/>
              </w:rPr>
              <w:t>上缴</w:t>
            </w:r>
            <w:r>
              <w:rPr>
                <w:rFonts w:hint="eastAsia" w:ascii="方正仿宋_GBK" w:hAnsi="方正仿宋_GBK" w:eastAsia="方正仿宋_GBK" w:cs="方正仿宋_GBK"/>
                <w:kern w:val="0"/>
                <w:sz w:val="24"/>
              </w:rPr>
              <w:t>　</w:t>
            </w:r>
          </w:p>
        </w:tc>
      </w:tr>
      <w:tr>
        <w:tblPrEx>
          <w:tblCellMar>
            <w:top w:w="0" w:type="dxa"/>
            <w:left w:w="108" w:type="dxa"/>
            <w:bottom w:w="0" w:type="dxa"/>
            <w:right w:w="108" w:type="dxa"/>
          </w:tblCellMar>
        </w:tblPrEx>
        <w:trPr>
          <w:trHeight w:val="1691" w:hRule="atLeast"/>
          <w:jc w:val="center"/>
        </w:trPr>
        <w:tc>
          <w:tcPr>
            <w:tcW w:w="472" w:type="pct"/>
            <w:vMerge w:val="continue"/>
            <w:tcBorders>
              <w:top w:val="nil"/>
              <w:left w:val="single" w:color="auto" w:sz="4" w:space="0"/>
              <w:bottom w:val="single" w:color="000000"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pacing w:val="-20"/>
                <w:kern w:val="0"/>
                <w:sz w:val="20"/>
                <w:szCs w:val="20"/>
              </w:rPr>
            </w:pP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固定资产利用率（</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部门（单位）实际在用固定资产总额与所有固定资产总额的比率，用以反映和考核部门（单位）固定资产使用效率程度。</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固定资产利用率=（实际在用固定资产总额/所有固定资产总额）×</w:t>
            </w:r>
            <w:r>
              <w:rPr>
                <w:rFonts w:hint="eastAsia" w:ascii="宋体" w:hAnsi="宋体" w:eastAsia="方正仿宋_GBK" w:cs="方正仿宋_GBK"/>
                <w:kern w:val="0"/>
                <w:sz w:val="20"/>
                <w:szCs w:val="20"/>
              </w:rPr>
              <w:t>100</w:t>
            </w:r>
            <w:r>
              <w:rPr>
                <w:rFonts w:hint="eastAsia" w:ascii="方正仿宋_GBK" w:hAnsi="方正仿宋_GBK" w:eastAsia="方正仿宋_GBK" w:cs="方正仿宋_GBK"/>
                <w:kern w:val="0"/>
                <w:sz w:val="20"/>
                <w:szCs w:val="20"/>
              </w:rPr>
              <w:t>%。（利用率为</w:t>
            </w:r>
            <w:r>
              <w:rPr>
                <w:rFonts w:hint="eastAsia" w:ascii="宋体" w:hAnsi="宋体" w:eastAsia="方正仿宋_GBK" w:cs="方正仿宋_GBK"/>
                <w:kern w:val="0"/>
                <w:sz w:val="20"/>
                <w:szCs w:val="20"/>
              </w:rPr>
              <w:t>100</w:t>
            </w:r>
            <w:r>
              <w:rPr>
                <w:rFonts w:hint="eastAsia" w:ascii="方正仿宋_GBK" w:hAnsi="方正仿宋_GBK" w:eastAsia="方正仿宋_GBK" w:cs="方正仿宋_GBK"/>
                <w:kern w:val="0"/>
                <w:sz w:val="20"/>
                <w:szCs w:val="20"/>
              </w:rPr>
              <w:t>%的计</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分，每降</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个百分点扣</w:t>
            </w:r>
            <w:r>
              <w:rPr>
                <w:rFonts w:hint="eastAsia" w:ascii="宋体" w:hAnsi="宋体" w:eastAsia="方正仿宋_GBK" w:cs="方正仿宋_GBK"/>
                <w:kern w:val="0"/>
                <w:sz w:val="20"/>
                <w:szCs w:val="20"/>
              </w:rPr>
              <w:t>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分，扣完为止）</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1</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　</w:t>
            </w:r>
          </w:p>
        </w:tc>
      </w:tr>
      <w:tr>
        <w:tblPrEx>
          <w:tblCellMar>
            <w:top w:w="0" w:type="dxa"/>
            <w:left w:w="108" w:type="dxa"/>
            <w:bottom w:w="0" w:type="dxa"/>
            <w:right w:w="108" w:type="dxa"/>
          </w:tblCellMar>
        </w:tblPrEx>
        <w:trPr>
          <w:trHeight w:val="2821" w:hRule="atLeast"/>
          <w:jc w:val="center"/>
        </w:trPr>
        <w:tc>
          <w:tcPr>
            <w:tcW w:w="472" w:type="pct"/>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产 出（</w:t>
            </w:r>
            <w:r>
              <w:rPr>
                <w:rFonts w:hint="eastAsia" w:ascii="宋体" w:hAnsi="宋体" w:eastAsia="方正仿宋_GBK" w:cs="方正仿宋_GBK"/>
                <w:kern w:val="0"/>
                <w:sz w:val="20"/>
                <w:szCs w:val="20"/>
              </w:rPr>
              <w:t>30</w:t>
            </w:r>
            <w:r>
              <w:rPr>
                <w:rFonts w:hint="eastAsia" w:ascii="方正仿宋_GBK" w:hAnsi="方正仿宋_GBK" w:eastAsia="方正仿宋_GBK" w:cs="方正仿宋_GBK"/>
                <w:kern w:val="0"/>
                <w:sz w:val="20"/>
                <w:szCs w:val="20"/>
              </w:rPr>
              <w:t>分）</w:t>
            </w:r>
          </w:p>
        </w:tc>
        <w:tc>
          <w:tcPr>
            <w:tcW w:w="542" w:type="pct"/>
            <w:vMerge w:val="restart"/>
            <w:tcBorders>
              <w:top w:val="nil"/>
              <w:left w:val="single" w:color="auto" w:sz="4" w:space="0"/>
              <w:bottom w:val="single" w:color="auto" w:sz="4" w:space="0"/>
              <w:right w:val="single" w:color="auto" w:sz="4" w:space="0"/>
            </w:tcBorders>
            <w:vAlign w:val="center"/>
          </w:tcPr>
          <w:p>
            <w:pPr>
              <w:widowControl/>
              <w:ind w:left="0" w:leftChars="0" w:firstLine="0" w:firstLineChars="0"/>
              <w:jc w:val="both"/>
              <w:rPr>
                <w:rFonts w:hint="eastAsia" w:ascii="方正仿宋_GBK" w:hAnsi="方正仿宋_GBK" w:eastAsia="方正仿宋_GBK" w:cs="方正仿宋_GBK"/>
                <w:spacing w:val="-20"/>
                <w:kern w:val="0"/>
                <w:sz w:val="20"/>
                <w:szCs w:val="20"/>
              </w:rPr>
            </w:pPr>
            <w:r>
              <w:rPr>
                <w:rFonts w:hint="eastAsia" w:ascii="方正仿宋_GBK" w:hAnsi="方正仿宋_GBK" w:eastAsia="方正仿宋_GBK" w:cs="方正仿宋_GBK"/>
                <w:spacing w:val="-20"/>
                <w:kern w:val="0"/>
                <w:sz w:val="20"/>
                <w:szCs w:val="20"/>
              </w:rPr>
              <w:t>职责履行（</w:t>
            </w:r>
            <w:r>
              <w:rPr>
                <w:rFonts w:hint="eastAsia" w:ascii="宋体" w:hAnsi="宋体" w:eastAsia="方正仿宋_GBK" w:cs="方正仿宋_GBK"/>
                <w:spacing w:val="-20"/>
                <w:kern w:val="0"/>
                <w:sz w:val="20"/>
                <w:szCs w:val="20"/>
              </w:rPr>
              <w:t>30</w:t>
            </w:r>
            <w:r>
              <w:rPr>
                <w:rFonts w:hint="eastAsia" w:ascii="方正仿宋_GBK" w:hAnsi="方正仿宋_GBK" w:eastAsia="方正仿宋_GBK" w:cs="方正仿宋_GBK"/>
                <w:spacing w:val="-20"/>
                <w:kern w:val="0"/>
                <w:sz w:val="20"/>
                <w:szCs w:val="20"/>
              </w:rPr>
              <w:t>分）</w:t>
            </w: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实际完成率（</w:t>
            </w:r>
            <w:r>
              <w:rPr>
                <w:rFonts w:hint="eastAsia" w:ascii="宋体" w:hAnsi="宋体" w:eastAsia="方正仿宋_GBK" w:cs="方正仿宋_GBK"/>
                <w:kern w:val="0"/>
                <w:sz w:val="20"/>
                <w:szCs w:val="20"/>
              </w:rPr>
              <w:t>8</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部门（单位）履行职责而实际完成工作数与计划工作数的比率，用以反映和考核部门（单位）履职工作任务目标的实现程度。</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实际完成率=（实际完成工作数/计划工作数）×</w:t>
            </w:r>
            <w:r>
              <w:rPr>
                <w:rFonts w:hint="eastAsia" w:ascii="宋体" w:hAnsi="宋体" w:eastAsia="方正仿宋_GBK" w:cs="方正仿宋_GBK"/>
                <w:kern w:val="0"/>
                <w:sz w:val="20"/>
                <w:szCs w:val="20"/>
              </w:rPr>
              <w:t>100</w:t>
            </w:r>
            <w:r>
              <w:rPr>
                <w:rFonts w:hint="eastAsia" w:ascii="方正仿宋_GBK" w:hAnsi="方正仿宋_GBK" w:eastAsia="方正仿宋_GBK" w:cs="方正仿宋_GBK"/>
                <w:kern w:val="0"/>
                <w:sz w:val="20"/>
                <w:szCs w:val="20"/>
              </w:rPr>
              <w:t>%。（实际得分=实际工作完成率*</w:t>
            </w:r>
            <w:r>
              <w:rPr>
                <w:rFonts w:hint="eastAsia" w:ascii="宋体" w:hAnsi="宋体" w:eastAsia="方正仿宋_GBK" w:cs="方正仿宋_GBK"/>
                <w:kern w:val="0"/>
                <w:sz w:val="20"/>
                <w:szCs w:val="20"/>
              </w:rPr>
              <w:t>8</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实际完成工作数：一定时期（年度或规划期）内部门（单位）实际完成工作任务的数量。</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计划工作数：部门（单位）整体绩效目标确定的一定时期（年度或规划期）内预计完成工作任务的数量。</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8</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sz w:val="18"/>
                <w:szCs w:val="18"/>
                <w:lang w:eastAsia="zh-CN"/>
              </w:rPr>
            </w:pPr>
            <w:r>
              <w:rPr>
                <w:rFonts w:hint="eastAsia" w:ascii="方正仿宋_GBK" w:hAnsi="方正仿宋_GBK" w:eastAsia="方正仿宋_GBK" w:cs="方正仿宋_GBK"/>
                <w:sz w:val="18"/>
                <w:szCs w:val="18"/>
              </w:rPr>
              <w:t>百日安全检查派出人次≥</w:t>
            </w:r>
            <w:r>
              <w:rPr>
                <w:rFonts w:hint="eastAsia" w:ascii="宋体" w:hAnsi="宋体" w:eastAsia="方正仿宋_GBK" w:cs="方正仿宋_GBK"/>
                <w:sz w:val="18"/>
                <w:szCs w:val="18"/>
              </w:rPr>
              <w:t>40</w:t>
            </w:r>
            <w:r>
              <w:rPr>
                <w:rFonts w:hint="eastAsia" w:ascii="方正仿宋_GBK" w:hAnsi="方正仿宋_GBK" w:eastAsia="方正仿宋_GBK" w:cs="方正仿宋_GBK"/>
                <w:sz w:val="18"/>
                <w:szCs w:val="18"/>
                <w:lang w:eastAsia="zh-CN"/>
              </w:rPr>
              <w:t>人次，</w:t>
            </w:r>
          </w:p>
          <w:p>
            <w:pPr>
              <w:widowControl/>
              <w:jc w:val="left"/>
              <w:rPr>
                <w:rFonts w:hint="eastAsia" w:ascii="方正仿宋_GBK" w:hAnsi="方正仿宋_GBK" w:eastAsia="方正仿宋_GBK" w:cs="方正仿宋_GBK"/>
                <w:sz w:val="18"/>
                <w:szCs w:val="18"/>
                <w:lang w:eastAsia="zh-CN"/>
              </w:rPr>
            </w:pPr>
            <w:r>
              <w:rPr>
                <w:rFonts w:hint="eastAsia" w:ascii="方正仿宋_GBK" w:hAnsi="方正仿宋_GBK" w:eastAsia="方正仿宋_GBK" w:cs="方正仿宋_GBK"/>
                <w:sz w:val="18"/>
                <w:szCs w:val="18"/>
              </w:rPr>
              <w:t>节前安全检查派遣人次≥</w:t>
            </w:r>
            <w:r>
              <w:rPr>
                <w:rFonts w:hint="eastAsia" w:ascii="宋体" w:hAnsi="宋体" w:eastAsia="方正仿宋_GBK" w:cs="方正仿宋_GBK"/>
                <w:sz w:val="18"/>
                <w:szCs w:val="18"/>
              </w:rPr>
              <w:t>50</w:t>
            </w:r>
            <w:r>
              <w:rPr>
                <w:rFonts w:hint="eastAsia" w:ascii="方正仿宋_GBK" w:hAnsi="方正仿宋_GBK" w:eastAsia="方正仿宋_GBK" w:cs="方正仿宋_GBK"/>
                <w:sz w:val="18"/>
                <w:szCs w:val="18"/>
              </w:rPr>
              <w:t>人次</w:t>
            </w:r>
            <w:r>
              <w:rPr>
                <w:rFonts w:hint="eastAsia" w:ascii="方正仿宋_GBK" w:hAnsi="方正仿宋_GBK" w:eastAsia="方正仿宋_GBK" w:cs="方正仿宋_GBK"/>
                <w:sz w:val="18"/>
                <w:szCs w:val="18"/>
                <w:lang w:eastAsia="zh-CN"/>
              </w:rPr>
              <w:t>，</w:t>
            </w:r>
          </w:p>
          <w:p>
            <w:pPr>
              <w:widowControl/>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节日现场监控及巡查派遣人次≥</w:t>
            </w:r>
          </w:p>
          <w:p>
            <w:pPr>
              <w:widowControl/>
              <w:jc w:val="left"/>
              <w:rPr>
                <w:rFonts w:hint="eastAsia" w:ascii="方正仿宋_GBK" w:hAnsi="方正仿宋_GBK" w:eastAsia="方正仿宋_GBK" w:cs="方正仿宋_GBK"/>
                <w:kern w:val="0"/>
                <w:sz w:val="24"/>
              </w:rPr>
            </w:pPr>
            <w:r>
              <w:rPr>
                <w:rFonts w:hint="eastAsia" w:ascii="宋体" w:hAnsi="宋体" w:eastAsia="方正仿宋_GBK" w:cs="方正仿宋_GBK"/>
                <w:sz w:val="18"/>
                <w:szCs w:val="18"/>
              </w:rPr>
              <w:t>60</w:t>
            </w:r>
            <w:r>
              <w:rPr>
                <w:rFonts w:hint="eastAsia" w:ascii="方正仿宋_GBK" w:hAnsi="方正仿宋_GBK" w:eastAsia="方正仿宋_GBK" w:cs="方正仿宋_GBK"/>
                <w:sz w:val="18"/>
                <w:szCs w:val="18"/>
              </w:rPr>
              <w:t>人次</w:t>
            </w:r>
            <w:r>
              <w:rPr>
                <w:rFonts w:hint="eastAsia" w:ascii="方正仿宋_GBK" w:hAnsi="方正仿宋_GBK" w:eastAsia="方正仿宋_GBK" w:cs="方正仿宋_GBK"/>
                <w:kern w:val="0"/>
                <w:sz w:val="24"/>
              </w:rPr>
              <w:t>　</w:t>
            </w:r>
          </w:p>
        </w:tc>
      </w:tr>
      <w:tr>
        <w:tblPrEx>
          <w:tblCellMar>
            <w:top w:w="0" w:type="dxa"/>
            <w:left w:w="108" w:type="dxa"/>
            <w:bottom w:w="0" w:type="dxa"/>
            <w:right w:w="108" w:type="dxa"/>
          </w:tblCellMar>
        </w:tblPrEx>
        <w:trPr>
          <w:trHeight w:val="1732" w:hRule="atLeast"/>
          <w:jc w:val="center"/>
        </w:trPr>
        <w:tc>
          <w:tcPr>
            <w:tcW w:w="47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pacing w:val="-20"/>
                <w:kern w:val="0"/>
                <w:sz w:val="20"/>
                <w:szCs w:val="20"/>
              </w:rPr>
            </w:pP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完成及时率（</w:t>
            </w:r>
            <w:r>
              <w:rPr>
                <w:rFonts w:hint="eastAsia" w:ascii="宋体" w:hAnsi="宋体" w:eastAsia="方正仿宋_GBK" w:cs="方正仿宋_GBK"/>
                <w:kern w:val="0"/>
                <w:sz w:val="20"/>
                <w:szCs w:val="20"/>
              </w:rPr>
              <w:t>4</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部门（单位）在规定时限内及时完成的实际工作数与计划工作数的比率,用以反映和考核部门履职时效目标的实现程度。</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完成及时率=（及时完成实际工作数/计划工作数）×</w:t>
            </w:r>
            <w:r>
              <w:rPr>
                <w:rFonts w:hint="eastAsia" w:ascii="宋体" w:hAnsi="宋体" w:eastAsia="方正仿宋_GBK" w:cs="方正仿宋_GBK"/>
                <w:kern w:val="0"/>
                <w:sz w:val="20"/>
                <w:szCs w:val="20"/>
              </w:rPr>
              <w:t>100</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w:t>
            </w:r>
            <w:r>
              <w:rPr>
                <w:rFonts w:hint="eastAsia" w:ascii="宋体" w:hAnsi="宋体" w:eastAsia="方正仿宋_GBK" w:cs="方正仿宋_GBK"/>
                <w:kern w:val="0"/>
                <w:sz w:val="20"/>
                <w:szCs w:val="20"/>
              </w:rPr>
              <w:t>4</w:t>
            </w:r>
            <w:r>
              <w:rPr>
                <w:rFonts w:hint="eastAsia" w:ascii="方正仿宋_GBK" w:hAnsi="方正仿宋_GBK" w:eastAsia="方正仿宋_GBK" w:cs="方正仿宋_GBK"/>
                <w:kern w:val="0"/>
                <w:sz w:val="20"/>
                <w:szCs w:val="20"/>
              </w:rPr>
              <w:t>季度各得</w:t>
            </w:r>
            <w:r>
              <w:rPr>
                <w:rFonts w:hint="eastAsia" w:ascii="宋体" w:hAnsi="宋体" w:eastAsia="方正仿宋_GBK" w:cs="方正仿宋_GBK"/>
                <w:kern w:val="0"/>
                <w:sz w:val="20"/>
                <w:szCs w:val="20"/>
              </w:rPr>
              <w:t>1</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及时完成实际工作数：部门（单位）按照整体绩效目标确定的时限实际完成的工作任务数量。</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4</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4"/>
              </w:rPr>
              <w:t>　</w:t>
            </w:r>
          </w:p>
        </w:tc>
      </w:tr>
      <w:tr>
        <w:tblPrEx>
          <w:tblCellMar>
            <w:top w:w="0" w:type="dxa"/>
            <w:left w:w="108" w:type="dxa"/>
            <w:bottom w:w="0" w:type="dxa"/>
            <w:right w:w="108" w:type="dxa"/>
          </w:tblCellMar>
        </w:tblPrEx>
        <w:trPr>
          <w:trHeight w:val="2267" w:hRule="atLeast"/>
          <w:jc w:val="center"/>
        </w:trPr>
        <w:tc>
          <w:tcPr>
            <w:tcW w:w="47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pacing w:val="-20"/>
                <w:kern w:val="0"/>
                <w:sz w:val="20"/>
                <w:szCs w:val="20"/>
              </w:rPr>
            </w:pP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质量达标率（</w:t>
            </w:r>
            <w:r>
              <w:rPr>
                <w:rFonts w:hint="eastAsia" w:ascii="宋体" w:hAnsi="宋体" w:eastAsia="方正仿宋_GBK" w:cs="方正仿宋_GBK"/>
                <w:kern w:val="0"/>
                <w:sz w:val="20"/>
                <w:szCs w:val="20"/>
              </w:rPr>
              <w:t>8</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达到质量标准（绩效标准值）的实际工作数与计划工作数的比率,用以反映和考核部门履职质量目标的实现程度。</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质量达标率=（质量达标实际工作数/计划工作数）×</w:t>
            </w:r>
            <w:r>
              <w:rPr>
                <w:rFonts w:hint="eastAsia" w:ascii="宋体" w:hAnsi="宋体" w:eastAsia="方正仿宋_GBK" w:cs="方正仿宋_GBK"/>
                <w:kern w:val="0"/>
                <w:sz w:val="20"/>
                <w:szCs w:val="20"/>
              </w:rPr>
              <w:t>100</w:t>
            </w:r>
            <w:r>
              <w:rPr>
                <w:rFonts w:hint="eastAsia" w:ascii="方正仿宋_GBK" w:hAnsi="方正仿宋_GBK" w:eastAsia="方正仿宋_GBK" w:cs="方正仿宋_GBK"/>
                <w:kern w:val="0"/>
                <w:sz w:val="20"/>
                <w:szCs w:val="20"/>
              </w:rPr>
              <w:t>%。（实际得分=达标率*</w:t>
            </w:r>
            <w:r>
              <w:rPr>
                <w:rFonts w:hint="eastAsia" w:ascii="宋体" w:hAnsi="宋体" w:eastAsia="方正仿宋_GBK" w:cs="方正仿宋_GBK"/>
                <w:kern w:val="0"/>
                <w:sz w:val="20"/>
                <w:szCs w:val="20"/>
              </w:rPr>
              <w:t>8</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质量达标实际工作数：一定时期（年度或规划期）内部门（单位）实际完成工作数中达到部门绩效目标要求（绩效标准值）的工作任务数量。</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8</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0"/>
                <w:szCs w:val="20"/>
                <w:lang w:eastAsia="zh-CN"/>
              </w:rPr>
              <w:t>质量达标率</w:t>
            </w:r>
            <w:r>
              <w:rPr>
                <w:rFonts w:hint="eastAsia" w:ascii="方正仿宋_GBK" w:hAnsi="方正仿宋_GBK" w:eastAsia="方正仿宋_GBK" w:cs="方正仿宋_GBK"/>
                <w:kern w:val="0"/>
                <w:sz w:val="20"/>
                <w:szCs w:val="20"/>
                <w:lang w:val="en-US" w:eastAsia="zh-CN"/>
              </w:rPr>
              <w:t>=</w:t>
            </w:r>
            <w:r>
              <w:rPr>
                <w:rFonts w:hint="eastAsia" w:ascii="宋体" w:hAnsi="宋体" w:eastAsia="方正仿宋_GBK" w:cs="方正仿宋_GBK"/>
                <w:kern w:val="0"/>
                <w:sz w:val="20"/>
                <w:szCs w:val="20"/>
                <w:lang w:val="en-US" w:eastAsia="zh-CN"/>
              </w:rPr>
              <w:t>100</w:t>
            </w:r>
            <w:r>
              <w:rPr>
                <w:rFonts w:hint="eastAsia" w:ascii="方正仿宋_GBK" w:hAnsi="方正仿宋_GBK" w:eastAsia="方正仿宋_GBK" w:cs="方正仿宋_GBK"/>
                <w:kern w:val="0"/>
                <w:sz w:val="20"/>
                <w:szCs w:val="20"/>
                <w:lang w:val="en-US" w:eastAsia="zh-CN"/>
              </w:rPr>
              <w:t>%</w:t>
            </w:r>
            <w:r>
              <w:rPr>
                <w:rFonts w:hint="eastAsia" w:ascii="方正仿宋_GBK" w:hAnsi="方正仿宋_GBK" w:eastAsia="方正仿宋_GBK" w:cs="方正仿宋_GBK"/>
                <w:kern w:val="0"/>
                <w:sz w:val="20"/>
                <w:szCs w:val="20"/>
              </w:rPr>
              <w:t>　</w:t>
            </w:r>
          </w:p>
        </w:tc>
      </w:tr>
      <w:tr>
        <w:tblPrEx>
          <w:tblCellMar>
            <w:top w:w="0" w:type="dxa"/>
            <w:left w:w="108" w:type="dxa"/>
            <w:bottom w:w="0" w:type="dxa"/>
            <w:right w:w="108" w:type="dxa"/>
          </w:tblCellMar>
        </w:tblPrEx>
        <w:trPr>
          <w:trHeight w:val="1867" w:hRule="atLeast"/>
          <w:jc w:val="center"/>
        </w:trPr>
        <w:tc>
          <w:tcPr>
            <w:tcW w:w="47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pacing w:val="-20"/>
                <w:kern w:val="0"/>
                <w:sz w:val="20"/>
                <w:szCs w:val="20"/>
              </w:rPr>
            </w:pPr>
          </w:p>
        </w:tc>
        <w:tc>
          <w:tcPr>
            <w:tcW w:w="538" w:type="pct"/>
            <w:tcBorders>
              <w:top w:val="nil"/>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重点工作办结率（</w:t>
            </w:r>
            <w:r>
              <w:rPr>
                <w:rFonts w:hint="eastAsia" w:ascii="宋体" w:hAnsi="宋体" w:eastAsia="方正仿宋_GBK" w:cs="方正仿宋_GBK"/>
                <w:kern w:val="0"/>
                <w:sz w:val="20"/>
                <w:szCs w:val="20"/>
              </w:rPr>
              <w:t>10</w:t>
            </w:r>
            <w:r>
              <w:rPr>
                <w:rFonts w:hint="eastAsia" w:ascii="方正仿宋_GBK" w:hAnsi="方正仿宋_GBK" w:eastAsia="方正仿宋_GBK" w:cs="方正仿宋_GBK"/>
                <w:kern w:val="0"/>
                <w:sz w:val="20"/>
                <w:szCs w:val="20"/>
              </w:rPr>
              <w:t>分）</w:t>
            </w:r>
          </w:p>
        </w:tc>
        <w:tc>
          <w:tcPr>
            <w:tcW w:w="557"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部门（单位）年度重点工作实际完成数与交办或下达数的比率，用以反映部门（单位）对重点工作的办理落实程度。</w:t>
            </w:r>
          </w:p>
        </w:tc>
        <w:tc>
          <w:tcPr>
            <w:tcW w:w="694" w:type="pct"/>
            <w:tcBorders>
              <w:top w:val="nil"/>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重点工作办结率=（重点工作实际完成数/交办或下达数）×</w:t>
            </w:r>
            <w:r>
              <w:rPr>
                <w:rFonts w:hint="eastAsia" w:ascii="宋体" w:hAnsi="宋体" w:eastAsia="方正仿宋_GBK" w:cs="方正仿宋_GBK"/>
                <w:kern w:val="0"/>
                <w:sz w:val="20"/>
                <w:szCs w:val="20"/>
              </w:rPr>
              <w:t>100</w:t>
            </w:r>
            <w:r>
              <w:rPr>
                <w:rFonts w:hint="eastAsia" w:ascii="方正仿宋_GBK" w:hAnsi="方正仿宋_GBK" w:eastAsia="方正仿宋_GBK" w:cs="方正仿宋_GBK"/>
                <w:kern w:val="0"/>
                <w:sz w:val="20"/>
                <w:szCs w:val="20"/>
              </w:rPr>
              <w:t>%。（实际得分=办结率*</w:t>
            </w:r>
            <w:r>
              <w:rPr>
                <w:rFonts w:hint="eastAsia" w:ascii="宋体" w:hAnsi="宋体" w:eastAsia="方正仿宋_GBK" w:cs="方正仿宋_GBK"/>
                <w:kern w:val="0"/>
                <w:sz w:val="20"/>
                <w:szCs w:val="20"/>
              </w:rPr>
              <w:t>10</w:t>
            </w:r>
            <w:r>
              <w:rPr>
                <w:rFonts w:hint="eastAsia" w:ascii="方正仿宋_GBK" w:hAnsi="方正仿宋_GBK" w:eastAsia="方正仿宋_GBK" w:cs="方正仿宋_GBK"/>
                <w:kern w:val="0"/>
                <w:sz w:val="20"/>
                <w:szCs w:val="20"/>
              </w:rPr>
              <w:t>分）</w:t>
            </w:r>
          </w:p>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重点工作是指党委、政府、人大、相关部门交办或下达的工作任务。</w:t>
            </w:r>
          </w:p>
        </w:tc>
        <w:tc>
          <w:tcPr>
            <w:tcW w:w="500"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10</w:t>
            </w:r>
          </w:p>
        </w:tc>
        <w:tc>
          <w:tcPr>
            <w:tcW w:w="1694" w:type="pct"/>
            <w:tcBorders>
              <w:top w:val="nil"/>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0"/>
                <w:szCs w:val="20"/>
                <w:lang w:eastAsia="zh-CN"/>
              </w:rPr>
            </w:pPr>
            <w:r>
              <w:rPr>
                <w:rFonts w:hint="eastAsia" w:ascii="方正仿宋_GBK" w:hAnsi="方正仿宋_GBK" w:eastAsia="方正仿宋_GBK" w:cs="方正仿宋_GBK"/>
                <w:kern w:val="0"/>
                <w:sz w:val="20"/>
                <w:szCs w:val="20"/>
                <w:lang w:eastAsia="zh-CN"/>
              </w:rPr>
              <w:t>重点工作办结率良好　</w:t>
            </w:r>
          </w:p>
        </w:tc>
      </w:tr>
      <w:tr>
        <w:tblPrEx>
          <w:tblCellMar>
            <w:top w:w="0" w:type="dxa"/>
            <w:left w:w="108" w:type="dxa"/>
            <w:bottom w:w="0" w:type="dxa"/>
            <w:right w:w="108" w:type="dxa"/>
          </w:tblCellMar>
        </w:tblPrEx>
        <w:trPr>
          <w:trHeight w:val="989" w:hRule="atLeast"/>
          <w:jc w:val="center"/>
        </w:trPr>
        <w:tc>
          <w:tcPr>
            <w:tcW w:w="472" w:type="pct"/>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效 果（</w:t>
            </w:r>
            <w:r>
              <w:rPr>
                <w:rFonts w:hint="eastAsia" w:ascii="宋体" w:hAnsi="宋体" w:eastAsia="方正仿宋_GBK" w:cs="方正仿宋_GBK"/>
                <w:kern w:val="0"/>
                <w:sz w:val="20"/>
                <w:szCs w:val="20"/>
              </w:rPr>
              <w:t>20</w:t>
            </w:r>
            <w:r>
              <w:rPr>
                <w:rFonts w:hint="eastAsia" w:ascii="方正仿宋_GBK" w:hAnsi="方正仿宋_GBK" w:eastAsia="方正仿宋_GBK" w:cs="方正仿宋_GBK"/>
                <w:kern w:val="0"/>
                <w:sz w:val="20"/>
                <w:szCs w:val="20"/>
              </w:rPr>
              <w:t>分）</w:t>
            </w:r>
          </w:p>
        </w:tc>
        <w:tc>
          <w:tcPr>
            <w:tcW w:w="542" w:type="pct"/>
            <w:vMerge w:val="restart"/>
            <w:tcBorders>
              <w:top w:val="single" w:color="auto" w:sz="4" w:space="0"/>
              <w:left w:val="single" w:color="auto" w:sz="4" w:space="0"/>
              <w:bottom w:val="single" w:color="auto" w:sz="4" w:space="0"/>
              <w:right w:val="single" w:color="auto" w:sz="4" w:space="0"/>
            </w:tcBorders>
            <w:vAlign w:val="center"/>
          </w:tcPr>
          <w:p>
            <w:pPr>
              <w:widowControl/>
              <w:ind w:left="0" w:leftChars="0" w:firstLine="0" w:firstLineChars="0"/>
              <w:jc w:val="both"/>
              <w:rPr>
                <w:rFonts w:hint="eastAsia" w:ascii="方正仿宋_GBK" w:hAnsi="方正仿宋_GBK" w:eastAsia="方正仿宋_GBK" w:cs="方正仿宋_GBK"/>
                <w:spacing w:val="-20"/>
                <w:kern w:val="0"/>
                <w:sz w:val="20"/>
                <w:szCs w:val="20"/>
              </w:rPr>
            </w:pPr>
            <w:r>
              <w:rPr>
                <w:rFonts w:hint="eastAsia" w:ascii="方正仿宋_GBK" w:hAnsi="方正仿宋_GBK" w:eastAsia="方正仿宋_GBK" w:cs="方正仿宋_GBK"/>
                <w:spacing w:val="-20"/>
                <w:kern w:val="0"/>
                <w:sz w:val="20"/>
                <w:szCs w:val="20"/>
              </w:rPr>
              <w:t>履职效益（</w:t>
            </w:r>
            <w:r>
              <w:rPr>
                <w:rFonts w:hint="eastAsia" w:ascii="宋体" w:hAnsi="宋体" w:eastAsia="方正仿宋_GBK" w:cs="方正仿宋_GBK"/>
                <w:spacing w:val="-20"/>
                <w:kern w:val="0"/>
                <w:sz w:val="20"/>
                <w:szCs w:val="20"/>
              </w:rPr>
              <w:t>20</w:t>
            </w:r>
            <w:r>
              <w:rPr>
                <w:rFonts w:hint="eastAsia" w:ascii="方正仿宋_GBK" w:hAnsi="方正仿宋_GBK" w:eastAsia="方正仿宋_GBK" w:cs="方正仿宋_GBK"/>
                <w:spacing w:val="-20"/>
                <w:kern w:val="0"/>
                <w:sz w:val="20"/>
                <w:szCs w:val="20"/>
              </w:rPr>
              <w:t>分）</w:t>
            </w:r>
          </w:p>
        </w:tc>
        <w:tc>
          <w:tcPr>
            <w:tcW w:w="538" w:type="pct"/>
            <w:tcBorders>
              <w:top w:val="single" w:color="auto" w:sz="4" w:space="0"/>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经济效益（</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分）</w:t>
            </w:r>
          </w:p>
        </w:tc>
        <w:tc>
          <w:tcPr>
            <w:tcW w:w="557" w:type="pct"/>
            <w:tcBorders>
              <w:top w:val="single" w:color="auto" w:sz="4" w:space="0"/>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部门（单位）履行职责对经济发展所带来的直接或间接影响。</w:t>
            </w:r>
          </w:p>
        </w:tc>
        <w:tc>
          <w:tcPr>
            <w:tcW w:w="694"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此三项指标为部门整体支出绩效评价指标的共性要素，各单位按照部门整体支出绩效目标实现程度为依据。（按经济效益实现程度*</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、社会效益实现程度*</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、生态效益实现程度*</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计算实际得分）</w:t>
            </w:r>
          </w:p>
        </w:tc>
        <w:tc>
          <w:tcPr>
            <w:tcW w:w="500" w:type="pct"/>
            <w:tcBorders>
              <w:top w:val="single" w:color="auto" w:sz="4" w:space="0"/>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5</w:t>
            </w:r>
          </w:p>
        </w:tc>
        <w:tc>
          <w:tcPr>
            <w:tcW w:w="1694" w:type="pct"/>
            <w:tcBorders>
              <w:top w:val="single" w:color="auto" w:sz="4" w:space="0"/>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kern w:val="0"/>
                <w:sz w:val="24"/>
              </w:rPr>
              <w:t>　</w:t>
            </w:r>
            <w:r>
              <w:rPr>
                <w:rFonts w:hint="eastAsia" w:ascii="方正仿宋_GBK" w:hAnsi="方正仿宋_GBK" w:eastAsia="方正仿宋_GBK" w:cs="方正仿宋_GBK"/>
                <w:kern w:val="0"/>
                <w:sz w:val="20"/>
                <w:szCs w:val="20"/>
                <w:lang w:eastAsia="zh-CN"/>
              </w:rPr>
              <w:t>不适用</w:t>
            </w:r>
          </w:p>
        </w:tc>
      </w:tr>
      <w:tr>
        <w:tblPrEx>
          <w:tblCellMar>
            <w:top w:w="0" w:type="dxa"/>
            <w:left w:w="108" w:type="dxa"/>
            <w:bottom w:w="0" w:type="dxa"/>
            <w:right w:w="108" w:type="dxa"/>
          </w:tblCellMar>
        </w:tblPrEx>
        <w:trPr>
          <w:trHeight w:val="1117" w:hRule="atLeast"/>
          <w:jc w:val="center"/>
        </w:trPr>
        <w:tc>
          <w:tcPr>
            <w:tcW w:w="4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pacing w:val="-20"/>
                <w:kern w:val="0"/>
                <w:sz w:val="20"/>
                <w:szCs w:val="20"/>
              </w:rPr>
            </w:pPr>
          </w:p>
        </w:tc>
        <w:tc>
          <w:tcPr>
            <w:tcW w:w="538" w:type="pct"/>
            <w:tcBorders>
              <w:top w:val="single" w:color="auto" w:sz="4" w:space="0"/>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社会效益（</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分）</w:t>
            </w:r>
          </w:p>
        </w:tc>
        <w:tc>
          <w:tcPr>
            <w:tcW w:w="557" w:type="pct"/>
            <w:tcBorders>
              <w:top w:val="single" w:color="auto" w:sz="4" w:space="0"/>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部门（单位）履行职责对社会发展所带来的直接或间接影响。</w:t>
            </w:r>
          </w:p>
        </w:tc>
        <w:tc>
          <w:tcPr>
            <w:tcW w:w="69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00" w:type="pct"/>
            <w:tcBorders>
              <w:top w:val="single" w:color="auto" w:sz="4" w:space="0"/>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5</w:t>
            </w:r>
          </w:p>
        </w:tc>
        <w:tc>
          <w:tcPr>
            <w:tcW w:w="1694" w:type="pct"/>
            <w:tcBorders>
              <w:top w:val="single" w:color="auto" w:sz="4" w:space="0"/>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0"/>
                <w:szCs w:val="20"/>
                <w:lang w:eastAsia="zh-CN"/>
              </w:rPr>
            </w:pPr>
            <w:r>
              <w:rPr>
                <w:rFonts w:hint="eastAsia" w:ascii="方正仿宋_GBK" w:hAnsi="方正仿宋_GBK" w:eastAsia="方正仿宋_GBK" w:cs="方正仿宋_GBK"/>
                <w:kern w:val="2"/>
                <w:sz w:val="18"/>
                <w:szCs w:val="18"/>
                <w:lang w:val="en-US" w:eastAsia="zh-CN" w:bidi="ar-SA"/>
              </w:rPr>
              <w:t>渡口、渡船运行正常率</w:t>
            </w:r>
            <w:r>
              <w:rPr>
                <w:rFonts w:hint="eastAsia" w:ascii="方正仿宋_GBK" w:hAnsi="方正仿宋_GBK" w:eastAsia="方正仿宋_GBK" w:cs="方正仿宋_GBK"/>
                <w:sz w:val="18"/>
                <w:szCs w:val="18"/>
              </w:rPr>
              <w:t>＝</w:t>
            </w:r>
            <w:r>
              <w:rPr>
                <w:rFonts w:hint="eastAsia" w:ascii="宋体" w:hAnsi="宋体" w:eastAsia="方正仿宋_GBK" w:cs="方正仿宋_GBK"/>
                <w:sz w:val="18"/>
                <w:szCs w:val="18"/>
                <w:lang w:val="en-US" w:eastAsia="zh-CN"/>
              </w:rPr>
              <w:t>100</w:t>
            </w:r>
            <w:r>
              <w:rPr>
                <w:rFonts w:hint="eastAsia" w:ascii="方正仿宋_GBK" w:hAnsi="方正仿宋_GBK" w:eastAsia="方正仿宋_GBK" w:cs="方正仿宋_GBK"/>
                <w:kern w:val="0"/>
                <w:sz w:val="20"/>
                <w:szCs w:val="20"/>
                <w:lang w:val="en-US" w:eastAsia="zh-CN"/>
              </w:rPr>
              <w:t>%</w:t>
            </w:r>
            <w:r>
              <w:rPr>
                <w:rFonts w:hint="eastAsia" w:ascii="方正仿宋_GBK" w:hAnsi="方正仿宋_GBK" w:eastAsia="方正仿宋_GBK" w:cs="方正仿宋_GBK"/>
                <w:kern w:val="0"/>
                <w:sz w:val="20"/>
                <w:szCs w:val="20"/>
                <w:lang w:eastAsia="zh-CN"/>
              </w:rPr>
              <w:t>　</w:t>
            </w:r>
          </w:p>
        </w:tc>
      </w:tr>
      <w:tr>
        <w:tblPrEx>
          <w:tblCellMar>
            <w:top w:w="0" w:type="dxa"/>
            <w:left w:w="108" w:type="dxa"/>
            <w:bottom w:w="0" w:type="dxa"/>
            <w:right w:w="108" w:type="dxa"/>
          </w:tblCellMar>
        </w:tblPrEx>
        <w:trPr>
          <w:trHeight w:val="991" w:hRule="atLeast"/>
          <w:jc w:val="center"/>
        </w:trPr>
        <w:tc>
          <w:tcPr>
            <w:tcW w:w="4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pacing w:val="-20"/>
                <w:kern w:val="0"/>
                <w:sz w:val="20"/>
                <w:szCs w:val="20"/>
              </w:rPr>
            </w:pPr>
          </w:p>
        </w:tc>
        <w:tc>
          <w:tcPr>
            <w:tcW w:w="538" w:type="pct"/>
            <w:tcBorders>
              <w:top w:val="single" w:color="auto" w:sz="4" w:space="0"/>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生态效益（</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分）</w:t>
            </w:r>
          </w:p>
        </w:tc>
        <w:tc>
          <w:tcPr>
            <w:tcW w:w="557" w:type="pct"/>
            <w:tcBorders>
              <w:top w:val="single" w:color="auto" w:sz="4" w:space="0"/>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部门（单位）履行职责对生态环境所带来的直接或间接影响。</w:t>
            </w:r>
          </w:p>
        </w:tc>
        <w:tc>
          <w:tcPr>
            <w:tcW w:w="69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00" w:type="pct"/>
            <w:tcBorders>
              <w:top w:val="single" w:color="auto" w:sz="4" w:space="0"/>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5</w:t>
            </w:r>
          </w:p>
        </w:tc>
        <w:tc>
          <w:tcPr>
            <w:tcW w:w="1694" w:type="pct"/>
            <w:tcBorders>
              <w:top w:val="single" w:color="auto" w:sz="4" w:space="0"/>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kern w:val="2"/>
                <w:sz w:val="18"/>
                <w:szCs w:val="18"/>
                <w:lang w:val="en-US" w:eastAsia="zh-CN" w:bidi="ar-SA"/>
              </w:rPr>
              <w:t>不适用</w:t>
            </w:r>
          </w:p>
        </w:tc>
      </w:tr>
      <w:tr>
        <w:tblPrEx>
          <w:tblCellMar>
            <w:top w:w="0" w:type="dxa"/>
            <w:left w:w="108" w:type="dxa"/>
            <w:bottom w:w="0" w:type="dxa"/>
            <w:right w:w="108" w:type="dxa"/>
          </w:tblCellMar>
        </w:tblPrEx>
        <w:trPr>
          <w:trHeight w:val="1687" w:hRule="atLeast"/>
          <w:jc w:val="center"/>
        </w:trPr>
        <w:tc>
          <w:tcPr>
            <w:tcW w:w="4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p>
        </w:tc>
        <w:tc>
          <w:tcPr>
            <w:tcW w:w="54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pacing w:val="-20"/>
                <w:kern w:val="0"/>
                <w:sz w:val="20"/>
                <w:szCs w:val="20"/>
              </w:rPr>
            </w:pPr>
          </w:p>
        </w:tc>
        <w:tc>
          <w:tcPr>
            <w:tcW w:w="538" w:type="pct"/>
            <w:tcBorders>
              <w:top w:val="single" w:color="auto" w:sz="4" w:space="0"/>
              <w:left w:val="nil"/>
              <w:bottom w:val="single" w:color="auto" w:sz="4" w:space="0"/>
              <w:right w:val="single" w:color="auto" w:sz="4" w:space="0"/>
            </w:tcBorders>
            <w:vAlign w:val="center"/>
          </w:tcPr>
          <w:p>
            <w:pPr>
              <w:widowControl/>
              <w:ind w:left="0" w:leftChars="0" w:firstLine="0" w:firstLineChars="0"/>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社会公众或服务对象满意度（</w:t>
            </w:r>
            <w:r>
              <w:rPr>
                <w:rFonts w:hint="eastAsia" w:ascii="宋体" w:hAnsi="宋体" w:eastAsia="方正仿宋_GBK" w:cs="方正仿宋_GBK"/>
                <w:kern w:val="0"/>
                <w:sz w:val="20"/>
                <w:szCs w:val="20"/>
              </w:rPr>
              <w:t>5</w:t>
            </w:r>
            <w:r>
              <w:rPr>
                <w:rFonts w:hint="eastAsia" w:ascii="方正仿宋_GBK" w:hAnsi="方正仿宋_GBK" w:eastAsia="方正仿宋_GBK" w:cs="方正仿宋_GBK"/>
                <w:kern w:val="0"/>
                <w:sz w:val="20"/>
                <w:szCs w:val="20"/>
              </w:rPr>
              <w:t>分）</w:t>
            </w:r>
          </w:p>
        </w:tc>
        <w:tc>
          <w:tcPr>
            <w:tcW w:w="557" w:type="pct"/>
            <w:tcBorders>
              <w:top w:val="single" w:color="auto" w:sz="4" w:space="0"/>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社会公众或部门（单位）的服务对象对部门履职效果的满意程度。</w:t>
            </w:r>
          </w:p>
        </w:tc>
        <w:tc>
          <w:tcPr>
            <w:tcW w:w="694" w:type="pct"/>
            <w:tcBorders>
              <w:top w:val="single" w:color="auto" w:sz="4" w:space="0"/>
              <w:left w:val="nil"/>
              <w:bottom w:val="single" w:color="auto" w:sz="4" w:space="0"/>
              <w:right w:val="single" w:color="auto" w:sz="4" w:space="0"/>
            </w:tcBorders>
            <w:vAlign w:val="center"/>
          </w:tcPr>
          <w:p>
            <w:pPr>
              <w:widowControl/>
              <w:jc w:val="left"/>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社会公众或服务对象是指部门（单位）履行职责而影响到的部门、群体或个人。一般采取社会调查的方式。（按收到的服务对象的满意率计算得分）</w:t>
            </w:r>
          </w:p>
        </w:tc>
        <w:tc>
          <w:tcPr>
            <w:tcW w:w="500" w:type="pct"/>
            <w:tcBorders>
              <w:top w:val="single" w:color="auto" w:sz="4" w:space="0"/>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rPr>
              <w:t>　</w:t>
            </w:r>
            <w:r>
              <w:rPr>
                <w:rFonts w:hint="eastAsia" w:ascii="宋体" w:hAnsi="宋体" w:eastAsia="方正仿宋_GBK" w:cs="方正仿宋_GBK"/>
                <w:kern w:val="0"/>
                <w:sz w:val="24"/>
                <w:lang w:val="en-US" w:eastAsia="zh-CN"/>
              </w:rPr>
              <w:t>4</w:t>
            </w:r>
          </w:p>
        </w:tc>
        <w:tc>
          <w:tcPr>
            <w:tcW w:w="1694" w:type="pct"/>
            <w:tcBorders>
              <w:top w:val="single" w:color="auto" w:sz="4" w:space="0"/>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rPr>
            </w:pPr>
            <w:r>
              <w:rPr>
                <w:rFonts w:hint="eastAsia" w:ascii="方正仿宋_GBK" w:hAnsi="方正仿宋_GBK" w:eastAsia="方正仿宋_GBK" w:cs="方正仿宋_GBK"/>
                <w:kern w:val="0"/>
                <w:sz w:val="20"/>
                <w:szCs w:val="20"/>
                <w:lang w:eastAsia="zh-CN"/>
              </w:rPr>
              <w:t>满意度为</w:t>
            </w:r>
            <w:r>
              <w:rPr>
                <w:rFonts w:hint="eastAsia" w:ascii="宋体" w:hAnsi="宋体" w:eastAsia="方正仿宋_GBK" w:cs="方正仿宋_GBK"/>
                <w:kern w:val="0"/>
                <w:sz w:val="20"/>
                <w:szCs w:val="20"/>
                <w:lang w:val="en-US" w:eastAsia="zh-CN"/>
              </w:rPr>
              <w:t>85</w:t>
            </w:r>
            <w:r>
              <w:rPr>
                <w:rFonts w:hint="eastAsia" w:ascii="方正仿宋_GBK" w:hAnsi="方正仿宋_GBK" w:eastAsia="方正仿宋_GBK" w:cs="方正仿宋_GBK"/>
                <w:kern w:val="0"/>
                <w:sz w:val="20"/>
                <w:szCs w:val="20"/>
                <w:lang w:val="en-US" w:eastAsia="zh-CN"/>
              </w:rPr>
              <w:t>%</w:t>
            </w:r>
            <w:r>
              <w:rPr>
                <w:rFonts w:hint="eastAsia" w:ascii="方正仿宋_GBK" w:hAnsi="方正仿宋_GBK" w:eastAsia="方正仿宋_GBK" w:cs="方正仿宋_GBK"/>
                <w:kern w:val="0"/>
                <w:sz w:val="20"/>
                <w:szCs w:val="20"/>
              </w:rPr>
              <w:t>　</w:t>
            </w:r>
          </w:p>
        </w:tc>
      </w:tr>
      <w:tr>
        <w:tblPrEx>
          <w:tblCellMar>
            <w:top w:w="0" w:type="dxa"/>
            <w:left w:w="108" w:type="dxa"/>
            <w:bottom w:w="0" w:type="dxa"/>
            <w:right w:w="108" w:type="dxa"/>
          </w:tblCellMar>
        </w:tblPrEx>
        <w:trPr>
          <w:trHeight w:val="744" w:hRule="atLeast"/>
          <w:jc w:val="center"/>
        </w:trPr>
        <w:tc>
          <w:tcPr>
            <w:tcW w:w="2805" w:type="pct"/>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方正仿宋_GBK"/>
                <w:kern w:val="0"/>
                <w:sz w:val="20"/>
                <w:szCs w:val="20"/>
              </w:rPr>
            </w:pPr>
            <w:r>
              <w:rPr>
                <w:rFonts w:hint="eastAsia" w:ascii="方正仿宋_GBK" w:hAnsi="方正仿宋_GBK" w:eastAsia="方正仿宋_GBK" w:cs="方正仿宋_GBK"/>
              </w:rPr>
              <w:t>合      计</w:t>
            </w:r>
          </w:p>
        </w:tc>
        <w:tc>
          <w:tcPr>
            <w:tcW w:w="500" w:type="pct"/>
            <w:tcBorders>
              <w:top w:val="single" w:color="auto" w:sz="4" w:space="0"/>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lang w:val="en-US" w:eastAsia="zh-CN"/>
              </w:rPr>
            </w:pPr>
            <w:r>
              <w:rPr>
                <w:rFonts w:hint="eastAsia" w:ascii="宋体" w:hAnsi="宋体" w:eastAsia="方正仿宋_GBK" w:cs="方正仿宋_GBK"/>
                <w:kern w:val="0"/>
                <w:sz w:val="24"/>
                <w:lang w:val="en-US" w:eastAsia="zh-CN"/>
              </w:rPr>
              <w:t>89</w:t>
            </w:r>
          </w:p>
        </w:tc>
        <w:tc>
          <w:tcPr>
            <w:tcW w:w="1694" w:type="pct"/>
            <w:tcBorders>
              <w:top w:val="single" w:color="auto" w:sz="4" w:space="0"/>
              <w:left w:val="nil"/>
              <w:bottom w:val="single" w:color="auto" w:sz="4" w:space="0"/>
              <w:right w:val="single" w:color="auto" w:sz="4" w:space="0"/>
            </w:tcBorders>
            <w:noWrap/>
            <w:vAlign w:val="center"/>
          </w:tcPr>
          <w:p>
            <w:pPr>
              <w:widowControl/>
              <w:jc w:val="left"/>
              <w:rPr>
                <w:rFonts w:hint="eastAsia" w:ascii="方正仿宋_GBK" w:hAnsi="方正仿宋_GBK" w:eastAsia="方正仿宋_GBK" w:cs="方正仿宋_GBK"/>
                <w:kern w:val="0"/>
                <w:sz w:val="24"/>
              </w:rPr>
            </w:pPr>
          </w:p>
        </w:tc>
      </w:tr>
    </w:tbl>
    <w:p>
      <w:pPr>
        <w:pStyle w:val="2"/>
        <w:rPr>
          <w:rFonts w:ascii="宋体" w:hAnsi="宋体"/>
        </w:rPr>
      </w:pPr>
    </w:p>
    <w:p>
      <w:pPr>
        <w:rPr>
          <w:rFonts w:hint="eastAsia" w:ascii="方正黑体_GBK" w:hAnsi="方正黑体_GBK" w:eastAsia="方正黑体_GBK" w:cs="方正黑体_GBK"/>
          <w:color w:val="000000"/>
          <w:kern w:val="0"/>
          <w:sz w:val="33"/>
          <w:szCs w:val="33"/>
        </w:rPr>
      </w:pPr>
      <w:r>
        <w:rPr>
          <w:rFonts w:hint="eastAsia" w:ascii="方正黑体_GBK" w:hAnsi="方正黑体_GBK" w:eastAsia="方正黑体_GBK" w:cs="方正黑体_GBK"/>
          <w:color w:val="000000"/>
          <w:kern w:val="0"/>
          <w:sz w:val="33"/>
          <w:szCs w:val="33"/>
        </w:rPr>
        <w:br w:type="page"/>
      </w:r>
    </w:p>
    <w:p>
      <w:pPr>
        <w:keepNext w:val="0"/>
        <w:keepLines w:val="0"/>
        <w:pageBreakBefore w:val="0"/>
        <w:widowControl w:val="0"/>
        <w:kinsoku/>
        <w:wordWrap/>
        <w:overflowPunct/>
        <w:topLinePunct w:val="0"/>
        <w:autoSpaceDE/>
        <w:autoSpaceDN/>
        <w:bidi w:val="0"/>
        <w:adjustRightInd/>
        <w:snapToGrid/>
        <w:spacing w:before="313" w:beforeLines="100" w:after="157" w:afterLines="50" w:line="620" w:lineRule="exact"/>
        <w:jc w:val="center"/>
        <w:textAlignment w:val="auto"/>
        <w:rPr>
          <w:rFonts w:ascii="宋体" w:hAnsi="宋体"/>
          <w:sz w:val="36"/>
          <w:szCs w:val="36"/>
        </w:rPr>
      </w:pPr>
      <w:r>
        <w:rPr>
          <w:rFonts w:hint="eastAsia" w:ascii="宋体" w:hAnsi="宋体" w:eastAsia="方正小标宋_GBK" w:cs="方正小标宋_GBK"/>
          <w:color w:val="000000"/>
          <w:w w:val="95"/>
          <w:kern w:val="0"/>
          <w:sz w:val="36"/>
          <w:szCs w:val="36"/>
        </w:rPr>
        <w:t>202</w:t>
      </w:r>
      <w:r>
        <w:rPr>
          <w:rFonts w:hint="eastAsia" w:ascii="宋体" w:hAnsi="宋体" w:eastAsia="方正小标宋_GBK" w:cs="方正小标宋_GBK"/>
          <w:color w:val="000000"/>
          <w:w w:val="95"/>
          <w:kern w:val="0"/>
          <w:sz w:val="36"/>
          <w:szCs w:val="36"/>
          <w:lang w:val="en-US" w:eastAsia="zh-CN"/>
        </w:rPr>
        <w:t>2</w:t>
      </w:r>
      <w:r>
        <w:rPr>
          <w:rFonts w:hint="eastAsia" w:ascii="方正小标宋_GBK" w:hAnsi="方正小标宋_GBK" w:eastAsia="方正小标宋_GBK" w:cs="方正小标宋_GBK"/>
          <w:color w:val="000000"/>
          <w:w w:val="95"/>
          <w:kern w:val="0"/>
          <w:sz w:val="36"/>
          <w:szCs w:val="36"/>
        </w:rPr>
        <w:t>年度雁江区整体支出绩效目标完成情况表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1048"/>
        <w:gridCol w:w="830"/>
        <w:gridCol w:w="776"/>
        <w:gridCol w:w="53"/>
        <w:gridCol w:w="1572"/>
        <w:gridCol w:w="175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058" w:type="dxa"/>
            <w:tcBorders>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部门（单位）名称</w:t>
            </w:r>
          </w:p>
        </w:tc>
        <w:tc>
          <w:tcPr>
            <w:tcW w:w="4279" w:type="dxa"/>
            <w:gridSpan w:val="5"/>
            <w:tcBorders>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lang w:eastAsia="zh-CN"/>
              </w:rPr>
              <w:t>资阳市雁江区渡口管理所</w:t>
            </w:r>
            <w:r>
              <w:rPr>
                <w:rFonts w:hint="eastAsia" w:ascii="方正仿宋_GBK" w:hAnsi="方正仿宋_GBK" w:eastAsia="方正仿宋_GBK" w:cs="方正仿宋_GBK"/>
                <w:color w:val="000000"/>
                <w:kern w:val="0"/>
                <w:sz w:val="22"/>
                <w:szCs w:val="22"/>
              </w:rPr>
              <w:t>　</w:t>
            </w:r>
          </w:p>
        </w:tc>
        <w:tc>
          <w:tcPr>
            <w:tcW w:w="1750" w:type="dxa"/>
            <w:tcBorders>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预算单位编码</w:t>
            </w:r>
          </w:p>
        </w:tc>
        <w:tc>
          <w:tcPr>
            <w:tcW w:w="2150" w:type="dxa"/>
            <w:tcBorders>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kern w:val="0"/>
                <w:sz w:val="22"/>
                <w:szCs w:val="22"/>
                <w:lang w:val="en-US" w:eastAsia="zh-CN"/>
              </w:rPr>
            </w:pPr>
            <w:r>
              <w:rPr>
                <w:rFonts w:hint="eastAsia" w:ascii="方正仿宋_GBK" w:hAnsi="方正仿宋_GBK" w:eastAsia="方正仿宋_GBK" w:cs="方正仿宋_GBK"/>
                <w:color w:val="000000"/>
                <w:kern w:val="0"/>
                <w:sz w:val="22"/>
                <w:szCs w:val="22"/>
              </w:rPr>
              <w:t>　</w:t>
            </w:r>
            <w:r>
              <w:rPr>
                <w:rFonts w:hint="eastAsia" w:ascii="宋体" w:hAnsi="宋体" w:eastAsia="方正仿宋_GBK" w:cs="方正仿宋_GBK"/>
                <w:color w:val="000000"/>
                <w:kern w:val="0"/>
                <w:sz w:val="22"/>
                <w:szCs w:val="22"/>
                <w:lang w:val="en-US" w:eastAsia="zh-CN"/>
              </w:rPr>
              <w:t>257001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058" w:type="dxa"/>
            <w:vMerge w:val="restart"/>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预算执行情况</w:t>
            </w:r>
          </w:p>
        </w:tc>
        <w:tc>
          <w:tcPr>
            <w:tcW w:w="10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项目</w:t>
            </w:r>
          </w:p>
        </w:tc>
        <w:tc>
          <w:tcPr>
            <w:tcW w:w="8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预算额(百元)</w:t>
            </w:r>
          </w:p>
        </w:tc>
        <w:tc>
          <w:tcPr>
            <w:tcW w:w="82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执行额(百元)</w:t>
            </w:r>
          </w:p>
        </w:tc>
        <w:tc>
          <w:tcPr>
            <w:tcW w:w="157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当年结转结余额(百元)</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结转结余率%</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p>
        </w:tc>
        <w:tc>
          <w:tcPr>
            <w:tcW w:w="10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合计</w:t>
            </w:r>
          </w:p>
        </w:tc>
        <w:tc>
          <w:tcPr>
            <w:tcW w:w="8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lang w:val="en-US" w:eastAsia="zh-CN"/>
              </w:rPr>
            </w:pPr>
            <w:r>
              <w:rPr>
                <w:rFonts w:hint="eastAsia" w:ascii="宋体" w:hAnsi="宋体" w:eastAsia="方正仿宋_GBK" w:cs="方正仿宋_GBK"/>
                <w:color w:val="000000"/>
                <w:kern w:val="0"/>
                <w:sz w:val="22"/>
                <w:szCs w:val="22"/>
                <w:lang w:val="en-US" w:eastAsia="zh-CN"/>
              </w:rPr>
              <w:t>7002</w:t>
            </w:r>
          </w:p>
        </w:tc>
        <w:tc>
          <w:tcPr>
            <w:tcW w:w="82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lang w:val="en-US" w:eastAsia="zh-CN"/>
              </w:rPr>
            </w:pPr>
            <w:r>
              <w:rPr>
                <w:rFonts w:hint="eastAsia" w:ascii="宋体" w:hAnsi="宋体" w:eastAsia="方正仿宋_GBK" w:cs="方正仿宋_GBK"/>
                <w:color w:val="000000"/>
                <w:kern w:val="0"/>
                <w:sz w:val="22"/>
                <w:szCs w:val="22"/>
                <w:lang w:val="en-US" w:eastAsia="zh-CN"/>
              </w:rPr>
              <w:t>9647</w:t>
            </w:r>
          </w:p>
        </w:tc>
        <w:tc>
          <w:tcPr>
            <w:tcW w:w="157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p>
        </w:tc>
        <w:tc>
          <w:tcPr>
            <w:tcW w:w="10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基本</w:t>
            </w:r>
          </w:p>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支出</w:t>
            </w:r>
          </w:p>
        </w:tc>
        <w:tc>
          <w:tcPr>
            <w:tcW w:w="8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lang w:val="en-US" w:eastAsia="zh-CN"/>
              </w:rPr>
            </w:pPr>
            <w:r>
              <w:rPr>
                <w:rFonts w:hint="eastAsia" w:ascii="宋体" w:hAnsi="宋体" w:eastAsia="方正仿宋_GBK" w:cs="方正仿宋_GBK"/>
                <w:color w:val="000000"/>
                <w:kern w:val="0"/>
                <w:sz w:val="22"/>
                <w:szCs w:val="22"/>
                <w:lang w:val="en-US" w:eastAsia="zh-CN"/>
              </w:rPr>
              <w:t>7002</w:t>
            </w:r>
          </w:p>
        </w:tc>
        <w:tc>
          <w:tcPr>
            <w:tcW w:w="82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lang w:val="en-US" w:eastAsia="zh-CN" w:bidi="ar-SA"/>
              </w:rPr>
            </w:pPr>
            <w:r>
              <w:rPr>
                <w:rFonts w:hint="eastAsia" w:ascii="宋体" w:hAnsi="宋体" w:eastAsia="方正仿宋_GBK" w:cs="方正仿宋_GBK"/>
                <w:color w:val="000000"/>
                <w:kern w:val="0"/>
                <w:sz w:val="22"/>
                <w:szCs w:val="22"/>
                <w:lang w:val="en-US" w:eastAsia="zh-CN"/>
              </w:rPr>
              <w:t>9612</w:t>
            </w:r>
          </w:p>
        </w:tc>
        <w:tc>
          <w:tcPr>
            <w:tcW w:w="157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p>
        </w:tc>
        <w:tc>
          <w:tcPr>
            <w:tcW w:w="10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政策和项目支出</w:t>
            </w:r>
          </w:p>
        </w:tc>
        <w:tc>
          <w:tcPr>
            <w:tcW w:w="8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220" w:firstLineChars="100"/>
              <w:jc w:val="center"/>
              <w:textAlignment w:val="auto"/>
              <w:rPr>
                <w:rFonts w:hint="eastAsia" w:ascii="方正仿宋_GBK" w:hAnsi="方正仿宋_GBK" w:eastAsia="方正仿宋_GBK" w:cs="方正仿宋_GBK"/>
                <w:color w:val="000000"/>
                <w:kern w:val="0"/>
                <w:sz w:val="22"/>
                <w:szCs w:val="22"/>
                <w:lang w:val="en-US" w:eastAsia="zh-CN"/>
              </w:rPr>
            </w:pPr>
            <w:r>
              <w:rPr>
                <w:rFonts w:hint="eastAsia" w:ascii="宋体" w:hAnsi="宋体" w:eastAsia="方正仿宋_GBK" w:cs="方正仿宋_GBK"/>
                <w:color w:val="000000"/>
                <w:kern w:val="0"/>
                <w:sz w:val="22"/>
                <w:szCs w:val="22"/>
                <w:lang w:val="en-US" w:eastAsia="zh-CN"/>
              </w:rPr>
              <w:t>35</w:t>
            </w:r>
          </w:p>
        </w:tc>
        <w:tc>
          <w:tcPr>
            <w:tcW w:w="82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lang w:val="en-US" w:eastAsia="zh-CN" w:bidi="ar-SA"/>
              </w:rPr>
            </w:pPr>
            <w:r>
              <w:rPr>
                <w:rFonts w:hint="eastAsia" w:ascii="宋体" w:hAnsi="宋体" w:eastAsia="方正仿宋_GBK" w:cs="方正仿宋_GBK"/>
                <w:color w:val="000000"/>
                <w:kern w:val="0"/>
                <w:sz w:val="22"/>
                <w:szCs w:val="22"/>
                <w:lang w:val="en-US" w:eastAsia="zh-CN"/>
              </w:rPr>
              <w:t>35</w:t>
            </w:r>
          </w:p>
        </w:tc>
        <w:tc>
          <w:tcPr>
            <w:tcW w:w="157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58" w:type="dxa"/>
            <w:vMerge w:val="restart"/>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预算</w:t>
            </w:r>
          </w:p>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结构</w:t>
            </w:r>
          </w:p>
        </w:tc>
        <w:tc>
          <w:tcPr>
            <w:tcW w:w="10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项目</w:t>
            </w:r>
          </w:p>
        </w:tc>
        <w:tc>
          <w:tcPr>
            <w:tcW w:w="8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合计</w:t>
            </w:r>
          </w:p>
        </w:tc>
        <w:tc>
          <w:tcPr>
            <w:tcW w:w="82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一般公共预算安排</w:t>
            </w:r>
          </w:p>
        </w:tc>
        <w:tc>
          <w:tcPr>
            <w:tcW w:w="157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政府性基金预算安排</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国有资本经营预算安排</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p>
        </w:tc>
        <w:tc>
          <w:tcPr>
            <w:tcW w:w="10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预算额(百元)</w:t>
            </w:r>
          </w:p>
        </w:tc>
        <w:tc>
          <w:tcPr>
            <w:tcW w:w="8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lang w:val="en-US" w:eastAsia="zh-CN" w:bidi="ar-SA"/>
              </w:rPr>
            </w:pPr>
            <w:r>
              <w:rPr>
                <w:rFonts w:hint="eastAsia" w:ascii="宋体" w:hAnsi="宋体" w:eastAsia="方正仿宋_GBK" w:cs="方正仿宋_GBK"/>
                <w:color w:val="000000"/>
                <w:kern w:val="0"/>
                <w:sz w:val="22"/>
                <w:szCs w:val="22"/>
                <w:lang w:val="en-US" w:eastAsia="zh-CN"/>
              </w:rPr>
              <w:t>7002</w:t>
            </w:r>
          </w:p>
        </w:tc>
        <w:tc>
          <w:tcPr>
            <w:tcW w:w="82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lang w:val="en-US" w:eastAsia="zh-CN"/>
              </w:rPr>
            </w:pPr>
            <w:r>
              <w:rPr>
                <w:rFonts w:hint="eastAsia" w:ascii="宋体" w:hAnsi="宋体" w:eastAsia="方正仿宋_GBK" w:cs="方正仿宋_GBK"/>
                <w:color w:val="000000"/>
                <w:kern w:val="0"/>
                <w:sz w:val="22"/>
                <w:szCs w:val="22"/>
                <w:lang w:val="en-US" w:eastAsia="zh-CN"/>
              </w:rPr>
              <w:t>9647</w:t>
            </w:r>
          </w:p>
        </w:tc>
        <w:tc>
          <w:tcPr>
            <w:tcW w:w="157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p>
        </w:tc>
        <w:tc>
          <w:tcPr>
            <w:tcW w:w="10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执行额(百元)</w:t>
            </w:r>
          </w:p>
        </w:tc>
        <w:tc>
          <w:tcPr>
            <w:tcW w:w="8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lang w:val="en-US" w:eastAsia="zh-CN" w:bidi="ar-SA"/>
              </w:rPr>
            </w:pPr>
            <w:r>
              <w:rPr>
                <w:rFonts w:hint="eastAsia" w:ascii="宋体" w:hAnsi="宋体" w:eastAsia="方正仿宋_GBK" w:cs="方正仿宋_GBK"/>
                <w:color w:val="000000"/>
                <w:kern w:val="0"/>
                <w:sz w:val="22"/>
                <w:szCs w:val="22"/>
                <w:lang w:val="en-US" w:eastAsia="zh-CN"/>
              </w:rPr>
              <w:t>7002</w:t>
            </w:r>
          </w:p>
        </w:tc>
        <w:tc>
          <w:tcPr>
            <w:tcW w:w="82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lang w:val="en-US" w:eastAsia="zh-CN"/>
              </w:rPr>
            </w:pPr>
            <w:r>
              <w:rPr>
                <w:rFonts w:hint="eastAsia" w:ascii="宋体" w:hAnsi="宋体" w:eastAsia="方正仿宋_GBK" w:cs="方正仿宋_GBK"/>
                <w:color w:val="000000"/>
                <w:kern w:val="0"/>
                <w:sz w:val="22"/>
                <w:szCs w:val="22"/>
                <w:lang w:val="en-US" w:eastAsia="zh-CN"/>
              </w:rPr>
              <w:t>9647</w:t>
            </w:r>
          </w:p>
        </w:tc>
        <w:tc>
          <w:tcPr>
            <w:tcW w:w="157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p>
        </w:tc>
        <w:tc>
          <w:tcPr>
            <w:tcW w:w="10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textAlignment w:val="auto"/>
              <w:rPr>
                <w:rFonts w:hint="eastAsia" w:ascii="方正仿宋_GBK" w:hAnsi="方正仿宋_GBK" w:eastAsia="方正仿宋_GBK" w:cs="方正仿宋_GBK"/>
                <w:color w:val="000000"/>
                <w:spacing w:val="-20"/>
                <w:kern w:val="0"/>
                <w:sz w:val="22"/>
                <w:szCs w:val="22"/>
              </w:rPr>
            </w:pPr>
            <w:r>
              <w:rPr>
                <w:rFonts w:hint="eastAsia" w:ascii="方正仿宋_GBK" w:hAnsi="方正仿宋_GBK" w:eastAsia="方正仿宋_GBK" w:cs="方正仿宋_GBK"/>
                <w:color w:val="000000"/>
                <w:spacing w:val="-20"/>
                <w:kern w:val="0"/>
                <w:sz w:val="22"/>
                <w:szCs w:val="22"/>
              </w:rPr>
              <w:t>当年结转结余额(百元)</w:t>
            </w:r>
          </w:p>
        </w:tc>
        <w:tc>
          <w:tcPr>
            <w:tcW w:w="8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82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157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p>
        </w:tc>
        <w:tc>
          <w:tcPr>
            <w:tcW w:w="10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结转结余率%</w:t>
            </w:r>
          </w:p>
        </w:tc>
        <w:tc>
          <w:tcPr>
            <w:tcW w:w="8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82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157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p>
        </w:tc>
        <w:tc>
          <w:tcPr>
            <w:tcW w:w="10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结转结余变动率%</w:t>
            </w:r>
          </w:p>
        </w:tc>
        <w:tc>
          <w:tcPr>
            <w:tcW w:w="8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829"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157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58" w:type="dxa"/>
            <w:vMerge w:val="restart"/>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年度总体目标</w:t>
            </w:r>
          </w:p>
        </w:tc>
        <w:tc>
          <w:tcPr>
            <w:tcW w:w="187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预算总体目标</w:t>
            </w:r>
          </w:p>
        </w:tc>
        <w:tc>
          <w:tcPr>
            <w:tcW w:w="2401"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预算总体目标执行结果</w:t>
            </w:r>
          </w:p>
        </w:tc>
        <w:tc>
          <w:tcPr>
            <w:tcW w:w="3900" w:type="dxa"/>
            <w:gridSpan w:val="2"/>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预算总体目标与预算总体目标</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p>
        </w:tc>
        <w:tc>
          <w:tcPr>
            <w:tcW w:w="187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lang w:eastAsia="zh-CN"/>
              </w:rPr>
            </w:pPr>
            <w:r>
              <w:rPr>
                <w:rFonts w:hint="eastAsia" w:ascii="方正仿宋_GBK" w:hAnsi="方正仿宋_GBK" w:eastAsia="方正仿宋_GBK" w:cs="方正仿宋_GBK"/>
                <w:color w:val="000000"/>
                <w:kern w:val="0"/>
                <w:sz w:val="22"/>
                <w:szCs w:val="22"/>
              </w:rPr>
              <w:t>目标</w:t>
            </w:r>
            <w:r>
              <w:rPr>
                <w:rFonts w:hint="eastAsia" w:ascii="宋体" w:hAnsi="宋体" w:eastAsia="方正仿宋_GBK" w:cs="方正仿宋_GBK"/>
                <w:color w:val="000000"/>
                <w:kern w:val="0"/>
                <w:sz w:val="22"/>
                <w:szCs w:val="22"/>
              </w:rPr>
              <w:t>1</w:t>
            </w:r>
            <w:r>
              <w:rPr>
                <w:rFonts w:hint="eastAsia" w:ascii="方正仿宋_GBK" w:hAnsi="方正仿宋_GBK" w:eastAsia="方正仿宋_GBK" w:cs="方正仿宋_GBK"/>
                <w:color w:val="000000"/>
                <w:kern w:val="0"/>
                <w:sz w:val="22"/>
                <w:szCs w:val="22"/>
              </w:rPr>
              <w:t>:</w:t>
            </w:r>
            <w:r>
              <w:rPr>
                <w:rFonts w:hint="eastAsia" w:ascii="方正仿宋_GBK" w:hAnsi="方正仿宋_GBK" w:eastAsia="方正仿宋_GBK" w:cs="方正仿宋_GBK"/>
                <w:color w:val="000000"/>
                <w:kern w:val="0"/>
                <w:sz w:val="22"/>
                <w:szCs w:val="22"/>
                <w:lang w:eastAsia="zh-CN"/>
              </w:rPr>
              <w:t>负责全区渡口日常安全管理工作</w:t>
            </w:r>
          </w:p>
        </w:tc>
        <w:tc>
          <w:tcPr>
            <w:tcW w:w="2401"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lang w:eastAsia="zh-CN"/>
              </w:rPr>
              <w:t>负责全区渡口日常安全管理工作</w:t>
            </w:r>
            <w:r>
              <w:rPr>
                <w:rFonts w:hint="eastAsia" w:ascii="方正仿宋_GBK" w:hAnsi="方正仿宋_GBK" w:eastAsia="方正仿宋_GBK" w:cs="方正仿宋_GBK"/>
                <w:color w:val="000000"/>
                <w:kern w:val="0"/>
                <w:sz w:val="22"/>
                <w:szCs w:val="22"/>
              </w:rPr>
              <w:t>　</w:t>
            </w:r>
          </w:p>
        </w:tc>
        <w:tc>
          <w:tcPr>
            <w:tcW w:w="3900" w:type="dxa"/>
            <w:gridSpan w:val="2"/>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p>
        </w:tc>
        <w:tc>
          <w:tcPr>
            <w:tcW w:w="187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目标</w:t>
            </w:r>
            <w:r>
              <w:rPr>
                <w:rFonts w:hint="eastAsia" w:ascii="宋体" w:hAnsi="宋体" w:eastAsia="方正仿宋_GBK" w:cs="方正仿宋_GBK"/>
                <w:color w:val="000000"/>
                <w:kern w:val="0"/>
                <w:sz w:val="22"/>
                <w:szCs w:val="22"/>
              </w:rPr>
              <w:t>2</w:t>
            </w:r>
            <w:r>
              <w:rPr>
                <w:rFonts w:hint="eastAsia" w:ascii="方正仿宋_GBK" w:hAnsi="方正仿宋_GBK" w:eastAsia="方正仿宋_GBK" w:cs="方正仿宋_GBK"/>
                <w:color w:val="000000"/>
                <w:kern w:val="0"/>
                <w:sz w:val="22"/>
                <w:szCs w:val="22"/>
              </w:rPr>
              <w:t>:完成辖区渡船及船员的年审工作.</w:t>
            </w:r>
          </w:p>
        </w:tc>
        <w:tc>
          <w:tcPr>
            <w:tcW w:w="2401"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完成辖区渡船及船员的年审工作.　</w:t>
            </w:r>
          </w:p>
        </w:tc>
        <w:tc>
          <w:tcPr>
            <w:tcW w:w="3900" w:type="dxa"/>
            <w:gridSpan w:val="2"/>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058" w:type="dxa"/>
            <w:vMerge w:val="restart"/>
            <w:tcBorders>
              <w:top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年度绩效指标</w:t>
            </w:r>
          </w:p>
        </w:tc>
        <w:tc>
          <w:tcPr>
            <w:tcW w:w="104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一级指标</w:t>
            </w:r>
          </w:p>
        </w:tc>
        <w:tc>
          <w:tcPr>
            <w:tcW w:w="8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二级指标</w:t>
            </w: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三级指标</w:t>
            </w:r>
          </w:p>
        </w:tc>
        <w:tc>
          <w:tcPr>
            <w:tcW w:w="16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预算指标值(包含数字及文字描述)</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预算指标值执行结果(包含数字及文字描述)</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104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完成</w:t>
            </w:r>
          </w:p>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w:t>
            </w:r>
          </w:p>
        </w:tc>
        <w:tc>
          <w:tcPr>
            <w:tcW w:w="83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数量</w:t>
            </w:r>
          </w:p>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w:t>
            </w: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w:t>
            </w:r>
            <w:r>
              <w:rPr>
                <w:rFonts w:hint="eastAsia" w:ascii="宋体" w:hAnsi="宋体" w:eastAsia="方正仿宋_GBK" w:cs="方正仿宋_GBK"/>
                <w:color w:val="000000"/>
                <w:kern w:val="0"/>
                <w:sz w:val="22"/>
                <w:szCs w:val="22"/>
              </w:rPr>
              <w:t>1</w:t>
            </w:r>
            <w:r>
              <w:rPr>
                <w:rFonts w:hint="eastAsia" w:ascii="方正仿宋_GBK" w:hAnsi="方正仿宋_GBK" w:eastAsia="方正仿宋_GBK" w:cs="方正仿宋_GBK"/>
                <w:color w:val="000000"/>
                <w:kern w:val="0"/>
                <w:sz w:val="22"/>
                <w:szCs w:val="22"/>
              </w:rPr>
              <w:t>:</w:t>
            </w:r>
          </w:p>
        </w:tc>
        <w:tc>
          <w:tcPr>
            <w:tcW w:w="16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rPr>
            </w:pPr>
            <w:r>
              <w:rPr>
                <w:rFonts w:hint="eastAsia" w:ascii="方正仿宋_GBK" w:hAnsi="方正仿宋_GBK" w:eastAsia="方正仿宋_GBK" w:cs="方正仿宋_GBK"/>
                <w:color w:val="000000"/>
                <w:kern w:val="0"/>
                <w:sz w:val="22"/>
                <w:szCs w:val="22"/>
              </w:rPr>
              <w:t>　</w:t>
            </w:r>
            <w:r>
              <w:rPr>
                <w:rFonts w:hint="eastAsia" w:ascii="方正仿宋_GBK" w:hAnsi="方正仿宋_GBK" w:eastAsia="方正仿宋_GBK" w:cs="方正仿宋_GBK"/>
                <w:color w:val="000000"/>
                <w:kern w:val="0"/>
                <w:sz w:val="22"/>
                <w:szCs w:val="22"/>
                <w:lang w:eastAsia="zh-CN"/>
              </w:rPr>
              <w:t>安全检查派出</w:t>
            </w:r>
            <w:r>
              <w:rPr>
                <w:rFonts w:hint="eastAsia" w:ascii="宋体" w:hAnsi="宋体" w:eastAsia="方正仿宋_GBK" w:cs="方正仿宋_GBK"/>
                <w:color w:val="000000"/>
                <w:kern w:val="0"/>
                <w:sz w:val="22"/>
                <w:szCs w:val="22"/>
                <w:lang w:val="en-US" w:eastAsia="zh-CN"/>
              </w:rPr>
              <w:t>90</w:t>
            </w:r>
            <w:r>
              <w:rPr>
                <w:rFonts w:hint="eastAsia" w:ascii="方正仿宋_GBK" w:hAnsi="方正仿宋_GBK" w:eastAsia="方正仿宋_GBK" w:cs="方正仿宋_GBK"/>
                <w:color w:val="000000"/>
                <w:kern w:val="0"/>
                <w:sz w:val="22"/>
                <w:szCs w:val="22"/>
                <w:lang w:val="en-US" w:eastAsia="zh-CN"/>
              </w:rPr>
              <w:t>人次以上</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bidi="ar-SA"/>
              </w:rPr>
            </w:pPr>
            <w:r>
              <w:rPr>
                <w:rFonts w:hint="eastAsia" w:ascii="方正仿宋_GBK" w:hAnsi="方正仿宋_GBK" w:eastAsia="方正仿宋_GBK" w:cs="方正仿宋_GBK"/>
                <w:color w:val="000000"/>
                <w:kern w:val="0"/>
                <w:sz w:val="22"/>
                <w:szCs w:val="22"/>
              </w:rPr>
              <w:t>　</w:t>
            </w:r>
            <w:r>
              <w:rPr>
                <w:rFonts w:hint="eastAsia" w:ascii="方正仿宋_GBK" w:hAnsi="方正仿宋_GBK" w:eastAsia="方正仿宋_GBK" w:cs="方正仿宋_GBK"/>
                <w:color w:val="000000"/>
                <w:kern w:val="0"/>
                <w:sz w:val="22"/>
                <w:szCs w:val="22"/>
                <w:lang w:eastAsia="zh-CN"/>
              </w:rPr>
              <w:t>安全检查派出</w:t>
            </w:r>
            <w:r>
              <w:rPr>
                <w:rFonts w:hint="eastAsia" w:ascii="宋体" w:hAnsi="宋体" w:eastAsia="方正仿宋_GBK" w:cs="方正仿宋_GBK"/>
                <w:color w:val="000000"/>
                <w:kern w:val="0"/>
                <w:sz w:val="22"/>
                <w:szCs w:val="22"/>
                <w:lang w:val="en-US" w:eastAsia="zh-CN"/>
              </w:rPr>
              <w:t>105</w:t>
            </w:r>
            <w:r>
              <w:rPr>
                <w:rFonts w:hint="eastAsia" w:ascii="方正仿宋_GBK" w:hAnsi="方正仿宋_GBK" w:eastAsia="方正仿宋_GBK" w:cs="方正仿宋_GBK"/>
                <w:color w:val="000000"/>
                <w:kern w:val="0"/>
                <w:sz w:val="22"/>
                <w:szCs w:val="22"/>
                <w:lang w:val="en-US" w:eastAsia="zh-CN"/>
              </w:rPr>
              <w:t>人次</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10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w:t>
            </w:r>
            <w:r>
              <w:rPr>
                <w:rFonts w:hint="eastAsia" w:ascii="宋体" w:hAnsi="宋体" w:eastAsia="方正仿宋_GBK" w:cs="方正仿宋_GBK"/>
                <w:color w:val="000000"/>
                <w:kern w:val="0"/>
                <w:sz w:val="22"/>
                <w:szCs w:val="22"/>
              </w:rPr>
              <w:t>2</w:t>
            </w:r>
            <w:r>
              <w:rPr>
                <w:rFonts w:hint="eastAsia" w:ascii="方正仿宋_GBK" w:hAnsi="方正仿宋_GBK" w:eastAsia="方正仿宋_GBK" w:cs="方正仿宋_GBK"/>
                <w:color w:val="000000"/>
                <w:kern w:val="0"/>
                <w:sz w:val="22"/>
                <w:szCs w:val="22"/>
              </w:rPr>
              <w:t>:</w:t>
            </w:r>
          </w:p>
        </w:tc>
        <w:tc>
          <w:tcPr>
            <w:tcW w:w="16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rPr>
            </w:pPr>
            <w:r>
              <w:rPr>
                <w:rFonts w:hint="eastAsia" w:ascii="方正仿宋_GBK" w:hAnsi="方正仿宋_GBK" w:eastAsia="方正仿宋_GBK" w:cs="方正仿宋_GBK"/>
                <w:color w:val="000000"/>
                <w:kern w:val="0"/>
                <w:sz w:val="22"/>
                <w:szCs w:val="22"/>
              </w:rPr>
              <w:t>　</w:t>
            </w:r>
            <w:r>
              <w:rPr>
                <w:rFonts w:hint="eastAsia" w:ascii="方正仿宋_GBK" w:hAnsi="方正仿宋_GBK" w:eastAsia="方正仿宋_GBK" w:cs="方正仿宋_GBK"/>
                <w:color w:val="000000"/>
                <w:kern w:val="0"/>
                <w:sz w:val="22"/>
                <w:szCs w:val="22"/>
                <w:lang w:eastAsia="zh-CN"/>
              </w:rPr>
              <w:t>检查覆盖渡口及渡船数量各</w:t>
            </w:r>
            <w:r>
              <w:rPr>
                <w:rFonts w:hint="eastAsia" w:ascii="宋体" w:hAnsi="宋体" w:eastAsia="方正仿宋_GBK" w:cs="方正仿宋_GBK"/>
                <w:color w:val="000000"/>
                <w:kern w:val="0"/>
                <w:sz w:val="22"/>
                <w:szCs w:val="22"/>
                <w:lang w:val="en-US" w:eastAsia="zh-CN"/>
              </w:rPr>
              <w:t>13</w:t>
            </w:r>
            <w:r>
              <w:rPr>
                <w:rFonts w:hint="eastAsia" w:ascii="方正仿宋_GBK" w:hAnsi="方正仿宋_GBK" w:eastAsia="方正仿宋_GBK" w:cs="方正仿宋_GBK"/>
                <w:color w:val="000000"/>
                <w:kern w:val="0"/>
                <w:sz w:val="22"/>
                <w:szCs w:val="22"/>
                <w:lang w:val="en-US" w:eastAsia="zh-CN"/>
              </w:rPr>
              <w:t>个</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bidi="ar-SA"/>
              </w:rPr>
            </w:pPr>
            <w:r>
              <w:rPr>
                <w:rFonts w:hint="eastAsia" w:ascii="方正仿宋_GBK" w:hAnsi="方正仿宋_GBK" w:eastAsia="方正仿宋_GBK" w:cs="方正仿宋_GBK"/>
                <w:color w:val="000000"/>
                <w:kern w:val="0"/>
                <w:sz w:val="22"/>
                <w:szCs w:val="22"/>
              </w:rPr>
              <w:t>　</w:t>
            </w:r>
            <w:r>
              <w:rPr>
                <w:rFonts w:hint="eastAsia" w:ascii="方正仿宋_GBK" w:hAnsi="方正仿宋_GBK" w:eastAsia="方正仿宋_GBK" w:cs="方正仿宋_GBK"/>
                <w:color w:val="000000"/>
                <w:kern w:val="0"/>
                <w:sz w:val="22"/>
                <w:szCs w:val="22"/>
                <w:lang w:eastAsia="zh-CN"/>
              </w:rPr>
              <w:t>检查覆盖渡口及渡船数量各</w:t>
            </w:r>
            <w:r>
              <w:rPr>
                <w:rFonts w:hint="eastAsia" w:ascii="宋体" w:hAnsi="宋体" w:eastAsia="方正仿宋_GBK" w:cs="方正仿宋_GBK"/>
                <w:color w:val="000000"/>
                <w:kern w:val="0"/>
                <w:sz w:val="22"/>
                <w:szCs w:val="22"/>
                <w:lang w:val="en-US" w:eastAsia="zh-CN"/>
              </w:rPr>
              <w:t>13</w:t>
            </w:r>
            <w:r>
              <w:rPr>
                <w:rFonts w:hint="eastAsia" w:ascii="方正仿宋_GBK" w:hAnsi="方正仿宋_GBK" w:eastAsia="方正仿宋_GBK" w:cs="方正仿宋_GBK"/>
                <w:color w:val="000000"/>
                <w:kern w:val="0"/>
                <w:sz w:val="22"/>
                <w:szCs w:val="22"/>
                <w:lang w:val="en-US" w:eastAsia="zh-CN"/>
              </w:rPr>
              <w:t>个</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10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w:t>
            </w:r>
            <w:r>
              <w:rPr>
                <w:rFonts w:hint="eastAsia" w:ascii="宋体" w:hAnsi="宋体" w:eastAsia="方正仿宋_GBK" w:cs="方正仿宋_GBK"/>
                <w:color w:val="000000"/>
                <w:kern w:val="0"/>
                <w:sz w:val="22"/>
                <w:szCs w:val="22"/>
                <w:lang w:val="en-US" w:eastAsia="zh-CN"/>
              </w:rPr>
              <w:t>3</w:t>
            </w:r>
            <w:r>
              <w:rPr>
                <w:rFonts w:hint="eastAsia" w:ascii="方正仿宋_GBK" w:hAnsi="方正仿宋_GBK" w:eastAsia="方正仿宋_GBK" w:cs="方正仿宋_GBK"/>
                <w:color w:val="000000"/>
                <w:kern w:val="0"/>
                <w:sz w:val="22"/>
                <w:szCs w:val="22"/>
              </w:rPr>
              <w:t>:</w:t>
            </w:r>
          </w:p>
        </w:tc>
        <w:tc>
          <w:tcPr>
            <w:tcW w:w="16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rPr>
            </w:pPr>
            <w:r>
              <w:rPr>
                <w:rFonts w:hint="eastAsia" w:ascii="方正仿宋_GBK" w:hAnsi="方正仿宋_GBK" w:eastAsia="方正仿宋_GBK" w:cs="方正仿宋_GBK"/>
                <w:color w:val="000000"/>
                <w:kern w:val="0"/>
                <w:sz w:val="22"/>
                <w:szCs w:val="22"/>
                <w:lang w:eastAsia="zh-CN"/>
              </w:rPr>
              <w:t>节日现场监控及巡查派遣</w:t>
            </w:r>
            <w:r>
              <w:rPr>
                <w:rFonts w:hint="eastAsia" w:ascii="宋体" w:hAnsi="宋体" w:eastAsia="方正仿宋_GBK" w:cs="方正仿宋_GBK"/>
                <w:color w:val="000000"/>
                <w:kern w:val="0"/>
                <w:sz w:val="22"/>
                <w:szCs w:val="22"/>
                <w:lang w:val="en-US" w:eastAsia="zh-CN"/>
              </w:rPr>
              <w:t>60</w:t>
            </w:r>
            <w:r>
              <w:rPr>
                <w:rFonts w:hint="eastAsia" w:ascii="方正仿宋_GBK" w:hAnsi="方正仿宋_GBK" w:eastAsia="方正仿宋_GBK" w:cs="方正仿宋_GBK"/>
                <w:color w:val="000000"/>
                <w:kern w:val="0"/>
                <w:sz w:val="22"/>
                <w:szCs w:val="22"/>
                <w:lang w:val="en-US" w:eastAsia="zh-CN"/>
              </w:rPr>
              <w:t>人次以上</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bidi="ar-SA"/>
              </w:rPr>
            </w:pPr>
            <w:r>
              <w:rPr>
                <w:rFonts w:hint="eastAsia" w:ascii="方正仿宋_GBK" w:hAnsi="方正仿宋_GBK" w:eastAsia="方正仿宋_GBK" w:cs="方正仿宋_GBK"/>
                <w:color w:val="000000"/>
                <w:kern w:val="0"/>
                <w:sz w:val="22"/>
                <w:szCs w:val="22"/>
                <w:lang w:eastAsia="zh-CN"/>
              </w:rPr>
              <w:t>节日现场监控及巡查派遣</w:t>
            </w:r>
            <w:r>
              <w:rPr>
                <w:rFonts w:hint="eastAsia" w:ascii="宋体" w:hAnsi="宋体" w:eastAsia="方正仿宋_GBK" w:cs="方正仿宋_GBK"/>
                <w:color w:val="000000"/>
                <w:kern w:val="0"/>
                <w:sz w:val="22"/>
                <w:szCs w:val="22"/>
                <w:lang w:val="en-US" w:eastAsia="zh-CN"/>
              </w:rPr>
              <w:t>70</w:t>
            </w:r>
            <w:r>
              <w:rPr>
                <w:rFonts w:hint="eastAsia" w:ascii="方正仿宋_GBK" w:hAnsi="方正仿宋_GBK" w:eastAsia="方正仿宋_GBK" w:cs="方正仿宋_GBK"/>
                <w:color w:val="000000"/>
                <w:kern w:val="0"/>
                <w:sz w:val="22"/>
                <w:szCs w:val="22"/>
                <w:lang w:val="en-US" w:eastAsia="zh-CN"/>
              </w:rPr>
              <w:t>人次</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10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83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质量</w:t>
            </w:r>
          </w:p>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w:t>
            </w: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w:t>
            </w:r>
            <w:r>
              <w:rPr>
                <w:rFonts w:hint="eastAsia" w:ascii="宋体" w:hAnsi="宋体" w:eastAsia="方正仿宋_GBK" w:cs="方正仿宋_GBK"/>
                <w:color w:val="000000"/>
                <w:kern w:val="0"/>
                <w:sz w:val="22"/>
                <w:szCs w:val="22"/>
              </w:rPr>
              <w:t>1</w:t>
            </w:r>
            <w:r>
              <w:rPr>
                <w:rFonts w:hint="eastAsia" w:ascii="方正仿宋_GBK" w:hAnsi="方正仿宋_GBK" w:eastAsia="方正仿宋_GBK" w:cs="方正仿宋_GBK"/>
                <w:color w:val="000000"/>
                <w:kern w:val="0"/>
                <w:sz w:val="22"/>
                <w:szCs w:val="22"/>
              </w:rPr>
              <w:t>:</w:t>
            </w:r>
          </w:p>
        </w:tc>
        <w:tc>
          <w:tcPr>
            <w:tcW w:w="16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lang w:eastAsia="zh-CN"/>
              </w:rPr>
              <w:t>检查派遣人员出勤率达</w:t>
            </w:r>
            <w:r>
              <w:rPr>
                <w:rFonts w:hint="eastAsia" w:ascii="宋体" w:hAnsi="宋体" w:eastAsia="方正仿宋_GBK" w:cs="方正仿宋_GBK"/>
                <w:color w:val="000000"/>
                <w:kern w:val="0"/>
                <w:sz w:val="22"/>
                <w:szCs w:val="22"/>
                <w:lang w:val="en-US" w:eastAsia="zh-CN"/>
              </w:rPr>
              <w:t>100</w:t>
            </w:r>
            <w:r>
              <w:rPr>
                <w:rFonts w:hint="eastAsia" w:ascii="方正仿宋_GBK" w:hAnsi="方正仿宋_GBK" w:eastAsia="方正仿宋_GBK" w:cs="方正仿宋_GBK"/>
                <w:color w:val="000000"/>
                <w:kern w:val="0"/>
                <w:sz w:val="22"/>
                <w:szCs w:val="22"/>
                <w:lang w:val="en-US" w:eastAsia="zh-CN"/>
              </w:rPr>
              <w:t>%</w:t>
            </w:r>
            <w:r>
              <w:rPr>
                <w:rFonts w:hint="eastAsia" w:ascii="方正仿宋_GBK" w:hAnsi="方正仿宋_GBK" w:eastAsia="方正仿宋_GBK" w:cs="方正仿宋_GBK"/>
                <w:color w:val="000000"/>
                <w:kern w:val="0"/>
                <w:sz w:val="22"/>
                <w:szCs w:val="22"/>
              </w:rPr>
              <w:t>　</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bidi="ar-SA"/>
              </w:rPr>
            </w:pPr>
            <w:r>
              <w:rPr>
                <w:rFonts w:hint="eastAsia" w:ascii="方正仿宋_GBK" w:hAnsi="方正仿宋_GBK" w:eastAsia="方正仿宋_GBK" w:cs="方正仿宋_GBK"/>
                <w:color w:val="000000"/>
                <w:kern w:val="0"/>
                <w:sz w:val="22"/>
                <w:szCs w:val="22"/>
                <w:lang w:eastAsia="zh-CN"/>
              </w:rPr>
              <w:t>检查派遣人员出勤率达</w:t>
            </w:r>
            <w:r>
              <w:rPr>
                <w:rFonts w:hint="eastAsia" w:ascii="宋体" w:hAnsi="宋体" w:eastAsia="方正仿宋_GBK" w:cs="方正仿宋_GBK"/>
                <w:color w:val="000000"/>
                <w:kern w:val="0"/>
                <w:sz w:val="22"/>
                <w:szCs w:val="22"/>
                <w:lang w:val="en-US" w:eastAsia="zh-CN"/>
              </w:rPr>
              <w:t>100</w:t>
            </w:r>
            <w:r>
              <w:rPr>
                <w:rFonts w:hint="eastAsia" w:ascii="方正仿宋_GBK" w:hAnsi="方正仿宋_GBK" w:eastAsia="方正仿宋_GBK" w:cs="方正仿宋_GBK"/>
                <w:color w:val="000000"/>
                <w:kern w:val="0"/>
                <w:sz w:val="22"/>
                <w:szCs w:val="22"/>
                <w:lang w:val="en-US" w:eastAsia="zh-CN"/>
              </w:rPr>
              <w:t>%</w:t>
            </w:r>
            <w:r>
              <w:rPr>
                <w:rFonts w:hint="eastAsia" w:ascii="方正仿宋_GBK" w:hAnsi="方正仿宋_GBK" w:eastAsia="方正仿宋_GBK" w:cs="方正仿宋_GBK"/>
                <w:color w:val="000000"/>
                <w:kern w:val="0"/>
                <w:sz w:val="22"/>
                <w:szCs w:val="22"/>
              </w:rPr>
              <w:t>　</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10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w:t>
            </w:r>
            <w:r>
              <w:rPr>
                <w:rFonts w:hint="eastAsia" w:ascii="宋体" w:hAnsi="宋体" w:eastAsia="方正仿宋_GBK" w:cs="方正仿宋_GBK"/>
                <w:color w:val="000000"/>
                <w:kern w:val="0"/>
                <w:sz w:val="22"/>
                <w:szCs w:val="22"/>
              </w:rPr>
              <w:t>2</w:t>
            </w:r>
            <w:r>
              <w:rPr>
                <w:rFonts w:hint="eastAsia" w:ascii="方正仿宋_GBK" w:hAnsi="方正仿宋_GBK" w:eastAsia="方正仿宋_GBK" w:cs="方正仿宋_GBK"/>
                <w:color w:val="000000"/>
                <w:kern w:val="0"/>
                <w:sz w:val="22"/>
                <w:szCs w:val="22"/>
              </w:rPr>
              <w:t>:</w:t>
            </w:r>
          </w:p>
        </w:tc>
        <w:tc>
          <w:tcPr>
            <w:tcW w:w="16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rPr>
            </w:pPr>
            <w:r>
              <w:rPr>
                <w:rFonts w:hint="eastAsia" w:ascii="方正仿宋_GBK" w:hAnsi="方正仿宋_GBK" w:eastAsia="方正仿宋_GBK" w:cs="方正仿宋_GBK"/>
                <w:color w:val="000000"/>
                <w:kern w:val="0"/>
                <w:sz w:val="22"/>
                <w:szCs w:val="22"/>
              </w:rPr>
              <w:t>　</w:t>
            </w:r>
            <w:r>
              <w:rPr>
                <w:rFonts w:hint="eastAsia" w:ascii="方正仿宋_GBK" w:hAnsi="方正仿宋_GBK" w:eastAsia="方正仿宋_GBK" w:cs="方正仿宋_GBK"/>
                <w:color w:val="000000"/>
                <w:kern w:val="0"/>
                <w:sz w:val="22"/>
                <w:szCs w:val="22"/>
                <w:lang w:eastAsia="zh-CN"/>
              </w:rPr>
              <w:t>检查次数达标率达</w:t>
            </w:r>
            <w:r>
              <w:rPr>
                <w:rFonts w:hint="eastAsia" w:ascii="宋体" w:hAnsi="宋体" w:eastAsia="方正仿宋_GBK" w:cs="方正仿宋_GBK"/>
                <w:color w:val="000000"/>
                <w:kern w:val="0"/>
                <w:sz w:val="22"/>
                <w:szCs w:val="22"/>
                <w:lang w:val="en-US" w:eastAsia="zh-CN"/>
              </w:rPr>
              <w:t>100</w:t>
            </w:r>
            <w:r>
              <w:rPr>
                <w:rFonts w:hint="eastAsia" w:ascii="方正仿宋_GBK" w:hAnsi="方正仿宋_GBK" w:eastAsia="方正仿宋_GBK" w:cs="方正仿宋_GBK"/>
                <w:color w:val="000000"/>
                <w:kern w:val="0"/>
                <w:sz w:val="22"/>
                <w:szCs w:val="22"/>
                <w:lang w:val="en-US" w:eastAsia="zh-CN"/>
              </w:rPr>
              <w:t>%</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bidi="ar-SA"/>
              </w:rPr>
            </w:pPr>
            <w:r>
              <w:rPr>
                <w:rFonts w:hint="eastAsia" w:ascii="方正仿宋_GBK" w:hAnsi="方正仿宋_GBK" w:eastAsia="方正仿宋_GBK" w:cs="方正仿宋_GBK"/>
                <w:color w:val="000000"/>
                <w:kern w:val="0"/>
                <w:sz w:val="22"/>
                <w:szCs w:val="22"/>
              </w:rPr>
              <w:t>　</w:t>
            </w:r>
            <w:r>
              <w:rPr>
                <w:rFonts w:hint="eastAsia" w:ascii="方正仿宋_GBK" w:hAnsi="方正仿宋_GBK" w:eastAsia="方正仿宋_GBK" w:cs="方正仿宋_GBK"/>
                <w:color w:val="000000"/>
                <w:kern w:val="0"/>
                <w:sz w:val="22"/>
                <w:szCs w:val="22"/>
                <w:lang w:eastAsia="zh-CN"/>
              </w:rPr>
              <w:t>检查次数达标率达</w:t>
            </w:r>
            <w:r>
              <w:rPr>
                <w:rFonts w:hint="eastAsia" w:ascii="宋体" w:hAnsi="宋体" w:eastAsia="方正仿宋_GBK" w:cs="方正仿宋_GBK"/>
                <w:color w:val="000000"/>
                <w:kern w:val="0"/>
                <w:sz w:val="22"/>
                <w:szCs w:val="22"/>
                <w:lang w:val="en-US" w:eastAsia="zh-CN"/>
              </w:rPr>
              <w:t>100</w:t>
            </w:r>
            <w:r>
              <w:rPr>
                <w:rFonts w:hint="eastAsia" w:ascii="方正仿宋_GBK" w:hAnsi="方正仿宋_GBK" w:eastAsia="方正仿宋_GBK" w:cs="方正仿宋_GBK"/>
                <w:color w:val="000000"/>
                <w:kern w:val="0"/>
                <w:sz w:val="22"/>
                <w:szCs w:val="22"/>
                <w:lang w:val="en-US" w:eastAsia="zh-CN"/>
              </w:rPr>
              <w:t>%</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10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w:t>
            </w:r>
          </w:p>
        </w:tc>
        <w:tc>
          <w:tcPr>
            <w:tcW w:w="16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rPr>
            </w:pPr>
            <w:r>
              <w:rPr>
                <w:rFonts w:hint="eastAsia" w:ascii="方正仿宋_GBK" w:hAnsi="方正仿宋_GBK" w:eastAsia="方正仿宋_GBK" w:cs="方正仿宋_GBK"/>
                <w:color w:val="000000"/>
                <w:kern w:val="0"/>
                <w:sz w:val="22"/>
                <w:szCs w:val="22"/>
              </w:rPr>
              <w:t>　</w:t>
            </w:r>
            <w:r>
              <w:rPr>
                <w:rFonts w:hint="eastAsia" w:ascii="方正仿宋_GBK" w:hAnsi="方正仿宋_GBK" w:eastAsia="方正仿宋_GBK" w:cs="方正仿宋_GBK"/>
                <w:color w:val="000000"/>
                <w:kern w:val="0"/>
                <w:sz w:val="22"/>
                <w:szCs w:val="22"/>
                <w:lang w:eastAsia="zh-CN"/>
              </w:rPr>
              <w:t>渡船隐患排查整治完成率达</w:t>
            </w:r>
            <w:r>
              <w:rPr>
                <w:rFonts w:hint="eastAsia" w:ascii="宋体" w:hAnsi="宋体" w:eastAsia="方正仿宋_GBK" w:cs="方正仿宋_GBK"/>
                <w:color w:val="000000"/>
                <w:kern w:val="0"/>
                <w:sz w:val="22"/>
                <w:szCs w:val="22"/>
                <w:lang w:val="en-US" w:eastAsia="zh-CN"/>
              </w:rPr>
              <w:t>100</w:t>
            </w:r>
            <w:r>
              <w:rPr>
                <w:rFonts w:hint="eastAsia" w:ascii="方正仿宋_GBK" w:hAnsi="方正仿宋_GBK" w:eastAsia="方正仿宋_GBK" w:cs="方正仿宋_GBK"/>
                <w:color w:val="000000"/>
                <w:kern w:val="0"/>
                <w:sz w:val="22"/>
                <w:szCs w:val="22"/>
                <w:lang w:val="en-US" w:eastAsia="zh-CN"/>
              </w:rPr>
              <w:t>%</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bidi="ar-SA"/>
              </w:rPr>
            </w:pPr>
            <w:r>
              <w:rPr>
                <w:rFonts w:hint="eastAsia" w:ascii="方正仿宋_GBK" w:hAnsi="方正仿宋_GBK" w:eastAsia="方正仿宋_GBK" w:cs="方正仿宋_GBK"/>
                <w:color w:val="000000"/>
                <w:kern w:val="0"/>
                <w:sz w:val="22"/>
                <w:szCs w:val="22"/>
              </w:rPr>
              <w:t>　</w:t>
            </w:r>
            <w:r>
              <w:rPr>
                <w:rFonts w:hint="eastAsia" w:ascii="方正仿宋_GBK" w:hAnsi="方正仿宋_GBK" w:eastAsia="方正仿宋_GBK" w:cs="方正仿宋_GBK"/>
                <w:color w:val="000000"/>
                <w:kern w:val="0"/>
                <w:sz w:val="22"/>
                <w:szCs w:val="22"/>
                <w:lang w:eastAsia="zh-CN"/>
              </w:rPr>
              <w:t>渡船隐患排查整治完成率达</w:t>
            </w:r>
            <w:r>
              <w:rPr>
                <w:rFonts w:hint="eastAsia" w:ascii="宋体" w:hAnsi="宋体" w:eastAsia="方正仿宋_GBK" w:cs="方正仿宋_GBK"/>
                <w:color w:val="000000"/>
                <w:kern w:val="0"/>
                <w:sz w:val="22"/>
                <w:szCs w:val="22"/>
                <w:lang w:val="en-US" w:eastAsia="zh-CN"/>
              </w:rPr>
              <w:t>100</w:t>
            </w:r>
            <w:r>
              <w:rPr>
                <w:rFonts w:hint="eastAsia" w:ascii="方正仿宋_GBK" w:hAnsi="方正仿宋_GBK" w:eastAsia="方正仿宋_GBK" w:cs="方正仿宋_GBK"/>
                <w:color w:val="000000"/>
                <w:kern w:val="0"/>
                <w:sz w:val="22"/>
                <w:szCs w:val="22"/>
                <w:lang w:val="en-US" w:eastAsia="zh-CN"/>
              </w:rPr>
              <w:t>%</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10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83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时效</w:t>
            </w:r>
          </w:p>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w:t>
            </w: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w:t>
            </w:r>
            <w:r>
              <w:rPr>
                <w:rFonts w:hint="eastAsia" w:ascii="宋体" w:hAnsi="宋体" w:eastAsia="方正仿宋_GBK" w:cs="方正仿宋_GBK"/>
                <w:color w:val="000000"/>
                <w:kern w:val="0"/>
                <w:sz w:val="22"/>
                <w:szCs w:val="22"/>
              </w:rPr>
              <w:t>1</w:t>
            </w:r>
            <w:r>
              <w:rPr>
                <w:rFonts w:hint="eastAsia" w:ascii="方正仿宋_GBK" w:hAnsi="方正仿宋_GBK" w:eastAsia="方正仿宋_GBK" w:cs="方正仿宋_GBK"/>
                <w:color w:val="000000"/>
                <w:kern w:val="0"/>
                <w:sz w:val="22"/>
                <w:szCs w:val="22"/>
              </w:rPr>
              <w:t>:</w:t>
            </w:r>
          </w:p>
        </w:tc>
        <w:tc>
          <w:tcPr>
            <w:tcW w:w="16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rPr>
            </w:pPr>
            <w:r>
              <w:rPr>
                <w:rFonts w:hint="eastAsia" w:ascii="方正仿宋_GBK" w:hAnsi="方正仿宋_GBK" w:eastAsia="方正仿宋_GBK" w:cs="方正仿宋_GBK"/>
                <w:color w:val="000000"/>
                <w:kern w:val="0"/>
                <w:sz w:val="22"/>
                <w:szCs w:val="22"/>
              </w:rPr>
              <w:t>　</w:t>
            </w:r>
            <w:r>
              <w:rPr>
                <w:rFonts w:hint="eastAsia" w:ascii="方正仿宋_GBK" w:hAnsi="方正仿宋_GBK" w:eastAsia="方正仿宋_GBK" w:cs="方正仿宋_GBK"/>
                <w:color w:val="000000"/>
                <w:kern w:val="0"/>
                <w:sz w:val="22"/>
                <w:szCs w:val="22"/>
                <w:lang w:eastAsia="zh-CN"/>
              </w:rPr>
              <w:t>安全生产月安全宣传教育及时率达</w:t>
            </w:r>
            <w:r>
              <w:rPr>
                <w:rFonts w:hint="eastAsia" w:ascii="宋体" w:hAnsi="宋体" w:eastAsia="方正仿宋_GBK" w:cs="方正仿宋_GBK"/>
                <w:color w:val="000000"/>
                <w:kern w:val="0"/>
                <w:sz w:val="22"/>
                <w:szCs w:val="22"/>
                <w:lang w:val="en-US" w:eastAsia="zh-CN"/>
              </w:rPr>
              <w:t>100</w:t>
            </w:r>
            <w:r>
              <w:rPr>
                <w:rFonts w:hint="eastAsia" w:ascii="方正仿宋_GBK" w:hAnsi="方正仿宋_GBK" w:eastAsia="方正仿宋_GBK" w:cs="方正仿宋_GBK"/>
                <w:color w:val="000000"/>
                <w:kern w:val="0"/>
                <w:sz w:val="22"/>
                <w:szCs w:val="22"/>
                <w:lang w:val="en-US" w:eastAsia="zh-CN"/>
              </w:rPr>
              <w:t>%</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bidi="ar-SA"/>
              </w:rPr>
            </w:pPr>
            <w:r>
              <w:rPr>
                <w:rFonts w:hint="eastAsia" w:ascii="方正仿宋_GBK" w:hAnsi="方正仿宋_GBK" w:eastAsia="方正仿宋_GBK" w:cs="方正仿宋_GBK"/>
                <w:color w:val="000000"/>
                <w:kern w:val="0"/>
                <w:sz w:val="22"/>
                <w:szCs w:val="22"/>
              </w:rPr>
              <w:t>　</w:t>
            </w:r>
            <w:r>
              <w:rPr>
                <w:rFonts w:hint="eastAsia" w:ascii="方正仿宋_GBK" w:hAnsi="方正仿宋_GBK" w:eastAsia="方正仿宋_GBK" w:cs="方正仿宋_GBK"/>
                <w:color w:val="000000"/>
                <w:kern w:val="0"/>
                <w:sz w:val="22"/>
                <w:szCs w:val="22"/>
                <w:lang w:eastAsia="zh-CN"/>
              </w:rPr>
              <w:t>安全生产月安全宣传教育及时率达</w:t>
            </w:r>
            <w:r>
              <w:rPr>
                <w:rFonts w:hint="eastAsia" w:ascii="宋体" w:hAnsi="宋体" w:eastAsia="方正仿宋_GBK" w:cs="方正仿宋_GBK"/>
                <w:color w:val="000000"/>
                <w:kern w:val="0"/>
                <w:sz w:val="22"/>
                <w:szCs w:val="22"/>
                <w:lang w:val="en-US" w:eastAsia="zh-CN"/>
              </w:rPr>
              <w:t>100</w:t>
            </w:r>
            <w:r>
              <w:rPr>
                <w:rFonts w:hint="eastAsia" w:ascii="方正仿宋_GBK" w:hAnsi="方正仿宋_GBK" w:eastAsia="方正仿宋_GBK" w:cs="方正仿宋_GBK"/>
                <w:color w:val="000000"/>
                <w:kern w:val="0"/>
                <w:sz w:val="22"/>
                <w:szCs w:val="22"/>
                <w:lang w:val="en-US" w:eastAsia="zh-CN"/>
              </w:rPr>
              <w:t>%</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10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w:t>
            </w:r>
            <w:r>
              <w:rPr>
                <w:rFonts w:hint="eastAsia" w:ascii="宋体" w:hAnsi="宋体" w:eastAsia="方正仿宋_GBK" w:cs="方正仿宋_GBK"/>
                <w:color w:val="000000"/>
                <w:kern w:val="0"/>
                <w:sz w:val="22"/>
                <w:szCs w:val="22"/>
              </w:rPr>
              <w:t>2</w:t>
            </w:r>
            <w:r>
              <w:rPr>
                <w:rFonts w:hint="eastAsia" w:ascii="方正仿宋_GBK" w:hAnsi="方正仿宋_GBK" w:eastAsia="方正仿宋_GBK" w:cs="方正仿宋_GBK"/>
                <w:color w:val="000000"/>
                <w:kern w:val="0"/>
                <w:sz w:val="22"/>
                <w:szCs w:val="22"/>
              </w:rPr>
              <w:t>:</w:t>
            </w:r>
          </w:p>
        </w:tc>
        <w:tc>
          <w:tcPr>
            <w:tcW w:w="16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rPr>
            </w:pPr>
            <w:r>
              <w:rPr>
                <w:rFonts w:hint="eastAsia" w:ascii="方正仿宋_GBK" w:hAnsi="方正仿宋_GBK" w:eastAsia="方正仿宋_GBK" w:cs="方正仿宋_GBK"/>
                <w:color w:val="000000"/>
                <w:kern w:val="0"/>
                <w:sz w:val="22"/>
                <w:szCs w:val="22"/>
              </w:rPr>
              <w:t>　</w:t>
            </w:r>
            <w:r>
              <w:rPr>
                <w:rFonts w:hint="eastAsia" w:ascii="方正仿宋_GBK" w:hAnsi="方正仿宋_GBK" w:eastAsia="方正仿宋_GBK" w:cs="方正仿宋_GBK"/>
                <w:color w:val="000000"/>
                <w:kern w:val="0"/>
                <w:sz w:val="22"/>
                <w:szCs w:val="22"/>
                <w:lang w:eastAsia="zh-CN"/>
              </w:rPr>
              <w:t>渡口渡船监控及检查及时率达</w:t>
            </w:r>
            <w:r>
              <w:rPr>
                <w:rFonts w:hint="eastAsia" w:ascii="宋体" w:hAnsi="宋体" w:eastAsia="方正仿宋_GBK" w:cs="方正仿宋_GBK"/>
                <w:color w:val="000000"/>
                <w:kern w:val="0"/>
                <w:sz w:val="22"/>
                <w:szCs w:val="22"/>
                <w:lang w:val="en-US" w:eastAsia="zh-CN"/>
              </w:rPr>
              <w:t>100</w:t>
            </w:r>
            <w:r>
              <w:rPr>
                <w:rFonts w:hint="eastAsia" w:ascii="方正仿宋_GBK" w:hAnsi="方正仿宋_GBK" w:eastAsia="方正仿宋_GBK" w:cs="方正仿宋_GBK"/>
                <w:color w:val="000000"/>
                <w:kern w:val="0"/>
                <w:sz w:val="22"/>
                <w:szCs w:val="22"/>
                <w:lang w:val="en-US" w:eastAsia="zh-CN"/>
              </w:rPr>
              <w:t>%</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bidi="ar-SA"/>
              </w:rPr>
            </w:pPr>
            <w:r>
              <w:rPr>
                <w:rFonts w:hint="eastAsia" w:ascii="方正仿宋_GBK" w:hAnsi="方正仿宋_GBK" w:eastAsia="方正仿宋_GBK" w:cs="方正仿宋_GBK"/>
                <w:color w:val="000000"/>
                <w:kern w:val="0"/>
                <w:sz w:val="22"/>
                <w:szCs w:val="22"/>
              </w:rPr>
              <w:t>　</w:t>
            </w:r>
            <w:r>
              <w:rPr>
                <w:rFonts w:hint="eastAsia" w:ascii="方正仿宋_GBK" w:hAnsi="方正仿宋_GBK" w:eastAsia="方正仿宋_GBK" w:cs="方正仿宋_GBK"/>
                <w:color w:val="000000"/>
                <w:kern w:val="0"/>
                <w:sz w:val="22"/>
                <w:szCs w:val="22"/>
                <w:lang w:eastAsia="zh-CN"/>
              </w:rPr>
              <w:t>渡口渡船监控及检查及时率达</w:t>
            </w:r>
            <w:r>
              <w:rPr>
                <w:rFonts w:hint="eastAsia" w:ascii="宋体" w:hAnsi="宋体" w:eastAsia="方正仿宋_GBK" w:cs="方正仿宋_GBK"/>
                <w:color w:val="000000"/>
                <w:kern w:val="0"/>
                <w:sz w:val="22"/>
                <w:szCs w:val="22"/>
                <w:lang w:val="en-US" w:eastAsia="zh-CN"/>
              </w:rPr>
              <w:t>100</w:t>
            </w:r>
            <w:r>
              <w:rPr>
                <w:rFonts w:hint="eastAsia" w:ascii="方正仿宋_GBK" w:hAnsi="方正仿宋_GBK" w:eastAsia="方正仿宋_GBK" w:cs="方正仿宋_GBK"/>
                <w:color w:val="000000"/>
                <w:kern w:val="0"/>
                <w:sz w:val="22"/>
                <w:szCs w:val="22"/>
                <w:lang w:val="en-US" w:eastAsia="zh-CN"/>
              </w:rPr>
              <w:t>%</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10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83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成本</w:t>
            </w:r>
          </w:p>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w:t>
            </w: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w:t>
            </w:r>
            <w:r>
              <w:rPr>
                <w:rFonts w:hint="eastAsia" w:ascii="宋体" w:hAnsi="宋体" w:eastAsia="方正仿宋_GBK" w:cs="方正仿宋_GBK"/>
                <w:color w:val="000000"/>
                <w:kern w:val="0"/>
                <w:sz w:val="22"/>
                <w:szCs w:val="22"/>
              </w:rPr>
              <w:t>1</w:t>
            </w:r>
            <w:r>
              <w:rPr>
                <w:rFonts w:hint="eastAsia" w:ascii="方正仿宋_GBK" w:hAnsi="方正仿宋_GBK" w:eastAsia="方正仿宋_GBK" w:cs="方正仿宋_GBK"/>
                <w:color w:val="000000"/>
                <w:kern w:val="0"/>
                <w:sz w:val="22"/>
                <w:szCs w:val="22"/>
              </w:rPr>
              <w:t>:</w:t>
            </w:r>
          </w:p>
        </w:tc>
        <w:tc>
          <w:tcPr>
            <w:tcW w:w="16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rPr>
            </w:pPr>
            <w:r>
              <w:rPr>
                <w:rFonts w:hint="eastAsia" w:ascii="方正仿宋_GBK" w:hAnsi="方正仿宋_GBK" w:eastAsia="方正仿宋_GBK" w:cs="方正仿宋_GBK"/>
                <w:color w:val="000000"/>
                <w:kern w:val="0"/>
                <w:sz w:val="22"/>
                <w:szCs w:val="22"/>
              </w:rPr>
              <w:t>　</w:t>
            </w:r>
            <w:r>
              <w:rPr>
                <w:rFonts w:hint="eastAsia" w:ascii="方正仿宋_GBK" w:hAnsi="方正仿宋_GBK" w:eastAsia="方正仿宋_GBK" w:cs="方正仿宋_GBK"/>
                <w:color w:val="000000"/>
                <w:kern w:val="0"/>
                <w:sz w:val="22"/>
                <w:szCs w:val="22"/>
                <w:lang w:eastAsia="zh-CN"/>
              </w:rPr>
              <w:t>基本支出成本控制数小于等于</w:t>
            </w:r>
            <w:r>
              <w:rPr>
                <w:rFonts w:hint="eastAsia" w:ascii="宋体" w:hAnsi="宋体" w:eastAsia="方正仿宋_GBK" w:cs="方正仿宋_GBK"/>
                <w:color w:val="000000"/>
                <w:kern w:val="0"/>
                <w:sz w:val="22"/>
                <w:szCs w:val="22"/>
                <w:lang w:val="en-US" w:eastAsia="zh-CN"/>
              </w:rPr>
              <w:t>70</w:t>
            </w:r>
            <w:r>
              <w:rPr>
                <w:rFonts w:hint="eastAsia" w:ascii="方正仿宋_GBK" w:hAnsi="方正仿宋_GBK" w:eastAsia="方正仿宋_GBK" w:cs="方正仿宋_GBK"/>
                <w:color w:val="000000"/>
                <w:kern w:val="0"/>
                <w:sz w:val="22"/>
                <w:szCs w:val="22"/>
                <w:lang w:val="en-US" w:eastAsia="zh-CN"/>
              </w:rPr>
              <w:t>.</w:t>
            </w:r>
            <w:r>
              <w:rPr>
                <w:rFonts w:hint="eastAsia" w:ascii="宋体" w:hAnsi="宋体" w:eastAsia="方正仿宋_GBK" w:cs="方正仿宋_GBK"/>
                <w:color w:val="000000"/>
                <w:kern w:val="0"/>
                <w:sz w:val="22"/>
                <w:szCs w:val="22"/>
                <w:lang w:val="en-US" w:eastAsia="zh-CN"/>
              </w:rPr>
              <w:t>02</w:t>
            </w:r>
            <w:r>
              <w:rPr>
                <w:rFonts w:hint="eastAsia" w:ascii="方正仿宋_GBK" w:hAnsi="方正仿宋_GBK" w:eastAsia="方正仿宋_GBK" w:cs="方正仿宋_GBK"/>
                <w:color w:val="000000"/>
                <w:kern w:val="0"/>
                <w:sz w:val="22"/>
                <w:szCs w:val="22"/>
                <w:lang w:val="en-US" w:eastAsia="zh-CN"/>
              </w:rPr>
              <w:t>万元</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rPr>
            </w:pPr>
            <w:r>
              <w:rPr>
                <w:rFonts w:hint="eastAsia" w:ascii="方正仿宋_GBK" w:hAnsi="方正仿宋_GBK" w:eastAsia="方正仿宋_GBK" w:cs="方正仿宋_GBK"/>
                <w:color w:val="000000"/>
                <w:kern w:val="0"/>
                <w:sz w:val="22"/>
                <w:szCs w:val="22"/>
              </w:rPr>
              <w:t>　</w:t>
            </w:r>
            <w:r>
              <w:rPr>
                <w:rFonts w:hint="eastAsia" w:ascii="方正仿宋_GBK" w:hAnsi="方正仿宋_GBK" w:eastAsia="方正仿宋_GBK" w:cs="方正仿宋_GBK"/>
                <w:color w:val="000000"/>
                <w:kern w:val="0"/>
                <w:sz w:val="22"/>
                <w:szCs w:val="22"/>
                <w:lang w:eastAsia="zh-CN"/>
              </w:rPr>
              <w:t>基本支出成本等于</w:t>
            </w:r>
            <w:r>
              <w:rPr>
                <w:rFonts w:hint="eastAsia" w:ascii="宋体" w:hAnsi="宋体" w:eastAsia="方正仿宋_GBK" w:cs="方正仿宋_GBK"/>
                <w:color w:val="000000"/>
                <w:kern w:val="0"/>
                <w:sz w:val="22"/>
                <w:szCs w:val="22"/>
                <w:lang w:val="en-US" w:eastAsia="zh-CN"/>
              </w:rPr>
              <w:t>96</w:t>
            </w:r>
            <w:r>
              <w:rPr>
                <w:rFonts w:hint="eastAsia" w:ascii="方正仿宋_GBK" w:hAnsi="方正仿宋_GBK" w:eastAsia="方正仿宋_GBK" w:cs="方正仿宋_GBK"/>
                <w:color w:val="000000"/>
                <w:kern w:val="0"/>
                <w:sz w:val="22"/>
                <w:szCs w:val="22"/>
                <w:lang w:val="en-US" w:eastAsia="zh-CN"/>
              </w:rPr>
              <w:t>.</w:t>
            </w:r>
            <w:r>
              <w:rPr>
                <w:rFonts w:hint="eastAsia" w:ascii="宋体" w:hAnsi="宋体" w:eastAsia="方正仿宋_GBK" w:cs="方正仿宋_GBK"/>
                <w:color w:val="000000"/>
                <w:kern w:val="0"/>
                <w:sz w:val="22"/>
                <w:szCs w:val="22"/>
                <w:lang w:val="en-US" w:eastAsia="zh-CN"/>
              </w:rPr>
              <w:t>12</w:t>
            </w:r>
            <w:r>
              <w:rPr>
                <w:rFonts w:hint="eastAsia" w:ascii="方正仿宋_GBK" w:hAnsi="方正仿宋_GBK" w:eastAsia="方正仿宋_GBK" w:cs="方正仿宋_GBK"/>
                <w:color w:val="000000"/>
                <w:kern w:val="0"/>
                <w:sz w:val="22"/>
                <w:szCs w:val="22"/>
                <w:lang w:val="en-US" w:eastAsia="zh-CN"/>
              </w:rPr>
              <w:t>万元</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eastAsia="zh-CN"/>
              </w:rPr>
            </w:pPr>
            <w:r>
              <w:rPr>
                <w:rFonts w:hint="eastAsia" w:ascii="方正仿宋_GBK" w:hAnsi="方正仿宋_GBK" w:eastAsia="方正仿宋_GBK" w:cs="方正仿宋_GBK"/>
                <w:color w:val="000000"/>
                <w:kern w:val="0"/>
                <w:sz w:val="22"/>
                <w:szCs w:val="22"/>
                <w:lang w:eastAsia="zh-CN"/>
              </w:rPr>
              <w:t>发放基础绩效奖等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10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w:t>
            </w:r>
            <w:r>
              <w:rPr>
                <w:rFonts w:hint="eastAsia" w:ascii="宋体" w:hAnsi="宋体" w:eastAsia="方正仿宋_GBK" w:cs="方正仿宋_GBK"/>
                <w:color w:val="000000"/>
                <w:kern w:val="0"/>
                <w:sz w:val="22"/>
                <w:szCs w:val="22"/>
              </w:rPr>
              <w:t>2</w:t>
            </w:r>
            <w:r>
              <w:rPr>
                <w:rFonts w:hint="eastAsia" w:ascii="方正仿宋_GBK" w:hAnsi="方正仿宋_GBK" w:eastAsia="方正仿宋_GBK" w:cs="方正仿宋_GBK"/>
                <w:color w:val="000000"/>
                <w:kern w:val="0"/>
                <w:sz w:val="22"/>
                <w:szCs w:val="22"/>
              </w:rPr>
              <w:t>:</w:t>
            </w:r>
          </w:p>
        </w:tc>
        <w:tc>
          <w:tcPr>
            <w:tcW w:w="16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rPr>
            </w:pPr>
            <w:r>
              <w:rPr>
                <w:rFonts w:hint="eastAsia" w:ascii="方正仿宋_GBK" w:hAnsi="方正仿宋_GBK" w:eastAsia="方正仿宋_GBK" w:cs="方正仿宋_GBK"/>
                <w:color w:val="000000"/>
                <w:kern w:val="0"/>
                <w:sz w:val="22"/>
                <w:szCs w:val="22"/>
              </w:rPr>
              <w:t>　</w:t>
            </w:r>
            <w:r>
              <w:rPr>
                <w:rFonts w:hint="eastAsia" w:ascii="方正仿宋_GBK" w:hAnsi="方正仿宋_GBK" w:eastAsia="方正仿宋_GBK" w:cs="方正仿宋_GBK"/>
                <w:color w:val="000000"/>
                <w:kern w:val="0"/>
                <w:sz w:val="22"/>
                <w:szCs w:val="22"/>
                <w:lang w:eastAsia="zh-CN"/>
              </w:rPr>
              <w:t>项目支出成本控制数小于等于</w:t>
            </w:r>
            <w:r>
              <w:rPr>
                <w:rFonts w:hint="eastAsia" w:ascii="宋体" w:hAnsi="宋体" w:eastAsia="方正仿宋_GBK" w:cs="方正仿宋_GBK"/>
                <w:color w:val="000000"/>
                <w:kern w:val="0"/>
                <w:sz w:val="22"/>
                <w:szCs w:val="22"/>
                <w:lang w:val="en-US" w:eastAsia="zh-CN"/>
              </w:rPr>
              <w:t>0</w:t>
            </w:r>
            <w:r>
              <w:rPr>
                <w:rFonts w:hint="eastAsia" w:ascii="方正仿宋_GBK" w:hAnsi="方正仿宋_GBK" w:eastAsia="方正仿宋_GBK" w:cs="方正仿宋_GBK"/>
                <w:color w:val="000000"/>
                <w:kern w:val="0"/>
                <w:sz w:val="22"/>
                <w:szCs w:val="22"/>
                <w:lang w:val="en-US" w:eastAsia="zh-CN"/>
              </w:rPr>
              <w:t>.</w:t>
            </w:r>
            <w:r>
              <w:rPr>
                <w:rFonts w:hint="eastAsia" w:ascii="宋体" w:hAnsi="宋体" w:eastAsia="方正仿宋_GBK" w:cs="方正仿宋_GBK"/>
                <w:color w:val="000000"/>
                <w:kern w:val="0"/>
                <w:sz w:val="22"/>
                <w:szCs w:val="22"/>
                <w:lang w:val="en-US" w:eastAsia="zh-CN"/>
              </w:rPr>
              <w:t>35</w:t>
            </w:r>
            <w:r>
              <w:rPr>
                <w:rFonts w:hint="eastAsia" w:ascii="方正仿宋_GBK" w:hAnsi="方正仿宋_GBK" w:eastAsia="方正仿宋_GBK" w:cs="方正仿宋_GBK"/>
                <w:color w:val="000000"/>
                <w:kern w:val="0"/>
                <w:sz w:val="22"/>
                <w:szCs w:val="22"/>
                <w:lang w:val="en-US" w:eastAsia="zh-CN"/>
              </w:rPr>
              <w:t>万元</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rPr>
            </w:pPr>
            <w:r>
              <w:rPr>
                <w:rFonts w:hint="eastAsia" w:ascii="方正仿宋_GBK" w:hAnsi="方正仿宋_GBK" w:eastAsia="方正仿宋_GBK" w:cs="方正仿宋_GBK"/>
                <w:color w:val="000000"/>
                <w:kern w:val="0"/>
                <w:sz w:val="22"/>
                <w:szCs w:val="22"/>
              </w:rPr>
              <w:t>　</w:t>
            </w:r>
            <w:r>
              <w:rPr>
                <w:rFonts w:hint="eastAsia" w:ascii="方正仿宋_GBK" w:hAnsi="方正仿宋_GBK" w:eastAsia="方正仿宋_GBK" w:cs="方正仿宋_GBK"/>
                <w:color w:val="000000"/>
                <w:kern w:val="0"/>
                <w:sz w:val="22"/>
                <w:szCs w:val="22"/>
                <w:lang w:eastAsia="zh-CN"/>
              </w:rPr>
              <w:t>项目支出成本等于</w:t>
            </w:r>
            <w:r>
              <w:rPr>
                <w:rFonts w:hint="eastAsia" w:ascii="宋体" w:hAnsi="宋体" w:eastAsia="方正仿宋_GBK" w:cs="方正仿宋_GBK"/>
                <w:color w:val="000000"/>
                <w:kern w:val="0"/>
                <w:sz w:val="22"/>
                <w:szCs w:val="22"/>
                <w:lang w:val="en-US" w:eastAsia="zh-CN"/>
              </w:rPr>
              <w:t>0</w:t>
            </w:r>
            <w:r>
              <w:rPr>
                <w:rFonts w:hint="eastAsia" w:ascii="方正仿宋_GBK" w:hAnsi="方正仿宋_GBK" w:eastAsia="方正仿宋_GBK" w:cs="方正仿宋_GBK"/>
                <w:color w:val="000000"/>
                <w:kern w:val="0"/>
                <w:sz w:val="22"/>
                <w:szCs w:val="22"/>
                <w:lang w:val="en-US" w:eastAsia="zh-CN"/>
              </w:rPr>
              <w:t>.</w:t>
            </w:r>
            <w:r>
              <w:rPr>
                <w:rFonts w:hint="eastAsia" w:ascii="宋体" w:hAnsi="宋体" w:eastAsia="方正仿宋_GBK" w:cs="方正仿宋_GBK"/>
                <w:color w:val="000000"/>
                <w:kern w:val="0"/>
                <w:sz w:val="22"/>
                <w:szCs w:val="22"/>
                <w:lang w:val="en-US" w:eastAsia="zh-CN"/>
              </w:rPr>
              <w:t>35</w:t>
            </w:r>
            <w:r>
              <w:rPr>
                <w:rFonts w:hint="eastAsia" w:ascii="方正仿宋_GBK" w:hAnsi="方正仿宋_GBK" w:eastAsia="方正仿宋_GBK" w:cs="方正仿宋_GBK"/>
                <w:color w:val="000000"/>
                <w:kern w:val="0"/>
                <w:sz w:val="22"/>
                <w:szCs w:val="22"/>
                <w:lang w:val="en-US" w:eastAsia="zh-CN"/>
              </w:rPr>
              <w:t>万元</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10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83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社会效益指标</w:t>
            </w: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w:t>
            </w:r>
            <w:r>
              <w:rPr>
                <w:rFonts w:hint="eastAsia" w:ascii="宋体" w:hAnsi="宋体" w:eastAsia="方正仿宋_GBK" w:cs="方正仿宋_GBK"/>
                <w:color w:val="000000"/>
                <w:kern w:val="0"/>
                <w:sz w:val="22"/>
                <w:szCs w:val="22"/>
              </w:rPr>
              <w:t>1</w:t>
            </w:r>
            <w:r>
              <w:rPr>
                <w:rFonts w:hint="eastAsia" w:ascii="方正仿宋_GBK" w:hAnsi="方正仿宋_GBK" w:eastAsia="方正仿宋_GBK" w:cs="方正仿宋_GBK"/>
                <w:color w:val="000000"/>
                <w:kern w:val="0"/>
                <w:sz w:val="22"/>
                <w:szCs w:val="22"/>
              </w:rPr>
              <w:t>:</w:t>
            </w:r>
          </w:p>
        </w:tc>
        <w:tc>
          <w:tcPr>
            <w:tcW w:w="16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rPr>
            </w:pPr>
            <w:r>
              <w:rPr>
                <w:rFonts w:hint="eastAsia" w:ascii="方正仿宋_GBK" w:hAnsi="方正仿宋_GBK" w:eastAsia="方正仿宋_GBK" w:cs="方正仿宋_GBK"/>
                <w:color w:val="000000"/>
                <w:kern w:val="0"/>
                <w:sz w:val="22"/>
                <w:szCs w:val="22"/>
              </w:rPr>
              <w:t>　</w:t>
            </w:r>
            <w:r>
              <w:rPr>
                <w:rFonts w:hint="eastAsia" w:ascii="方正仿宋_GBK" w:hAnsi="方正仿宋_GBK" w:eastAsia="方正仿宋_GBK" w:cs="方正仿宋_GBK"/>
                <w:color w:val="000000"/>
                <w:kern w:val="0"/>
                <w:sz w:val="22"/>
                <w:szCs w:val="22"/>
                <w:lang w:eastAsia="zh-CN"/>
              </w:rPr>
              <w:t>航道通行正常率达</w:t>
            </w:r>
            <w:r>
              <w:rPr>
                <w:rFonts w:hint="eastAsia" w:ascii="宋体" w:hAnsi="宋体" w:eastAsia="方正仿宋_GBK" w:cs="方正仿宋_GBK"/>
                <w:color w:val="000000"/>
                <w:kern w:val="0"/>
                <w:sz w:val="22"/>
                <w:szCs w:val="22"/>
                <w:lang w:val="en-US" w:eastAsia="zh-CN"/>
              </w:rPr>
              <w:t>100</w:t>
            </w:r>
            <w:r>
              <w:rPr>
                <w:rFonts w:hint="eastAsia" w:ascii="方正仿宋_GBK" w:hAnsi="方正仿宋_GBK" w:eastAsia="方正仿宋_GBK" w:cs="方正仿宋_GBK"/>
                <w:color w:val="000000"/>
                <w:kern w:val="0"/>
                <w:sz w:val="22"/>
                <w:szCs w:val="22"/>
                <w:lang w:val="en-US" w:eastAsia="zh-CN"/>
              </w:rPr>
              <w:t>%</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bidi="ar-SA"/>
              </w:rPr>
            </w:pPr>
            <w:r>
              <w:rPr>
                <w:rFonts w:hint="eastAsia" w:ascii="方正仿宋_GBK" w:hAnsi="方正仿宋_GBK" w:eastAsia="方正仿宋_GBK" w:cs="方正仿宋_GBK"/>
                <w:color w:val="000000"/>
                <w:kern w:val="0"/>
                <w:sz w:val="22"/>
                <w:szCs w:val="22"/>
              </w:rPr>
              <w:t>　</w:t>
            </w:r>
            <w:r>
              <w:rPr>
                <w:rFonts w:hint="eastAsia" w:ascii="方正仿宋_GBK" w:hAnsi="方正仿宋_GBK" w:eastAsia="方正仿宋_GBK" w:cs="方正仿宋_GBK"/>
                <w:color w:val="000000"/>
                <w:kern w:val="0"/>
                <w:sz w:val="22"/>
                <w:szCs w:val="22"/>
                <w:lang w:eastAsia="zh-CN"/>
              </w:rPr>
              <w:t>航道通行正常率达</w:t>
            </w:r>
            <w:r>
              <w:rPr>
                <w:rFonts w:hint="eastAsia" w:ascii="宋体" w:hAnsi="宋体" w:eastAsia="方正仿宋_GBK" w:cs="方正仿宋_GBK"/>
                <w:color w:val="000000"/>
                <w:kern w:val="0"/>
                <w:sz w:val="22"/>
                <w:szCs w:val="22"/>
                <w:lang w:val="en-US" w:eastAsia="zh-CN"/>
              </w:rPr>
              <w:t>100</w:t>
            </w:r>
            <w:r>
              <w:rPr>
                <w:rFonts w:hint="eastAsia" w:ascii="方正仿宋_GBK" w:hAnsi="方正仿宋_GBK" w:eastAsia="方正仿宋_GBK" w:cs="方正仿宋_GBK"/>
                <w:color w:val="000000"/>
                <w:kern w:val="0"/>
                <w:sz w:val="22"/>
                <w:szCs w:val="22"/>
                <w:lang w:val="en-US" w:eastAsia="zh-CN"/>
              </w:rPr>
              <w:t>%</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10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w:t>
            </w:r>
            <w:r>
              <w:rPr>
                <w:rFonts w:hint="eastAsia" w:ascii="宋体" w:hAnsi="宋体" w:eastAsia="方正仿宋_GBK" w:cs="方正仿宋_GBK"/>
                <w:color w:val="000000"/>
                <w:kern w:val="0"/>
                <w:sz w:val="22"/>
                <w:szCs w:val="22"/>
              </w:rPr>
              <w:t>2</w:t>
            </w:r>
            <w:r>
              <w:rPr>
                <w:rFonts w:hint="eastAsia" w:ascii="方正仿宋_GBK" w:hAnsi="方正仿宋_GBK" w:eastAsia="方正仿宋_GBK" w:cs="方正仿宋_GBK"/>
                <w:color w:val="000000"/>
                <w:kern w:val="0"/>
                <w:sz w:val="22"/>
                <w:szCs w:val="22"/>
              </w:rPr>
              <w:t>:</w:t>
            </w:r>
          </w:p>
        </w:tc>
        <w:tc>
          <w:tcPr>
            <w:tcW w:w="16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rPr>
            </w:pPr>
            <w:r>
              <w:rPr>
                <w:rFonts w:hint="eastAsia" w:ascii="方正仿宋_GBK" w:hAnsi="方正仿宋_GBK" w:eastAsia="方正仿宋_GBK" w:cs="方正仿宋_GBK"/>
                <w:color w:val="000000"/>
                <w:kern w:val="0"/>
                <w:sz w:val="22"/>
                <w:szCs w:val="22"/>
              </w:rPr>
              <w:t>　</w:t>
            </w:r>
            <w:r>
              <w:rPr>
                <w:rFonts w:hint="eastAsia" w:ascii="方正仿宋_GBK" w:hAnsi="方正仿宋_GBK" w:eastAsia="方正仿宋_GBK" w:cs="方正仿宋_GBK"/>
                <w:color w:val="000000"/>
                <w:kern w:val="0"/>
                <w:sz w:val="22"/>
                <w:szCs w:val="22"/>
                <w:lang w:eastAsia="zh-CN"/>
              </w:rPr>
              <w:t>渡口、渡船运行正常率达</w:t>
            </w:r>
            <w:r>
              <w:rPr>
                <w:rFonts w:hint="eastAsia" w:ascii="宋体" w:hAnsi="宋体" w:eastAsia="方正仿宋_GBK" w:cs="方正仿宋_GBK"/>
                <w:color w:val="000000"/>
                <w:kern w:val="0"/>
                <w:sz w:val="22"/>
                <w:szCs w:val="22"/>
                <w:lang w:val="en-US" w:eastAsia="zh-CN"/>
              </w:rPr>
              <w:t>100</w:t>
            </w:r>
            <w:r>
              <w:rPr>
                <w:rFonts w:hint="eastAsia" w:ascii="方正仿宋_GBK" w:hAnsi="方正仿宋_GBK" w:eastAsia="方正仿宋_GBK" w:cs="方正仿宋_GBK"/>
                <w:color w:val="000000"/>
                <w:kern w:val="0"/>
                <w:sz w:val="22"/>
                <w:szCs w:val="22"/>
                <w:lang w:val="en-US" w:eastAsia="zh-CN"/>
              </w:rPr>
              <w:t>%</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bidi="ar-SA"/>
              </w:rPr>
            </w:pPr>
            <w:r>
              <w:rPr>
                <w:rFonts w:hint="eastAsia" w:ascii="方正仿宋_GBK" w:hAnsi="方正仿宋_GBK" w:eastAsia="方正仿宋_GBK" w:cs="方正仿宋_GBK"/>
                <w:color w:val="000000"/>
                <w:kern w:val="0"/>
                <w:sz w:val="22"/>
                <w:szCs w:val="22"/>
              </w:rPr>
              <w:t>　</w:t>
            </w:r>
            <w:r>
              <w:rPr>
                <w:rFonts w:hint="eastAsia" w:ascii="方正仿宋_GBK" w:hAnsi="方正仿宋_GBK" w:eastAsia="方正仿宋_GBK" w:cs="方正仿宋_GBK"/>
                <w:color w:val="000000"/>
                <w:kern w:val="0"/>
                <w:sz w:val="22"/>
                <w:szCs w:val="22"/>
                <w:lang w:eastAsia="zh-CN"/>
              </w:rPr>
              <w:t>渡口、渡船运行正常率达</w:t>
            </w:r>
            <w:r>
              <w:rPr>
                <w:rFonts w:hint="eastAsia" w:ascii="宋体" w:hAnsi="宋体" w:eastAsia="方正仿宋_GBK" w:cs="方正仿宋_GBK"/>
                <w:color w:val="000000"/>
                <w:kern w:val="0"/>
                <w:sz w:val="22"/>
                <w:szCs w:val="22"/>
                <w:lang w:val="en-US" w:eastAsia="zh-CN"/>
              </w:rPr>
              <w:t>100</w:t>
            </w:r>
            <w:r>
              <w:rPr>
                <w:rFonts w:hint="eastAsia" w:ascii="方正仿宋_GBK" w:hAnsi="方正仿宋_GBK" w:eastAsia="方正仿宋_GBK" w:cs="方正仿宋_GBK"/>
                <w:color w:val="000000"/>
                <w:kern w:val="0"/>
                <w:sz w:val="22"/>
                <w:szCs w:val="22"/>
                <w:lang w:val="en-US" w:eastAsia="zh-CN"/>
              </w:rPr>
              <w:t>%</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104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8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可持续影响指标</w:t>
            </w: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w:t>
            </w:r>
            <w:r>
              <w:rPr>
                <w:rFonts w:hint="eastAsia" w:ascii="宋体" w:hAnsi="宋体" w:eastAsia="方正仿宋_GBK" w:cs="方正仿宋_GBK"/>
                <w:color w:val="000000"/>
                <w:kern w:val="0"/>
                <w:sz w:val="22"/>
                <w:szCs w:val="22"/>
              </w:rPr>
              <w:t>1</w:t>
            </w:r>
            <w:r>
              <w:rPr>
                <w:rFonts w:hint="eastAsia" w:ascii="方正仿宋_GBK" w:hAnsi="方正仿宋_GBK" w:eastAsia="方正仿宋_GBK" w:cs="方正仿宋_GBK"/>
                <w:color w:val="000000"/>
                <w:kern w:val="0"/>
                <w:sz w:val="22"/>
                <w:szCs w:val="22"/>
              </w:rPr>
              <w:t>:</w:t>
            </w:r>
          </w:p>
        </w:tc>
        <w:tc>
          <w:tcPr>
            <w:tcW w:w="16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lang w:eastAsia="zh-CN"/>
              </w:rPr>
              <w:t>内部运行机制健全性良好</w:t>
            </w:r>
            <w:r>
              <w:rPr>
                <w:rFonts w:hint="eastAsia" w:ascii="方正仿宋_GBK" w:hAnsi="方正仿宋_GBK" w:eastAsia="方正仿宋_GBK" w:cs="方正仿宋_GBK"/>
                <w:color w:val="000000"/>
                <w:kern w:val="0"/>
                <w:sz w:val="22"/>
                <w:szCs w:val="22"/>
              </w:rPr>
              <w:t>　</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r>
              <w:rPr>
                <w:rFonts w:hint="eastAsia" w:ascii="方正仿宋_GBK" w:hAnsi="方正仿宋_GBK" w:eastAsia="方正仿宋_GBK" w:cs="方正仿宋_GBK"/>
                <w:color w:val="000000"/>
                <w:kern w:val="0"/>
                <w:sz w:val="22"/>
                <w:szCs w:val="22"/>
                <w:lang w:eastAsia="zh-CN"/>
              </w:rPr>
              <w:t>内部运行机制健全性良好</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58"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104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满意度</w:t>
            </w:r>
          </w:p>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w:t>
            </w:r>
          </w:p>
        </w:tc>
        <w:tc>
          <w:tcPr>
            <w:tcW w:w="83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both"/>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满意度指标</w:t>
            </w:r>
          </w:p>
        </w:tc>
        <w:tc>
          <w:tcPr>
            <w:tcW w:w="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w:t>
            </w:r>
            <w:r>
              <w:rPr>
                <w:rFonts w:hint="eastAsia" w:ascii="宋体" w:hAnsi="宋体" w:eastAsia="方正仿宋_GBK" w:cs="方正仿宋_GBK"/>
                <w:color w:val="000000"/>
                <w:kern w:val="0"/>
                <w:sz w:val="22"/>
                <w:szCs w:val="22"/>
              </w:rPr>
              <w:t>1</w:t>
            </w:r>
            <w:r>
              <w:rPr>
                <w:rFonts w:hint="eastAsia" w:ascii="方正仿宋_GBK" w:hAnsi="方正仿宋_GBK" w:eastAsia="方正仿宋_GBK" w:cs="方正仿宋_GBK"/>
                <w:color w:val="000000"/>
                <w:kern w:val="0"/>
                <w:sz w:val="22"/>
                <w:szCs w:val="22"/>
              </w:rPr>
              <w:t>:</w:t>
            </w:r>
          </w:p>
        </w:tc>
        <w:tc>
          <w:tcPr>
            <w:tcW w:w="1625"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rPr>
            </w:pPr>
            <w:r>
              <w:rPr>
                <w:rFonts w:hint="eastAsia" w:ascii="方正仿宋_GBK" w:hAnsi="方正仿宋_GBK" w:eastAsia="方正仿宋_GBK" w:cs="方正仿宋_GBK"/>
                <w:color w:val="000000"/>
                <w:kern w:val="0"/>
                <w:sz w:val="22"/>
                <w:szCs w:val="22"/>
                <w:lang w:eastAsia="zh-CN"/>
              </w:rPr>
              <w:t>群众渡运出行满意度达</w:t>
            </w:r>
            <w:r>
              <w:rPr>
                <w:rFonts w:hint="eastAsia" w:ascii="宋体" w:hAnsi="宋体" w:eastAsia="方正仿宋_GBK" w:cs="方正仿宋_GBK"/>
                <w:color w:val="000000"/>
                <w:kern w:val="0"/>
                <w:sz w:val="22"/>
                <w:szCs w:val="22"/>
                <w:lang w:val="en-US" w:eastAsia="zh-CN"/>
              </w:rPr>
              <w:t>80</w:t>
            </w:r>
            <w:r>
              <w:rPr>
                <w:rFonts w:hint="eastAsia" w:ascii="方正仿宋_GBK" w:hAnsi="方正仿宋_GBK" w:eastAsia="方正仿宋_GBK" w:cs="方正仿宋_GBK"/>
                <w:color w:val="000000"/>
                <w:kern w:val="0"/>
                <w:sz w:val="22"/>
                <w:szCs w:val="22"/>
                <w:lang w:val="en-US" w:eastAsia="zh-CN"/>
              </w:rPr>
              <w:t>%以上</w:t>
            </w:r>
          </w:p>
        </w:tc>
        <w:tc>
          <w:tcPr>
            <w:tcW w:w="17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bidi="ar-SA"/>
              </w:rPr>
            </w:pPr>
            <w:r>
              <w:rPr>
                <w:rFonts w:hint="eastAsia" w:ascii="方正仿宋_GBK" w:hAnsi="方正仿宋_GBK" w:eastAsia="方正仿宋_GBK" w:cs="方正仿宋_GBK"/>
                <w:color w:val="000000"/>
                <w:kern w:val="0"/>
                <w:sz w:val="22"/>
                <w:szCs w:val="22"/>
              </w:rPr>
              <w:t>　</w:t>
            </w:r>
            <w:r>
              <w:rPr>
                <w:rFonts w:hint="eastAsia" w:ascii="方正仿宋_GBK" w:hAnsi="方正仿宋_GBK" w:eastAsia="方正仿宋_GBK" w:cs="方正仿宋_GBK"/>
                <w:color w:val="000000"/>
                <w:kern w:val="0"/>
                <w:sz w:val="22"/>
                <w:szCs w:val="22"/>
                <w:lang w:eastAsia="zh-CN"/>
              </w:rPr>
              <w:t>群众渡运出行满意度达</w:t>
            </w:r>
            <w:r>
              <w:rPr>
                <w:rFonts w:hint="eastAsia" w:ascii="宋体" w:hAnsi="宋体" w:eastAsia="方正仿宋_GBK" w:cs="方正仿宋_GBK"/>
                <w:color w:val="000000"/>
                <w:kern w:val="0"/>
                <w:sz w:val="22"/>
                <w:szCs w:val="22"/>
                <w:lang w:val="en-US" w:eastAsia="zh-CN"/>
              </w:rPr>
              <w:t>85</w:t>
            </w:r>
            <w:r>
              <w:rPr>
                <w:rFonts w:hint="eastAsia" w:ascii="方正仿宋_GBK" w:hAnsi="方正仿宋_GBK" w:eastAsia="方正仿宋_GBK" w:cs="方正仿宋_GBK"/>
                <w:color w:val="000000"/>
                <w:kern w:val="0"/>
                <w:sz w:val="22"/>
                <w:szCs w:val="22"/>
                <w:lang w:val="en-US" w:eastAsia="zh-CN"/>
              </w:rPr>
              <w:t>%</w:t>
            </w:r>
          </w:p>
        </w:tc>
        <w:tc>
          <w:tcPr>
            <w:tcW w:w="2150" w:type="dxa"/>
            <w:tcBorders>
              <w:top w:val="single" w:color="auto" w:sz="4" w:space="0"/>
              <w:left w:val="single" w:color="auto" w:sz="4" w:space="0"/>
              <w:bottom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58" w:type="dxa"/>
            <w:vMerge w:val="continue"/>
            <w:tcBorders>
              <w:top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1048" w:type="dxa"/>
            <w:vMerge w:val="continue"/>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830" w:type="dxa"/>
            <w:vMerge w:val="continue"/>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p>
        </w:tc>
        <w:tc>
          <w:tcPr>
            <w:tcW w:w="776" w:type="dxa"/>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firstLine="0" w:firstLineChars="0"/>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指标</w:t>
            </w:r>
            <w:r>
              <w:rPr>
                <w:rFonts w:hint="eastAsia" w:ascii="宋体" w:hAnsi="宋体" w:eastAsia="方正仿宋_GBK" w:cs="方正仿宋_GBK"/>
                <w:color w:val="000000"/>
                <w:kern w:val="0"/>
                <w:sz w:val="22"/>
                <w:szCs w:val="22"/>
              </w:rPr>
              <w:t>2</w:t>
            </w:r>
            <w:r>
              <w:rPr>
                <w:rFonts w:hint="eastAsia" w:ascii="方正仿宋_GBK" w:hAnsi="方正仿宋_GBK" w:eastAsia="方正仿宋_GBK" w:cs="方正仿宋_GBK"/>
                <w:color w:val="000000"/>
                <w:kern w:val="0"/>
                <w:sz w:val="22"/>
                <w:szCs w:val="22"/>
              </w:rPr>
              <w:t>:</w:t>
            </w:r>
          </w:p>
        </w:tc>
        <w:tc>
          <w:tcPr>
            <w:tcW w:w="1625" w:type="dxa"/>
            <w:gridSpan w:val="2"/>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rPr>
            </w:pPr>
            <w:r>
              <w:rPr>
                <w:rFonts w:hint="eastAsia" w:ascii="方正仿宋_GBK" w:hAnsi="方正仿宋_GBK" w:eastAsia="方正仿宋_GBK" w:cs="方正仿宋_GBK"/>
                <w:color w:val="000000"/>
                <w:kern w:val="0"/>
                <w:sz w:val="22"/>
                <w:szCs w:val="22"/>
                <w:lang w:eastAsia="zh-CN"/>
              </w:rPr>
              <w:t>渡口、渡船从业人员满意度达</w:t>
            </w:r>
            <w:r>
              <w:rPr>
                <w:rFonts w:hint="eastAsia" w:ascii="宋体" w:hAnsi="宋体" w:eastAsia="方正仿宋_GBK" w:cs="方正仿宋_GBK"/>
                <w:color w:val="000000"/>
                <w:kern w:val="0"/>
                <w:sz w:val="22"/>
                <w:szCs w:val="22"/>
                <w:lang w:val="en-US" w:eastAsia="zh-CN"/>
              </w:rPr>
              <w:t>80</w:t>
            </w:r>
            <w:r>
              <w:rPr>
                <w:rFonts w:hint="eastAsia" w:ascii="方正仿宋_GBK" w:hAnsi="方正仿宋_GBK" w:eastAsia="方正仿宋_GBK" w:cs="方正仿宋_GBK"/>
                <w:color w:val="000000"/>
                <w:kern w:val="0"/>
                <w:sz w:val="22"/>
                <w:szCs w:val="22"/>
                <w:lang w:val="en-US" w:eastAsia="zh-CN"/>
              </w:rPr>
              <w:t>%以上</w:t>
            </w:r>
          </w:p>
        </w:tc>
        <w:tc>
          <w:tcPr>
            <w:tcW w:w="1750" w:type="dxa"/>
            <w:tcBorders>
              <w:top w:val="single" w:color="auto" w:sz="4" w:space="0"/>
              <w:left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lang w:val="en-US" w:eastAsia="zh-CN" w:bidi="ar-SA"/>
              </w:rPr>
            </w:pPr>
            <w:r>
              <w:rPr>
                <w:rFonts w:hint="eastAsia" w:ascii="方正仿宋_GBK" w:hAnsi="方正仿宋_GBK" w:eastAsia="方正仿宋_GBK" w:cs="方正仿宋_GBK"/>
                <w:color w:val="000000"/>
                <w:kern w:val="0"/>
                <w:sz w:val="22"/>
                <w:szCs w:val="22"/>
                <w:lang w:eastAsia="zh-CN"/>
              </w:rPr>
              <w:t>渡口、渡船从业人员满意度达</w:t>
            </w:r>
            <w:r>
              <w:rPr>
                <w:rFonts w:hint="eastAsia" w:ascii="宋体" w:hAnsi="宋体" w:eastAsia="方正仿宋_GBK" w:cs="方正仿宋_GBK"/>
                <w:color w:val="000000"/>
                <w:kern w:val="0"/>
                <w:sz w:val="22"/>
                <w:szCs w:val="22"/>
                <w:lang w:val="en-US" w:eastAsia="zh-CN"/>
              </w:rPr>
              <w:t>82</w:t>
            </w:r>
            <w:r>
              <w:rPr>
                <w:rFonts w:hint="eastAsia" w:ascii="方正仿宋_GBK" w:hAnsi="方正仿宋_GBK" w:eastAsia="方正仿宋_GBK" w:cs="方正仿宋_GBK"/>
                <w:color w:val="000000"/>
                <w:kern w:val="0"/>
                <w:sz w:val="22"/>
                <w:szCs w:val="22"/>
                <w:lang w:val="en-US" w:eastAsia="zh-CN"/>
              </w:rPr>
              <w:t>%</w:t>
            </w:r>
          </w:p>
        </w:tc>
        <w:tc>
          <w:tcPr>
            <w:tcW w:w="2150" w:type="dxa"/>
            <w:tcBorders>
              <w:top w:val="single" w:color="auto" w:sz="4" w:space="0"/>
              <w:lef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rPr>
              <w:t>　</w:t>
            </w:r>
          </w:p>
        </w:tc>
      </w:tr>
    </w:tbl>
    <w:p>
      <w:pPr>
        <w:spacing w:line="600" w:lineRule="exact"/>
        <w:rPr>
          <w:rFonts w:eastAsia="方正仿宋简体"/>
          <w:sz w:val="33"/>
          <w:szCs w:val="33"/>
        </w:rPr>
      </w:pPr>
    </w:p>
    <w:p>
      <w:pPr>
        <w:pStyle w:val="2"/>
      </w:pPr>
    </w:p>
    <w:p>
      <w:pPr>
        <w:spacing w:line="500" w:lineRule="exact"/>
        <w:ind w:left="0" w:leftChars="0" w:firstLine="0" w:firstLineChars="0"/>
        <w:jc w:val="center"/>
        <w:rPr>
          <w:rFonts w:hint="eastAsia" w:ascii="方正小标宋_GBK" w:hAnsi="方正小标宋_GBK" w:eastAsia="方正小标宋_GBK" w:cs="方正小标宋_GBK"/>
          <w:b w:val="0"/>
          <w:bCs/>
          <w:w w:val="90"/>
          <w:sz w:val="36"/>
          <w:szCs w:val="36"/>
        </w:rPr>
      </w:pPr>
      <w:r>
        <w:rPr>
          <w:rFonts w:hint="eastAsia" w:ascii="方正小标宋_GBK" w:hAnsi="方正小标宋_GBK" w:eastAsia="方正小标宋_GBK" w:cs="方正小标宋_GBK"/>
          <w:b w:val="0"/>
          <w:bCs/>
          <w:w w:val="90"/>
          <w:sz w:val="36"/>
          <w:szCs w:val="36"/>
        </w:rPr>
        <w:t>雁江区部门（单位）预算绩效管理工作考核评分表</w:t>
      </w:r>
    </w:p>
    <w:p>
      <w:pPr>
        <w:spacing w:line="500" w:lineRule="exact"/>
        <w:jc w:val="center"/>
        <w:rPr>
          <w:rFonts w:eastAsia="方正仿宋简体" w:cs="方正仿宋简体"/>
          <w:sz w:val="33"/>
          <w:szCs w:val="33"/>
        </w:rPr>
      </w:pPr>
      <w:r>
        <w:rPr>
          <w:rFonts w:hint="eastAsia" w:eastAsia="方正仿宋简体" w:cs="方正仿宋简体"/>
          <w:sz w:val="33"/>
          <w:szCs w:val="33"/>
        </w:rPr>
        <w:t xml:space="preserve">（ </w:t>
      </w:r>
      <w:r>
        <w:rPr>
          <w:rFonts w:hint="eastAsia" w:ascii="宋体" w:hAnsi="宋体" w:eastAsia="方正仿宋简体" w:cs="方正仿宋简体"/>
          <w:sz w:val="33"/>
          <w:szCs w:val="33"/>
          <w:lang w:val="en-US"/>
        </w:rPr>
        <w:t>2022</w:t>
      </w:r>
      <w:r>
        <w:rPr>
          <w:rFonts w:hint="eastAsia" w:eastAsia="方正仿宋简体" w:cs="方正仿宋简体"/>
          <w:sz w:val="33"/>
          <w:szCs w:val="33"/>
        </w:rPr>
        <w:t xml:space="preserve"> 年度）</w:t>
      </w:r>
    </w:p>
    <w:p>
      <w:pPr>
        <w:spacing w:line="500" w:lineRule="exact"/>
        <w:jc w:val="left"/>
        <w:rPr>
          <w:rFonts w:hint="eastAsia" w:eastAsia="方正仿宋简体" w:cs="方正仿宋简体"/>
          <w:sz w:val="33"/>
          <w:szCs w:val="33"/>
        </w:rPr>
      </w:pPr>
      <w:r>
        <w:rPr>
          <w:rFonts w:hint="eastAsia" w:eastAsia="方正仿宋简体" w:cs="方正仿宋简体"/>
          <w:sz w:val="33"/>
          <w:szCs w:val="33"/>
        </w:rPr>
        <w:t>预算部门（单位）：资阳市雁江区</w:t>
      </w:r>
      <w:r>
        <w:rPr>
          <w:rFonts w:hint="eastAsia" w:eastAsia="方正仿宋简体" w:cs="方正仿宋简体"/>
          <w:sz w:val="33"/>
          <w:szCs w:val="33"/>
          <w:lang w:eastAsia="zh-CN"/>
        </w:rPr>
        <w:t>渡口管理所</w:t>
      </w:r>
      <w:r>
        <w:rPr>
          <w:rFonts w:hint="eastAsia" w:eastAsia="方正仿宋简体" w:cs="方正仿宋简体"/>
          <w:sz w:val="33"/>
          <w:szCs w:val="33"/>
        </w:rPr>
        <w:t xml:space="preserve">   </w:t>
      </w:r>
    </w:p>
    <w:p>
      <w:pPr>
        <w:spacing w:line="500" w:lineRule="exact"/>
        <w:jc w:val="left"/>
        <w:rPr>
          <w:rFonts w:eastAsia="方正仿宋简体" w:cs="方正仿宋简体"/>
          <w:sz w:val="33"/>
          <w:szCs w:val="33"/>
        </w:rPr>
      </w:pPr>
      <w:r>
        <w:rPr>
          <w:rFonts w:hint="eastAsia" w:eastAsia="方正仿宋简体" w:cs="方正仿宋简体"/>
          <w:sz w:val="33"/>
          <w:szCs w:val="33"/>
        </w:rPr>
        <w:t>填报时间：</w:t>
      </w:r>
      <w:r>
        <w:rPr>
          <w:rFonts w:hint="eastAsia" w:ascii="宋体" w:hAnsi="宋体" w:eastAsia="方正仿宋简体" w:cs="方正仿宋简体"/>
          <w:sz w:val="33"/>
          <w:szCs w:val="33"/>
          <w:lang w:val="en-US"/>
        </w:rPr>
        <w:t>2023</w:t>
      </w:r>
      <w:r>
        <w:rPr>
          <w:rFonts w:hint="eastAsia" w:eastAsia="方正仿宋简体" w:cs="方正仿宋简体"/>
          <w:sz w:val="33"/>
          <w:szCs w:val="33"/>
        </w:rPr>
        <w:t xml:space="preserve">年 </w:t>
      </w:r>
      <w:r>
        <w:rPr>
          <w:rFonts w:hint="eastAsia" w:ascii="宋体" w:hAnsi="宋体" w:eastAsia="方正仿宋简体" w:cs="方正仿宋简体"/>
          <w:sz w:val="33"/>
          <w:szCs w:val="33"/>
          <w:lang w:val="en-US"/>
        </w:rPr>
        <w:t>5</w:t>
      </w:r>
      <w:r>
        <w:rPr>
          <w:rFonts w:hint="eastAsia" w:eastAsia="方正仿宋简体" w:cs="方正仿宋简体"/>
          <w:sz w:val="33"/>
          <w:szCs w:val="33"/>
        </w:rPr>
        <w:t xml:space="preserve">  月  </w:t>
      </w:r>
      <w:r>
        <w:rPr>
          <w:rFonts w:hint="eastAsia" w:ascii="宋体" w:hAnsi="宋体" w:eastAsia="方正仿宋简体" w:cs="方正仿宋简体"/>
          <w:sz w:val="33"/>
          <w:szCs w:val="33"/>
          <w:lang w:val="en-US"/>
        </w:rPr>
        <w:t>30</w:t>
      </w:r>
      <w:r>
        <w:rPr>
          <w:rFonts w:hint="eastAsia" w:eastAsia="方正仿宋简体" w:cs="方正仿宋简体"/>
          <w:sz w:val="33"/>
          <w:szCs w:val="33"/>
        </w:rPr>
        <w:t xml:space="preserve">  日</w:t>
      </w:r>
    </w:p>
    <w:p>
      <w:pPr>
        <w:spacing w:line="500" w:lineRule="exact"/>
        <w:jc w:val="left"/>
        <w:rPr>
          <w:rFonts w:hint="default" w:eastAsia="方正仿宋简体"/>
          <w:sz w:val="32"/>
          <w:szCs w:val="32"/>
          <w:lang w:val="en-US" w:eastAsia="zh-CN"/>
        </w:rPr>
      </w:pPr>
      <w:r>
        <w:rPr>
          <w:rFonts w:hint="eastAsia" w:eastAsia="方正仿宋简体" w:cs="方正仿宋简体"/>
          <w:sz w:val="33"/>
          <w:szCs w:val="33"/>
        </w:rPr>
        <w:t>填报人：</w:t>
      </w:r>
      <w:r>
        <w:rPr>
          <w:rFonts w:hint="eastAsia" w:eastAsia="方正仿宋简体" w:cs="方正仿宋简体"/>
          <w:sz w:val="33"/>
          <w:szCs w:val="33"/>
          <w:lang w:eastAsia="zh-CN"/>
        </w:rPr>
        <w:t>查治明</w:t>
      </w:r>
      <w:r>
        <w:rPr>
          <w:rFonts w:hint="eastAsia" w:eastAsia="方正仿宋简体" w:cs="方正仿宋简体"/>
          <w:sz w:val="33"/>
          <w:szCs w:val="33"/>
        </w:rPr>
        <w:t xml:space="preserve">    职务： </w:t>
      </w:r>
      <w:r>
        <w:rPr>
          <w:color w:val="000000"/>
        </w:rPr>
        <w:t xml:space="preserve">  </w:t>
      </w:r>
      <w:r>
        <w:rPr>
          <w:rFonts w:hint="eastAsia"/>
          <w:color w:val="000000"/>
          <w:lang w:val="en-US" w:eastAsia="zh-CN"/>
        </w:rPr>
        <w:t xml:space="preserve"> </w:t>
      </w:r>
      <w:r>
        <w:rPr>
          <w:rFonts w:hint="eastAsia" w:eastAsia="方正仿宋简体" w:cs="方正仿宋简体"/>
          <w:sz w:val="33"/>
          <w:szCs w:val="33"/>
        </w:rPr>
        <w:t>联系电话：</w:t>
      </w:r>
      <w:r>
        <w:rPr>
          <w:rFonts w:hint="eastAsia" w:ascii="宋体" w:hAnsi="宋体" w:eastAsia="方正仿宋简体" w:cs="方正仿宋简体"/>
          <w:sz w:val="33"/>
          <w:szCs w:val="33"/>
          <w:lang w:val="en-US" w:eastAsia="zh-CN"/>
        </w:rPr>
        <w:t>13086579078</w:t>
      </w:r>
    </w:p>
    <w:tbl>
      <w:tblPr>
        <w:tblStyle w:val="12"/>
        <w:tblW w:w="51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540"/>
        <w:gridCol w:w="4823"/>
        <w:gridCol w:w="595"/>
        <w:gridCol w:w="674"/>
        <w:gridCol w:w="429"/>
        <w:gridCol w:w="669"/>
        <w:gridCol w:w="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b/>
                <w:bCs/>
                <w:color w:val="000000"/>
                <w:sz w:val="21"/>
                <w:szCs w:val="21"/>
              </w:rPr>
            </w:pPr>
            <w:r>
              <w:rPr>
                <w:rFonts w:hint="eastAsia" w:ascii="宋体" w:hAnsi="宋体" w:eastAsia="宋体" w:cs="宋体"/>
                <w:b/>
                <w:bCs/>
                <w:color w:val="000000"/>
                <w:sz w:val="21"/>
                <w:szCs w:val="21"/>
              </w:rPr>
              <w:t>考核内容</w:t>
            </w:r>
          </w:p>
        </w:tc>
        <w:tc>
          <w:tcPr>
            <w:tcW w:w="306" w:type="pc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分值</w:t>
            </w:r>
          </w:p>
        </w:tc>
        <w:tc>
          <w:tcPr>
            <w:tcW w:w="2736" w:type="pct"/>
            <w:tcBorders>
              <w:top w:val="single" w:color="auto" w:sz="4" w:space="0"/>
              <w:left w:val="single" w:color="auto" w:sz="4" w:space="0"/>
              <w:bottom w:val="single" w:color="auto" w:sz="4" w:space="0"/>
              <w:right w:val="single" w:color="auto" w:sz="4" w:space="0"/>
            </w:tcBorders>
            <w:noWrap/>
            <w:vAlign w:val="center"/>
          </w:tcPr>
          <w:p>
            <w:pPr>
              <w:jc w:val="both"/>
              <w:rPr>
                <w:rFonts w:hint="eastAsia" w:ascii="宋体" w:hAnsi="宋体" w:eastAsia="宋体" w:cs="宋体"/>
                <w:b/>
                <w:bCs/>
                <w:color w:val="000000"/>
                <w:sz w:val="21"/>
                <w:szCs w:val="21"/>
              </w:rPr>
            </w:pPr>
            <w:r>
              <w:rPr>
                <w:rFonts w:hint="eastAsia" w:ascii="宋体" w:hAnsi="宋体" w:eastAsia="宋体" w:cs="宋体"/>
                <w:b/>
                <w:bCs/>
                <w:color w:val="000000"/>
                <w:sz w:val="21"/>
                <w:szCs w:val="21"/>
              </w:rPr>
              <w:t>计分标准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自评分数</w:t>
            </w:r>
          </w:p>
        </w:tc>
        <w:tc>
          <w:tcPr>
            <w:tcW w:w="382" w:type="pct"/>
            <w:tcBorders>
              <w:top w:val="single" w:color="auto" w:sz="4" w:space="0"/>
              <w:left w:val="single" w:color="auto" w:sz="4" w:space="0"/>
              <w:bottom w:val="single" w:color="auto" w:sz="4" w:space="0"/>
              <w:right w:val="single" w:color="auto" w:sz="4" w:space="0"/>
            </w:tcBorders>
            <w:noWrap/>
            <w:vAlign w:val="center"/>
          </w:tcPr>
          <w:p>
            <w:pPr>
              <w:jc w:val="both"/>
              <w:rPr>
                <w:rFonts w:hint="eastAsia" w:ascii="宋体" w:hAnsi="宋体" w:eastAsia="宋体" w:cs="宋体"/>
                <w:b/>
                <w:bCs/>
                <w:color w:val="000000"/>
                <w:sz w:val="21"/>
                <w:szCs w:val="21"/>
              </w:rPr>
            </w:pPr>
            <w:r>
              <w:rPr>
                <w:rFonts w:hint="eastAsia" w:ascii="宋体" w:hAnsi="宋体" w:eastAsia="宋体" w:cs="宋体"/>
                <w:b/>
                <w:bCs/>
                <w:color w:val="000000"/>
                <w:sz w:val="21"/>
                <w:szCs w:val="21"/>
              </w:rPr>
              <w:t>评分依据及说明</w:t>
            </w:r>
          </w:p>
        </w:tc>
        <w:tc>
          <w:tcPr>
            <w:tcW w:w="243" w:type="pct"/>
            <w:tcBorders>
              <w:top w:val="single" w:color="auto" w:sz="4" w:space="0"/>
              <w:left w:val="single" w:color="auto" w:sz="4" w:space="0"/>
              <w:bottom w:val="single" w:color="auto" w:sz="4" w:space="0"/>
              <w:right w:val="single" w:color="auto" w:sz="4" w:space="0"/>
            </w:tcBorders>
            <w:noWrap/>
            <w:vAlign w:val="center"/>
          </w:tcPr>
          <w:p>
            <w:pPr>
              <w:jc w:val="both"/>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佐证材料</w:t>
            </w:r>
          </w:p>
        </w:tc>
        <w:tc>
          <w:tcPr>
            <w:tcW w:w="379" w:type="pct"/>
            <w:tcBorders>
              <w:top w:val="single" w:color="auto" w:sz="4" w:space="0"/>
              <w:left w:val="single" w:color="auto" w:sz="4" w:space="0"/>
              <w:bottom w:val="single" w:color="auto" w:sz="4" w:space="0"/>
              <w:right w:val="single" w:color="auto" w:sz="4" w:space="0"/>
            </w:tcBorders>
            <w:noWrap/>
            <w:vAlign w:val="center"/>
          </w:tcPr>
          <w:p>
            <w:pPr>
              <w:jc w:val="both"/>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区财政局评定分数</w:t>
            </w:r>
          </w:p>
        </w:tc>
        <w:tc>
          <w:tcPr>
            <w:tcW w:w="222" w:type="pct"/>
            <w:tcBorders>
              <w:top w:val="single" w:color="auto" w:sz="4" w:space="0"/>
              <w:left w:val="single" w:color="auto" w:sz="4" w:space="0"/>
              <w:bottom w:val="single" w:color="auto" w:sz="4" w:space="0"/>
              <w:right w:val="single" w:color="auto" w:sz="4" w:space="0"/>
            </w:tcBorders>
            <w:noWrap/>
            <w:vAlign w:val="center"/>
          </w:tcPr>
          <w:p>
            <w:pPr>
              <w:jc w:val="both"/>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合      计</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100</w:t>
            </w:r>
          </w:p>
        </w:tc>
        <w:tc>
          <w:tcPr>
            <w:tcW w:w="2736"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宋体" w:hAnsi="宋体" w:eastAsia="宋体" w:cs="宋体"/>
                <w:color w:val="000000"/>
                <w:sz w:val="21"/>
                <w:szCs w:val="21"/>
              </w:rPr>
            </w:pP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80</w:t>
            </w:r>
          </w:p>
        </w:tc>
        <w:tc>
          <w:tcPr>
            <w:tcW w:w="382"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宋体" w:hAnsi="宋体" w:eastAsia="宋体" w:cs="宋体"/>
                <w:color w:val="000000"/>
                <w:sz w:val="21"/>
                <w:szCs w:val="21"/>
              </w:rPr>
            </w:pPr>
          </w:p>
        </w:tc>
        <w:tc>
          <w:tcPr>
            <w:tcW w:w="243"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宋体" w:hAnsi="宋体" w:eastAsia="宋体" w:cs="宋体"/>
                <w:color w:val="000000"/>
                <w:sz w:val="21"/>
                <w:szCs w:val="21"/>
              </w:rPr>
            </w:pPr>
          </w:p>
        </w:tc>
        <w:tc>
          <w:tcPr>
            <w:tcW w:w="37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宋体" w:hAnsi="宋体" w:eastAsia="宋体" w:cs="宋体"/>
                <w:color w:val="000000"/>
                <w:sz w:val="21"/>
                <w:szCs w:val="21"/>
              </w:rPr>
            </w:pPr>
          </w:p>
        </w:tc>
        <w:tc>
          <w:tcPr>
            <w:tcW w:w="222"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一、基础管理</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15</w:t>
            </w:r>
          </w:p>
        </w:tc>
        <w:tc>
          <w:tcPr>
            <w:tcW w:w="2736"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宋体" w:hAnsi="宋体" w:eastAsia="宋体" w:cs="宋体"/>
                <w:color w:val="000000"/>
                <w:sz w:val="21"/>
                <w:szCs w:val="21"/>
              </w:rPr>
            </w:pP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14</w:t>
            </w:r>
          </w:p>
        </w:tc>
        <w:tc>
          <w:tcPr>
            <w:tcW w:w="382"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宋体" w:hAnsi="宋体" w:eastAsia="宋体" w:cs="宋体"/>
                <w:color w:val="000000"/>
                <w:sz w:val="21"/>
                <w:szCs w:val="21"/>
              </w:rPr>
            </w:pPr>
          </w:p>
        </w:tc>
        <w:tc>
          <w:tcPr>
            <w:tcW w:w="243"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宋体" w:hAnsi="宋体" w:eastAsia="宋体" w:cs="宋体"/>
                <w:color w:val="000000"/>
                <w:sz w:val="21"/>
                <w:szCs w:val="21"/>
              </w:rPr>
            </w:pPr>
          </w:p>
        </w:tc>
        <w:tc>
          <w:tcPr>
            <w:tcW w:w="37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宋体" w:hAnsi="宋体" w:eastAsia="宋体" w:cs="宋体"/>
                <w:color w:val="000000"/>
                <w:sz w:val="21"/>
                <w:szCs w:val="21"/>
              </w:rPr>
            </w:pPr>
          </w:p>
        </w:tc>
        <w:tc>
          <w:tcPr>
            <w:tcW w:w="222"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91"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（一）领导重视</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1.部门（单位）主要领导专题研究预算绩效管理工作，听取预算绩效管理工作开展情况汇报，每次1分，最高2分。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22</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sz w:val="21"/>
                <w:szCs w:val="21"/>
              </w:rPr>
            </w:pP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2.成立预算绩效管理工作领导小组并由主要领导担任组长的得2分，否则不得分。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2</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（二）明确职责</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3.明确内部预算绩效管理工作责任部门（单位）并分项落实专人负责的得2分，否则不得分。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2</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391"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（三）制度建设</w:t>
            </w:r>
          </w:p>
        </w:tc>
        <w:tc>
          <w:tcPr>
            <w:tcW w:w="306" w:type="pct"/>
            <w:tcBorders>
              <w:top w:val="single" w:color="auto" w:sz="4" w:space="0"/>
              <w:left w:val="single" w:color="auto" w:sz="4" w:space="0"/>
              <w:bottom w:val="single" w:color="auto" w:sz="4" w:space="0"/>
              <w:right w:val="single" w:color="auto" w:sz="4" w:space="0"/>
            </w:tcBorders>
            <w:noWrap/>
            <w:vAlign w:val="center"/>
          </w:tcPr>
          <w:p>
            <w:pPr>
              <w:ind w:firstLine="105" w:firstLineChars="50"/>
              <w:jc w:val="center"/>
              <w:rPr>
                <w:rFonts w:hint="eastAsia" w:ascii="宋体" w:hAnsi="宋体" w:eastAsia="宋体" w:cs="宋体"/>
                <w:color w:val="000000"/>
                <w:sz w:val="21"/>
                <w:szCs w:val="21"/>
                <w:highlight w:val="yellow"/>
              </w:rPr>
            </w:pPr>
            <w:r>
              <w:rPr>
                <w:rFonts w:hint="eastAsia" w:ascii="宋体" w:hAnsi="宋体" w:eastAsia="宋体" w:cs="宋体"/>
                <w:color w:val="000000"/>
                <w:sz w:val="21"/>
                <w:szCs w:val="21"/>
              </w:rPr>
              <w:t>5</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4.制定本系统预算绩效管理制度的得2分，否则不得分。</w:t>
            </w:r>
          </w:p>
          <w:p>
            <w:pPr>
              <w:rPr>
                <w:rFonts w:hint="eastAsia" w:ascii="宋体" w:hAnsi="宋体" w:eastAsia="宋体" w:cs="宋体"/>
                <w:color w:val="000000"/>
                <w:sz w:val="21"/>
                <w:szCs w:val="21"/>
                <w:highlight w:val="yellow"/>
              </w:rPr>
            </w:pPr>
            <w:r>
              <w:rPr>
                <w:rFonts w:hint="eastAsia" w:ascii="宋体" w:hAnsi="宋体" w:eastAsia="宋体" w:cs="宋体"/>
                <w:color w:val="000000"/>
                <w:sz w:val="21"/>
                <w:szCs w:val="21"/>
              </w:rPr>
              <w:t>涵盖全过程的部门内部操作相关规程、配套措施、范本文本、相关管理办法等的，每项1分，最高3分。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4</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sz w:val="21"/>
                <w:szCs w:val="21"/>
              </w:rPr>
            </w:pP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5.将内部业务股室、下属单位的预算绩效管理工作内容纳入本部门年度工作绩效考核的得2分，否则不得分。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2</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（四）指标体系</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6.结合预算一体化系统，研究建立本行业或本系统普遍适用的综合指标体系，最多2分，明显不合实际的酌情扣分。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2</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二、过程管理</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75</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60</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（一）事前绩效评估管理</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color w:val="000000"/>
                <w:sz w:val="21"/>
                <w:szCs w:val="21"/>
              </w:rPr>
            </w:pPr>
            <w:r>
              <w:rPr>
                <w:rFonts w:hint="eastAsia" w:ascii="宋体" w:hAnsi="宋体" w:eastAsia="宋体" w:cs="宋体"/>
                <w:color w:val="000000"/>
                <w:sz w:val="21"/>
                <w:szCs w:val="21"/>
              </w:rPr>
              <w:t>开展绩效评估</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FF0000"/>
                <w:sz w:val="21"/>
                <w:szCs w:val="21"/>
              </w:rPr>
            </w:pPr>
            <w:r>
              <w:rPr>
                <w:rFonts w:hint="eastAsia" w:ascii="宋体" w:hAnsi="宋体" w:eastAsia="宋体" w:cs="宋体"/>
                <w:color w:val="000000"/>
                <w:sz w:val="21"/>
                <w:szCs w:val="21"/>
              </w:rPr>
              <w:t>7.按规定全面开展政策、项目事前绩效评估的得10分，每少一项扣1分，少于十项的部门按未开展的比例扣分，扣完为止。</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rPr>
              <w:t>10</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（二）绩效目标管理</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17</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color w:val="000000"/>
                <w:sz w:val="21"/>
                <w:szCs w:val="21"/>
              </w:rPr>
            </w:pPr>
            <w:r>
              <w:rPr>
                <w:rFonts w:hint="eastAsia" w:ascii="宋体" w:hAnsi="宋体" w:eastAsia="宋体" w:cs="宋体"/>
                <w:color w:val="000000"/>
                <w:sz w:val="21"/>
                <w:szCs w:val="21"/>
              </w:rPr>
              <w:t>1、申报时间</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8.在规定时间内报送部门整体和项目（政策）绩效目标的得2分，逾期报送一天扣0.5分，扣完为止。</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2</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391" w:type="pct"/>
            <w:vMerge w:val="restar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color w:val="000000"/>
                <w:sz w:val="21"/>
                <w:szCs w:val="21"/>
              </w:rPr>
            </w:pPr>
            <w:r>
              <w:rPr>
                <w:rFonts w:hint="eastAsia" w:ascii="宋体" w:hAnsi="宋体" w:eastAsia="宋体" w:cs="宋体"/>
                <w:color w:val="000000"/>
                <w:sz w:val="21"/>
                <w:szCs w:val="21"/>
              </w:rPr>
              <w:t>2、申报规模</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9.部门（单位）年度申报绩效目标项目资金额占部门（单位）申报项目预算资金额的比例*2分。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1</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sz w:val="21"/>
                <w:szCs w:val="21"/>
              </w:rPr>
            </w:pP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10.部门（单位）年度申报整体绩效目标资金额占部门（单位）申报整体预算资金额的比例*2分。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rPr>
              <w:t>1</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391" w:type="pct"/>
            <w:vMerge w:val="restar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color w:val="000000"/>
                <w:sz w:val="21"/>
                <w:szCs w:val="21"/>
              </w:rPr>
            </w:pPr>
            <w:r>
              <w:rPr>
                <w:rFonts w:hint="eastAsia" w:ascii="宋体" w:hAnsi="宋体" w:eastAsia="宋体" w:cs="宋体"/>
                <w:color w:val="000000"/>
                <w:sz w:val="21"/>
                <w:szCs w:val="21"/>
              </w:rPr>
              <w:t>3、申报质量</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11.申报的部门整体和项目（政策）绩效目标符合规定的格式要求，相关内容完整的得4分；缺失一项内容扣0.5分，扣完为止。</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4</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sz w:val="21"/>
                <w:szCs w:val="21"/>
              </w:rPr>
            </w:pP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12.部门整体和项目（政策）绩效目标的设定符合自身特点的2分；部门整体和项目（政策）绩效目标的描述清楚明确的2分。否则不得分。最高4分。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2</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sz w:val="21"/>
                <w:szCs w:val="21"/>
              </w:rPr>
            </w:pP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13.部门整体和项目（政策）绩效指标细化、量化，能清晰反映绩效实现程度。其中，绩效指标细化到三级或三级以上的，得2.5分；细化到二级的得1.5分。该项得分=（三级或三级以上绩效指标个数*2.5+二级绩效指标个数*1.5）/绩效指标总个数。</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3</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sz w:val="21"/>
                <w:szCs w:val="21"/>
              </w:rPr>
            </w:pP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14.绩效目标设定依据充分、符合相关法律法规、国家相关规定的得4分；否则不得分。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4</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（三）绩效监控管理</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rPr>
              <w:t>8</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1" w:type="pct"/>
            <w:vMerge w:val="restar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color w:val="000000"/>
                <w:sz w:val="21"/>
                <w:szCs w:val="21"/>
              </w:rPr>
            </w:pPr>
            <w:r>
              <w:rPr>
                <w:rFonts w:hint="eastAsia" w:ascii="宋体" w:hAnsi="宋体" w:eastAsia="宋体" w:cs="宋体"/>
                <w:color w:val="000000"/>
                <w:sz w:val="21"/>
                <w:szCs w:val="21"/>
              </w:rPr>
              <w:t>1、实施绩效监控</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15.按财政部门要求，定期采集绩效运行和收支执行的信息进行汇总分析，并及时向财政部门报送合规监控报告，得3分，否则不得分。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2</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sz w:val="21"/>
                <w:szCs w:val="21"/>
              </w:rPr>
            </w:pP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16.绩效监控覆盖面得分=实际绩效监控项目个数/批复绩效目标项目个数*3</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3</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color w:val="000000"/>
                <w:sz w:val="21"/>
                <w:szCs w:val="21"/>
              </w:rPr>
            </w:pPr>
            <w:r>
              <w:rPr>
                <w:rFonts w:hint="eastAsia" w:ascii="宋体" w:hAnsi="宋体" w:eastAsia="宋体" w:cs="宋体"/>
                <w:color w:val="000000"/>
                <w:sz w:val="21"/>
                <w:szCs w:val="21"/>
              </w:rPr>
              <w:t>2、绩效监控质量</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17.对如期实现绩效目标、偏离绩效目标、预期无效项目及时相应提出推进措施、绩效纠偏、预算调整措施和意见的，得4分。否则不得分。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3</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（四）事后绩效评价管理</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21</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17</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391" w:type="pct"/>
            <w:vMerge w:val="restar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color w:val="000000"/>
                <w:sz w:val="21"/>
                <w:szCs w:val="21"/>
              </w:rPr>
            </w:pPr>
            <w:r>
              <w:rPr>
                <w:rFonts w:hint="eastAsia" w:ascii="宋体" w:hAnsi="宋体" w:eastAsia="宋体" w:cs="宋体"/>
                <w:color w:val="000000"/>
                <w:sz w:val="21"/>
                <w:szCs w:val="21"/>
              </w:rPr>
              <w:t>1、自评开展</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18.按时报送覆盖部门全部支出的汇总绩效自评报告（含部门整体支出自评报告、政策支出自评报告、项目支出自评报告）书面和电子文档的得2分。每逾期一天扣0.5分，扣完为止。</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2</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sz w:val="21"/>
                <w:szCs w:val="21"/>
              </w:rPr>
            </w:pP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19.组织开展部门本级和下属二级预算单位全面开展绩效自评并分别形成自评报告的得2分，否则按比例扣减，扣完为止。</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2</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391" w:type="pct"/>
            <w:vMerge w:val="restar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color w:val="000000"/>
                <w:sz w:val="21"/>
                <w:szCs w:val="21"/>
              </w:rPr>
            </w:pPr>
            <w:r>
              <w:rPr>
                <w:rFonts w:hint="eastAsia" w:ascii="宋体" w:hAnsi="宋体" w:eastAsia="宋体" w:cs="宋体"/>
                <w:color w:val="000000"/>
                <w:sz w:val="21"/>
                <w:szCs w:val="21"/>
              </w:rPr>
              <w:t>2、自评质量</w:t>
            </w:r>
          </w:p>
          <w:p>
            <w:pPr>
              <w:jc w:val="center"/>
              <w:rPr>
                <w:rFonts w:hint="eastAsia" w:ascii="宋体" w:hAnsi="宋体" w:eastAsia="宋体" w:cs="宋体"/>
                <w:color w:val="000000"/>
                <w:sz w:val="21"/>
                <w:szCs w:val="21"/>
              </w:rPr>
            </w:pP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20.绩效自评报告格式规范，基本情况、绩效情况、评价结论、问题、建议等各项内容节点清晰的得2分，否则酌情扣分。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2</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rPr>
            </w:pP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sz w:val="21"/>
                <w:szCs w:val="21"/>
              </w:rPr>
            </w:pP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21.具有完整的指标体系，评价指标能结合实际细化、量化，并较好反映实际绩效状况，自评报告中绩效目标与批复的绩效目标一致的得2分，否则酌情扣分。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2</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sz w:val="21"/>
                <w:szCs w:val="21"/>
              </w:rPr>
            </w:pP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22.评价标准描述清晰，分档明确，指标权重分布合理，对反映实际绩效的指标有所侧重的得2分，否则酌情扣分。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2</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sz w:val="21"/>
                <w:szCs w:val="21"/>
              </w:rPr>
            </w:pP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23.绩效归纳合理，陈述明确，总分结合，有理有据，与指标体系特别是反映实际绩效的指标有较好的关联度，能用图表、照片等形式直观反映实施情况和绩效的得2分，否则酌情扣分。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2</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sz w:val="21"/>
                <w:szCs w:val="21"/>
              </w:rPr>
            </w:pP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24.反映的问题具体清楚，依据充分，提出的问题与建议针对性强，表达明确，合理可行的得2分，否则酌情扣分。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rPr>
              <w:t>2</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color w:val="000000"/>
                <w:sz w:val="21"/>
                <w:szCs w:val="21"/>
              </w:rPr>
            </w:pP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25.各项指标评分依据充分，评价结论合理有据、客观公正，与取得绩效、存在问题等内容存在较强一致性的得1分，否则酌情扣分。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1</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color w:val="000000"/>
                <w:sz w:val="21"/>
                <w:szCs w:val="21"/>
              </w:rPr>
            </w:pPr>
            <w:r>
              <w:rPr>
                <w:rFonts w:hint="eastAsia" w:ascii="宋体" w:hAnsi="宋体" w:eastAsia="宋体" w:cs="宋体"/>
                <w:color w:val="000000"/>
                <w:sz w:val="21"/>
                <w:szCs w:val="21"/>
              </w:rPr>
              <w:t>3、自评抽查</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26.对下属单位实施的项目按照每年不少于项目个数的三分之一开展绩效自评抽查的得2分，实际得分按照实际抽查比例计算。</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0</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color w:val="000000"/>
                <w:sz w:val="21"/>
                <w:szCs w:val="21"/>
              </w:rPr>
            </w:pPr>
            <w:r>
              <w:rPr>
                <w:rFonts w:hint="eastAsia" w:ascii="宋体" w:hAnsi="宋体" w:eastAsia="宋体" w:cs="宋体"/>
                <w:color w:val="000000"/>
                <w:sz w:val="21"/>
                <w:szCs w:val="21"/>
              </w:rPr>
              <w:t>4、绩效评价</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27.对下属单位实施的项目按照每年不少于项目个数的五分之一开展绩效评价的得2分，实际得分按照实际评价比例计算。</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0</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color w:val="000000"/>
                <w:sz w:val="21"/>
                <w:szCs w:val="21"/>
              </w:rPr>
            </w:pPr>
            <w:r>
              <w:rPr>
                <w:rFonts w:hint="eastAsia" w:ascii="宋体" w:hAnsi="宋体" w:eastAsia="宋体" w:cs="宋体"/>
                <w:color w:val="000000"/>
                <w:sz w:val="21"/>
                <w:szCs w:val="21"/>
              </w:rPr>
              <w:t>5、配合财政评价</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28.认真做好财政部门组织评价项目的配合工作，及时提供相关资料，协调现场勘查、调查等事宜的得2分，否则相应扣分。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rPr>
              <w:t>2</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（五）绩效结果应用管理</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8</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color w:val="000000"/>
                <w:sz w:val="21"/>
                <w:szCs w:val="21"/>
              </w:rPr>
            </w:pPr>
            <w:r>
              <w:rPr>
                <w:rFonts w:hint="eastAsia" w:ascii="宋体" w:hAnsi="宋体" w:eastAsia="宋体" w:cs="宋体"/>
                <w:color w:val="000000"/>
                <w:sz w:val="21"/>
                <w:szCs w:val="21"/>
              </w:rPr>
              <w:t>1、问题整改</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29.对预算绩效管理各环节反映的问题及时整改落实到位的得3分，整改不到位的酌情扣分，未及时整改的不得分（未报送整改情况报告的视同未整改）</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3</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color w:val="000000"/>
                <w:sz w:val="21"/>
                <w:szCs w:val="21"/>
              </w:rPr>
            </w:pPr>
            <w:r>
              <w:rPr>
                <w:rFonts w:hint="eastAsia" w:ascii="宋体" w:hAnsi="宋体" w:eastAsia="宋体" w:cs="宋体"/>
                <w:color w:val="000000"/>
                <w:sz w:val="21"/>
                <w:szCs w:val="21"/>
              </w:rPr>
              <w:t>2、通报考核</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30.定期对下属二级预算单位预算绩效管理工作实施考核并通报考核结果，将考核结果纳入对下属单位的综合考核体系的，得2分，否则不得分。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0</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color w:val="000000"/>
                <w:sz w:val="21"/>
                <w:szCs w:val="21"/>
              </w:rPr>
            </w:pPr>
            <w:r>
              <w:rPr>
                <w:rFonts w:hint="eastAsia" w:ascii="宋体" w:hAnsi="宋体" w:eastAsia="宋体" w:cs="宋体"/>
                <w:color w:val="000000"/>
                <w:sz w:val="21"/>
                <w:szCs w:val="21"/>
              </w:rPr>
              <w:t>3、公开公示</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31.将绩效目标随同部门预算向社会公开，将部门整体支出、项目支出绩效自评结果随同部门决算向社会公开，将部门重点绩效评价结果向社会公开的得2分，否则不得分。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rPr>
              <w:t>2</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color w:val="000000"/>
                <w:sz w:val="21"/>
                <w:szCs w:val="21"/>
              </w:rPr>
            </w:pPr>
            <w:r>
              <w:rPr>
                <w:rFonts w:hint="eastAsia" w:ascii="宋体" w:hAnsi="宋体" w:eastAsia="宋体" w:cs="宋体"/>
                <w:color w:val="000000"/>
                <w:sz w:val="21"/>
                <w:szCs w:val="21"/>
              </w:rPr>
              <w:t>4、完善改进</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32.将事前绩效评估、事中绩效监控、事后绩效评价结果作为资金分配、政策调整完善、改进内部管理依据的得3分，否则不得分。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3</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color w:val="000000"/>
                <w:sz w:val="21"/>
                <w:szCs w:val="21"/>
              </w:rPr>
            </w:pPr>
            <w:r>
              <w:rPr>
                <w:rFonts w:hint="eastAsia" w:ascii="宋体" w:hAnsi="宋体" w:eastAsia="宋体" w:cs="宋体"/>
                <w:color w:val="000000"/>
                <w:sz w:val="21"/>
                <w:szCs w:val="21"/>
              </w:rPr>
              <w:t>5、监督问责</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33.对资金管理混乱、绩效较差、问题较多的下属二级预算单位开展绩效约谈，对绩效管理发现问题整改不落实、不到位的下属二级预算单位和责任人，严格责任追究，对相关责任单位和人员进行通报批评的得2分。否则不得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0</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三、培训宣传</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10</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（一）宣传报道</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34.利用各种媒体形式，宣传预算绩效管理工作，创造良好社会舆论氛围，区、市、省级媒体发表的每篇分别0.1分、0.2分、0.5分，本项最高2分。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0</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（二）理论研究</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35.撰写预算绩效管理工作理论文章(每篇不少于2000字），发表在内部刊物的，每篇0.2分；发表在公开刊物的，每篇0.5分。本项最高1分。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1</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（三）会议培训</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36.组织本部门预算绩效管理业务学习和培训，每次0.5分。本项最多1分。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1</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（四）信息交流</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37.向财政部门报送本部门预算绩效管理工作动态信息，每季度不少于一条（2分）；财政部门采纳一条以上得2分，否则不得分。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2</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（五）其他</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38.积极参加财政部门组织的预算绩效管理会议、学习的得2分，无故缺席一次扣0.5分，扣完为止。</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2</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ind w:left="0" w:leftChars="0" w:firstLine="0" w:firstLineChars="0"/>
              <w:jc w:val="both"/>
              <w:rPr>
                <w:rFonts w:hint="eastAsia" w:ascii="宋体" w:hAnsi="宋体" w:eastAsia="宋体" w:cs="宋体"/>
                <w:color w:val="000000"/>
                <w:sz w:val="21"/>
                <w:szCs w:val="21"/>
              </w:rPr>
            </w:pPr>
            <w:r>
              <w:rPr>
                <w:rFonts w:hint="eastAsia" w:ascii="宋体" w:hAnsi="宋体" w:eastAsia="宋体" w:cs="宋体"/>
                <w:b/>
                <w:bCs/>
                <w:color w:val="000000"/>
                <w:sz w:val="21"/>
                <w:szCs w:val="21"/>
              </w:rPr>
              <w:t>四、加分项</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（一）第三方参与</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39.将绩效评估项目委托第三方机构实施的每一个得加1分，最高加2分。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0</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（二）创新管理</w:t>
            </w:r>
          </w:p>
        </w:tc>
        <w:tc>
          <w:tcPr>
            <w:tcW w:w="3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2736"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r>
              <w:rPr>
                <w:rFonts w:hint="eastAsia" w:ascii="宋体" w:hAnsi="宋体" w:eastAsia="宋体" w:cs="宋体"/>
                <w:color w:val="000000"/>
                <w:sz w:val="21"/>
                <w:szCs w:val="21"/>
              </w:rPr>
              <w:t>40.在事前评估、过程监控、绩效评价和结果应用等环节有创新举措并取得明显实效的最高加3分。</w:t>
            </w:r>
          </w:p>
        </w:tc>
        <w:tc>
          <w:tcPr>
            <w:tcW w:w="337"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rPr>
              <w:t>0</w:t>
            </w:r>
          </w:p>
        </w:tc>
        <w:tc>
          <w:tcPr>
            <w:tcW w:w="38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tc>
        <w:tc>
          <w:tcPr>
            <w:tcW w:w="243"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tc>
        <w:tc>
          <w:tcPr>
            <w:tcW w:w="379"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tc>
        <w:tc>
          <w:tcPr>
            <w:tcW w:w="222" w:type="pct"/>
            <w:tcBorders>
              <w:top w:val="single" w:color="auto" w:sz="4" w:space="0"/>
              <w:left w:val="single" w:color="auto" w:sz="4" w:space="0"/>
              <w:bottom w:val="single" w:color="auto" w:sz="4" w:space="0"/>
              <w:right w:val="single" w:color="auto" w:sz="4" w:space="0"/>
            </w:tcBorders>
            <w:noWrap/>
            <w:vAlign w:val="bottom"/>
          </w:tcPr>
          <w:p>
            <w:pPr>
              <w:rPr>
                <w:rFonts w:hint="eastAsia" w:ascii="宋体" w:hAnsi="宋体" w:eastAsia="宋体" w:cs="宋体"/>
                <w:color w:val="000000"/>
                <w:sz w:val="21"/>
                <w:szCs w:val="21"/>
              </w:rPr>
            </w:pPr>
          </w:p>
        </w:tc>
      </w:tr>
    </w:tbl>
    <w:p>
      <w:pPr>
        <w:rPr>
          <w:rFonts w:hint="eastAsia" w:ascii="仿宋" w:hAnsi="仿宋" w:eastAsia="仿宋" w:cs="仿宋_GB2312"/>
          <w:sz w:val="32"/>
          <w:szCs w:val="32"/>
        </w:rPr>
      </w:pPr>
    </w:p>
    <w:p>
      <w:pPr>
        <w:pStyle w:val="2"/>
        <w:rPr>
          <w:rFonts w:hint="eastAsia" w:ascii="仿宋" w:hAnsi="仿宋" w:eastAsia="仿宋" w:cs="仿宋_GB2312"/>
          <w:sz w:val="32"/>
          <w:szCs w:val="32"/>
        </w:rPr>
      </w:pPr>
    </w:p>
    <w:p>
      <w:pPr>
        <w:rPr>
          <w:rFonts w:hint="eastAsia" w:ascii="仿宋" w:hAnsi="仿宋" w:eastAsia="仿宋" w:cs="仿宋_GB2312"/>
          <w:sz w:val="32"/>
          <w:szCs w:val="32"/>
        </w:rPr>
      </w:pPr>
    </w:p>
    <w:p>
      <w:pPr>
        <w:pStyle w:val="2"/>
        <w:rPr>
          <w:rFonts w:hint="eastAsia" w:ascii="仿宋" w:hAnsi="仿宋" w:eastAsia="仿宋" w:cs="仿宋_GB2312"/>
          <w:sz w:val="32"/>
          <w:szCs w:val="32"/>
        </w:rPr>
      </w:pPr>
    </w:p>
    <w:p>
      <w:pPr>
        <w:rPr>
          <w:rFonts w:hint="eastAsia" w:ascii="仿宋" w:hAnsi="仿宋" w:eastAsia="仿宋" w:cs="仿宋_GB2312"/>
          <w:sz w:val="32"/>
          <w:szCs w:val="32"/>
        </w:rPr>
      </w:pPr>
    </w:p>
    <w:p>
      <w:pPr>
        <w:pStyle w:val="2"/>
        <w:rPr>
          <w:rFonts w:hint="eastAsia" w:ascii="仿宋" w:hAnsi="仿宋" w:eastAsia="仿宋" w:cs="仿宋_GB2312"/>
          <w:sz w:val="32"/>
          <w:szCs w:val="32"/>
        </w:rPr>
      </w:pPr>
    </w:p>
    <w:p>
      <w:pPr>
        <w:rPr>
          <w:rFonts w:hint="eastAsia"/>
        </w:rPr>
      </w:pPr>
    </w:p>
    <w:p>
      <w:pPr>
        <w:pStyle w:val="3"/>
        <w:bidi w:val="0"/>
        <w:ind w:left="0" w:leftChars="0" w:firstLine="0" w:firstLineChars="0"/>
        <w:jc w:val="left"/>
        <w:rPr>
          <w:rFonts w:hint="eastAsia"/>
        </w:rPr>
      </w:pPr>
      <w:bookmarkStart w:id="109" w:name="_Toc14994"/>
      <w:bookmarkStart w:id="110" w:name="_Toc25710"/>
      <w:bookmarkStart w:id="111" w:name="_Toc12308"/>
    </w:p>
    <w:p>
      <w:pPr>
        <w:pStyle w:val="3"/>
        <w:bidi w:val="0"/>
        <w:ind w:left="0" w:leftChars="0" w:firstLine="0" w:firstLineChars="0"/>
        <w:jc w:val="left"/>
        <w:rPr>
          <w:rFonts w:hint="eastAsia"/>
        </w:rPr>
      </w:pPr>
    </w:p>
    <w:p>
      <w:pPr>
        <w:pStyle w:val="3"/>
        <w:bidi w:val="0"/>
        <w:ind w:left="0" w:leftChars="0" w:firstLine="0" w:firstLineChars="0"/>
        <w:jc w:val="left"/>
        <w:rPr>
          <w:rFonts w:hint="eastAsia"/>
        </w:rPr>
      </w:pPr>
    </w:p>
    <w:p>
      <w:pPr>
        <w:rPr>
          <w:rFonts w:hint="eastAsia"/>
        </w:rPr>
      </w:pPr>
    </w:p>
    <w:p>
      <w:pPr>
        <w:pStyle w:val="3"/>
        <w:bidi w:val="0"/>
        <w:ind w:left="0" w:leftChars="0" w:firstLine="0" w:firstLineChars="0"/>
        <w:jc w:val="left"/>
        <w:rPr>
          <w:rFonts w:hint="eastAsia"/>
        </w:rPr>
      </w:pPr>
    </w:p>
    <w:p>
      <w:pPr>
        <w:pStyle w:val="3"/>
        <w:bidi w:val="0"/>
        <w:ind w:left="0" w:leftChars="0" w:firstLine="0" w:firstLineChars="0"/>
        <w:jc w:val="left"/>
        <w:rPr>
          <w:rStyle w:val="25"/>
          <w:rFonts w:ascii="仿宋" w:hAnsi="仿宋" w:eastAsia="仿宋"/>
          <w:b w:val="0"/>
          <w:bCs w:val="0"/>
          <w:szCs w:val="32"/>
          <w:highlight w:val="yellow"/>
        </w:rPr>
      </w:pPr>
      <w:r>
        <w:rPr>
          <w:rFonts w:hint="eastAsia"/>
        </w:rPr>
        <w:t>附件2</w:t>
      </w:r>
      <w:bookmarkEnd w:id="108"/>
      <w:bookmarkEnd w:id="109"/>
      <w:bookmarkEnd w:id="110"/>
      <w:bookmarkEnd w:id="111"/>
    </w:p>
    <w:p>
      <w:pPr>
        <w:spacing w:line="620" w:lineRule="exact"/>
        <w:jc w:val="center"/>
        <w:rPr>
          <w:rFonts w:hint="eastAsia" w:ascii="宋体" w:hAnsi="宋体" w:eastAsia="方正小标宋简体"/>
          <w:bCs/>
          <w:kern w:val="0"/>
          <w:sz w:val="40"/>
          <w:szCs w:val="40"/>
          <w:lang w:eastAsia="zh-CN"/>
        </w:rPr>
      </w:pPr>
      <w:bookmarkStart w:id="112" w:name="_Toc17103570"/>
      <w:r>
        <w:rPr>
          <w:rFonts w:hint="eastAsia" w:ascii="宋体" w:hAnsi="宋体" w:eastAsia="方正小标宋简体"/>
          <w:bCs/>
          <w:kern w:val="0"/>
          <w:sz w:val="40"/>
          <w:szCs w:val="40"/>
        </w:rPr>
        <w:t>2022年度雁江区</w:t>
      </w:r>
      <w:r>
        <w:rPr>
          <w:rFonts w:hint="eastAsia" w:ascii="宋体" w:hAnsi="宋体" w:eastAsia="方正小标宋简体"/>
          <w:bCs/>
          <w:kern w:val="0"/>
          <w:sz w:val="40"/>
          <w:szCs w:val="40"/>
          <w:lang w:eastAsia="zh-CN"/>
        </w:rPr>
        <w:t>渡口管理所</w:t>
      </w:r>
    </w:p>
    <w:p>
      <w:pPr>
        <w:spacing w:line="620" w:lineRule="exact"/>
        <w:jc w:val="center"/>
        <w:rPr>
          <w:rFonts w:ascii="宋体" w:hAnsi="宋体" w:eastAsia="方正小标宋简体"/>
          <w:bCs/>
          <w:kern w:val="0"/>
          <w:sz w:val="40"/>
          <w:szCs w:val="40"/>
        </w:rPr>
      </w:pPr>
      <w:r>
        <w:rPr>
          <w:rFonts w:hint="eastAsia" w:ascii="宋体" w:hAnsi="宋体" w:eastAsia="方正小标宋简体"/>
          <w:bCs/>
          <w:kern w:val="0"/>
          <w:sz w:val="40"/>
          <w:szCs w:val="40"/>
        </w:rPr>
        <w:t>项目支出绩效自评计分表</w:t>
      </w:r>
    </w:p>
    <w:p>
      <w:pPr>
        <w:spacing w:line="620" w:lineRule="exact"/>
        <w:jc w:val="center"/>
        <w:rPr>
          <w:rFonts w:ascii="宋体" w:hAnsi="宋体" w:eastAsia="楷体_GB2312"/>
          <w:b/>
          <w:bCs/>
          <w:kern w:val="0"/>
          <w:sz w:val="20"/>
          <w:szCs w:val="20"/>
        </w:rPr>
      </w:pPr>
      <w:r>
        <w:rPr>
          <w:rFonts w:hint="eastAsia" w:ascii="宋体" w:hAnsi="宋体" w:eastAsia="楷体_GB2312"/>
          <w:b/>
          <w:bCs/>
          <w:kern w:val="0"/>
          <w:sz w:val="20"/>
          <w:szCs w:val="20"/>
        </w:rPr>
        <w:t>（</w:t>
      </w:r>
      <w:r>
        <w:rPr>
          <w:rFonts w:hint="eastAsia" w:ascii="宋体" w:hAnsi="宋体" w:cs="宋体"/>
          <w:b/>
          <w:bCs/>
          <w:kern w:val="0"/>
          <w:sz w:val="20"/>
          <w:szCs w:val="20"/>
        </w:rPr>
        <w:t>现场监控及百日安全检查</w:t>
      </w:r>
      <w:r>
        <w:rPr>
          <w:rFonts w:hint="eastAsia" w:ascii="宋体" w:hAnsi="宋体" w:eastAsia="楷体_GB2312"/>
          <w:b/>
          <w:bCs/>
          <w:kern w:val="0"/>
          <w:sz w:val="20"/>
          <w:szCs w:val="20"/>
        </w:rPr>
        <w:t>）</w:t>
      </w:r>
    </w:p>
    <w:p>
      <w:pPr>
        <w:spacing w:line="620" w:lineRule="exact"/>
        <w:ind w:left="0" w:leftChars="0" w:firstLine="0" w:firstLineChars="0"/>
        <w:rPr>
          <w:rFonts w:ascii="宋体" w:hAnsi="宋体" w:eastAsia="方正黑体简体"/>
          <w:sz w:val="32"/>
          <w:szCs w:val="32"/>
        </w:rPr>
      </w:pPr>
      <w:r>
        <w:rPr>
          <w:rFonts w:hint="eastAsia" w:ascii="宋体" w:hAnsi="宋体" w:eastAsia="楷体_GB2312"/>
          <w:b/>
          <w:bCs/>
          <w:kern w:val="0"/>
          <w:sz w:val="20"/>
          <w:szCs w:val="20"/>
        </w:rPr>
        <w:t>预算单位名称：</w:t>
      </w:r>
      <w:r>
        <w:rPr>
          <w:rFonts w:hint="eastAsia" w:ascii="宋体" w:hAnsi="宋体" w:eastAsia="楷体_GB2312"/>
          <w:b/>
          <w:bCs/>
          <w:kern w:val="0"/>
          <w:sz w:val="20"/>
          <w:szCs w:val="20"/>
          <w:lang w:eastAsia="zh-CN"/>
        </w:rPr>
        <w:t>资阳市雁江区渡口管理所</w:t>
      </w:r>
      <w:r>
        <w:rPr>
          <w:rFonts w:hint="eastAsia" w:ascii="宋体" w:hAnsi="宋体" w:eastAsia="楷体_GB2312"/>
          <w:b/>
          <w:bCs/>
          <w:kern w:val="0"/>
          <w:sz w:val="20"/>
          <w:szCs w:val="20"/>
        </w:rPr>
        <w:t xml:space="preserve">     预算单位编码：25</w:t>
      </w:r>
      <w:r>
        <w:rPr>
          <w:rFonts w:hint="eastAsia" w:ascii="宋体" w:hAnsi="宋体" w:eastAsia="楷体_GB2312"/>
          <w:b/>
          <w:bCs/>
          <w:kern w:val="0"/>
          <w:sz w:val="20"/>
          <w:szCs w:val="20"/>
          <w:lang w:val="en-US" w:eastAsia="zh-CN"/>
        </w:rPr>
        <w:t>7001</w:t>
      </w:r>
      <w:r>
        <w:rPr>
          <w:rFonts w:hint="eastAsia" w:ascii="宋体" w:hAnsi="宋体" w:eastAsia="楷体_GB2312"/>
          <w:b/>
          <w:bCs/>
          <w:kern w:val="0"/>
          <w:sz w:val="20"/>
          <w:szCs w:val="20"/>
        </w:rPr>
        <w:t xml:space="preserve">       自评等级：</w:t>
      </w:r>
      <w:r>
        <w:rPr>
          <w:rFonts w:hint="eastAsia" w:ascii="宋体" w:hAnsi="宋体" w:cs="宋体"/>
          <w:b/>
          <w:bCs/>
          <w:kern w:val="0"/>
          <w:sz w:val="20"/>
          <w:szCs w:val="20"/>
        </w:rPr>
        <w:t>良</w:t>
      </w:r>
    </w:p>
    <w:tbl>
      <w:tblPr>
        <w:tblStyle w:val="12"/>
        <w:tblW w:w="4990"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616"/>
        <w:gridCol w:w="616"/>
        <w:gridCol w:w="1305"/>
        <w:gridCol w:w="2466"/>
        <w:gridCol w:w="575"/>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blHeader/>
        </w:trPr>
        <w:tc>
          <w:tcPr>
            <w:tcW w:w="289" w:type="pct"/>
            <w:tcBorders>
              <w:top w:val="single" w:color="auto" w:sz="4" w:space="0"/>
              <w:left w:val="single" w:color="auto" w:sz="4" w:space="0"/>
              <w:bottom w:val="single" w:color="auto" w:sz="4" w:space="0"/>
              <w:right w:val="single" w:color="auto" w:sz="4" w:space="0"/>
            </w:tcBorders>
            <w:shd w:val="clear" w:color="auto" w:fill="FFFFFF"/>
            <w:noWrap w:val="0"/>
            <w:textDirection w:val="tbLrV"/>
            <w:vAlign w:val="center"/>
          </w:tcPr>
          <w:p>
            <w:pPr>
              <w:widowControl/>
              <w:ind w:left="113" w:right="113" w:firstLine="1440"/>
              <w:jc w:val="center"/>
              <w:rPr>
                <w:rFonts w:ascii="宋体" w:hAnsi="宋体"/>
                <w:b/>
                <w:bCs/>
                <w:kern w:val="0"/>
                <w:sz w:val="20"/>
                <w:szCs w:val="20"/>
              </w:rPr>
            </w:pPr>
            <w:r>
              <w:rPr>
                <w:rFonts w:hint="eastAsia" w:ascii="宋体" w:hAnsi="宋体"/>
                <w:b/>
                <w:bCs/>
                <w:kern w:val="0"/>
                <w:sz w:val="20"/>
                <w:szCs w:val="20"/>
              </w:rPr>
              <w:t>一级</w:t>
            </w:r>
          </w:p>
          <w:p>
            <w:pPr>
              <w:widowControl/>
              <w:ind w:left="113" w:right="113" w:firstLine="1440"/>
              <w:jc w:val="center"/>
              <w:rPr>
                <w:rFonts w:ascii="宋体" w:hAnsi="宋体"/>
                <w:b/>
                <w:bCs/>
                <w:kern w:val="0"/>
                <w:sz w:val="20"/>
                <w:szCs w:val="20"/>
              </w:rPr>
            </w:pPr>
            <w:r>
              <w:rPr>
                <w:rFonts w:hint="eastAsia" w:ascii="宋体" w:hAnsi="宋体"/>
                <w:b/>
                <w:bCs/>
                <w:kern w:val="0"/>
                <w:sz w:val="20"/>
                <w:szCs w:val="20"/>
              </w:rPr>
              <w:t>指标</w:t>
            </w:r>
          </w:p>
        </w:tc>
        <w:tc>
          <w:tcPr>
            <w:tcW w:w="362" w:type="pct"/>
            <w:tcBorders>
              <w:top w:val="single" w:color="auto" w:sz="4" w:space="0"/>
              <w:left w:val="single" w:color="auto" w:sz="4" w:space="0"/>
              <w:bottom w:val="single" w:color="auto" w:sz="4" w:space="0"/>
              <w:right w:val="single" w:color="auto" w:sz="4" w:space="0"/>
            </w:tcBorders>
            <w:shd w:val="clear" w:color="auto" w:fill="FFFFFF"/>
            <w:noWrap w:val="0"/>
            <w:textDirection w:val="tbLrV"/>
            <w:vAlign w:val="center"/>
          </w:tcPr>
          <w:p>
            <w:pPr>
              <w:widowControl/>
              <w:ind w:left="113" w:right="113" w:firstLine="1440"/>
              <w:jc w:val="center"/>
              <w:rPr>
                <w:rFonts w:ascii="宋体" w:hAnsi="宋体"/>
                <w:b/>
                <w:bCs/>
                <w:kern w:val="0"/>
                <w:sz w:val="20"/>
                <w:szCs w:val="20"/>
              </w:rPr>
            </w:pPr>
            <w:r>
              <w:rPr>
                <w:rFonts w:hint="eastAsia" w:ascii="宋体" w:hAnsi="宋体"/>
                <w:b/>
                <w:bCs/>
                <w:kern w:val="0"/>
                <w:sz w:val="20"/>
                <w:szCs w:val="20"/>
              </w:rPr>
              <w:t>二级</w:t>
            </w:r>
          </w:p>
          <w:p>
            <w:pPr>
              <w:widowControl/>
              <w:ind w:left="113" w:right="113" w:firstLine="1440"/>
              <w:jc w:val="center"/>
              <w:rPr>
                <w:rFonts w:ascii="宋体" w:hAnsi="宋体"/>
                <w:b/>
                <w:bCs/>
                <w:kern w:val="0"/>
                <w:sz w:val="20"/>
                <w:szCs w:val="20"/>
              </w:rPr>
            </w:pPr>
            <w:r>
              <w:rPr>
                <w:rFonts w:hint="eastAsia" w:ascii="宋体" w:hAnsi="宋体"/>
                <w:b/>
                <w:bCs/>
                <w:kern w:val="0"/>
                <w:sz w:val="20"/>
                <w:szCs w:val="20"/>
              </w:rPr>
              <w:t>指标</w:t>
            </w:r>
          </w:p>
        </w:tc>
        <w:tc>
          <w:tcPr>
            <w:tcW w:w="362" w:type="pct"/>
            <w:tcBorders>
              <w:top w:val="single" w:color="auto" w:sz="4" w:space="0"/>
              <w:left w:val="single" w:color="auto" w:sz="4" w:space="0"/>
              <w:bottom w:val="single" w:color="auto" w:sz="4" w:space="0"/>
              <w:right w:val="single" w:color="auto" w:sz="4" w:space="0"/>
            </w:tcBorders>
            <w:shd w:val="clear" w:color="auto" w:fill="FFFFFF"/>
            <w:noWrap w:val="0"/>
            <w:textDirection w:val="tbLrV"/>
            <w:vAlign w:val="center"/>
          </w:tcPr>
          <w:p>
            <w:pPr>
              <w:widowControl/>
              <w:ind w:left="113" w:right="113" w:firstLine="1440"/>
              <w:jc w:val="center"/>
              <w:rPr>
                <w:rFonts w:ascii="宋体" w:hAnsi="宋体"/>
                <w:b/>
                <w:bCs/>
                <w:kern w:val="0"/>
                <w:sz w:val="20"/>
                <w:szCs w:val="20"/>
              </w:rPr>
            </w:pPr>
            <w:r>
              <w:rPr>
                <w:rFonts w:hint="eastAsia" w:ascii="宋体" w:hAnsi="宋体"/>
                <w:b/>
                <w:bCs/>
                <w:kern w:val="0"/>
                <w:sz w:val="20"/>
                <w:szCs w:val="20"/>
              </w:rPr>
              <w:t>三级</w:t>
            </w:r>
          </w:p>
          <w:p>
            <w:pPr>
              <w:widowControl/>
              <w:ind w:left="113" w:right="113" w:firstLine="1440"/>
              <w:jc w:val="center"/>
              <w:rPr>
                <w:rFonts w:ascii="宋体" w:hAnsi="宋体"/>
                <w:b/>
                <w:bCs/>
                <w:kern w:val="0"/>
                <w:sz w:val="20"/>
                <w:szCs w:val="20"/>
              </w:rPr>
            </w:pPr>
            <w:r>
              <w:rPr>
                <w:rFonts w:hint="eastAsia" w:ascii="宋体" w:hAnsi="宋体"/>
                <w:b/>
                <w:bCs/>
                <w:kern w:val="0"/>
                <w:sz w:val="20"/>
                <w:szCs w:val="20"/>
              </w:rPr>
              <w:t>指标</w:t>
            </w:r>
          </w:p>
        </w:tc>
        <w:tc>
          <w:tcPr>
            <w:tcW w:w="76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b/>
                <w:bCs/>
                <w:kern w:val="0"/>
                <w:sz w:val="20"/>
                <w:szCs w:val="20"/>
              </w:rPr>
            </w:pPr>
            <w:r>
              <w:rPr>
                <w:rFonts w:hint="eastAsia" w:ascii="宋体" w:hAnsi="宋体"/>
                <w:b/>
                <w:bCs/>
                <w:kern w:val="0"/>
                <w:sz w:val="20"/>
                <w:szCs w:val="20"/>
              </w:rPr>
              <w:t>指标解释</w:t>
            </w:r>
          </w:p>
        </w:tc>
        <w:tc>
          <w:tcPr>
            <w:tcW w:w="14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b/>
                <w:bCs/>
                <w:kern w:val="0"/>
                <w:sz w:val="20"/>
                <w:szCs w:val="20"/>
              </w:rPr>
            </w:pPr>
            <w:r>
              <w:rPr>
                <w:rFonts w:hint="eastAsia" w:ascii="宋体" w:hAnsi="宋体"/>
                <w:b/>
                <w:bCs/>
                <w:kern w:val="0"/>
                <w:sz w:val="20"/>
                <w:szCs w:val="20"/>
              </w:rPr>
              <w:t>指标说明（评价计分标准）</w:t>
            </w:r>
          </w:p>
        </w:tc>
        <w:tc>
          <w:tcPr>
            <w:tcW w:w="338" w:type="pct"/>
            <w:tcBorders>
              <w:top w:val="single" w:color="auto" w:sz="4" w:space="0"/>
              <w:left w:val="single" w:color="auto" w:sz="4" w:space="0"/>
              <w:bottom w:val="single" w:color="auto" w:sz="4" w:space="0"/>
              <w:right w:val="single" w:color="auto" w:sz="4" w:space="0"/>
            </w:tcBorders>
            <w:shd w:val="clear" w:color="auto" w:fill="FFFFFF"/>
            <w:noWrap w:val="0"/>
            <w:textDirection w:val="tbLrV"/>
            <w:vAlign w:val="center"/>
          </w:tcPr>
          <w:p>
            <w:pPr>
              <w:widowControl/>
              <w:ind w:left="113" w:right="113" w:firstLine="1440"/>
              <w:jc w:val="center"/>
              <w:rPr>
                <w:rFonts w:ascii="宋体" w:hAnsi="宋体"/>
                <w:b/>
                <w:bCs/>
                <w:kern w:val="0"/>
                <w:sz w:val="20"/>
                <w:szCs w:val="20"/>
              </w:rPr>
            </w:pPr>
            <w:r>
              <w:rPr>
                <w:rFonts w:hint="eastAsia" w:ascii="宋体" w:hAnsi="宋体"/>
                <w:b/>
                <w:bCs/>
                <w:kern w:val="0"/>
                <w:sz w:val="20"/>
                <w:szCs w:val="20"/>
              </w:rPr>
              <w:t>自评</w:t>
            </w:r>
          </w:p>
          <w:p>
            <w:pPr>
              <w:widowControl/>
              <w:ind w:left="113" w:right="113" w:firstLine="1440"/>
              <w:jc w:val="center"/>
              <w:rPr>
                <w:rFonts w:ascii="宋体" w:hAnsi="宋体"/>
                <w:b/>
                <w:bCs/>
                <w:kern w:val="0"/>
                <w:sz w:val="20"/>
                <w:szCs w:val="20"/>
              </w:rPr>
            </w:pPr>
            <w:r>
              <w:rPr>
                <w:rFonts w:hint="eastAsia" w:ascii="宋体" w:hAnsi="宋体"/>
                <w:b/>
                <w:bCs/>
                <w:kern w:val="0"/>
                <w:sz w:val="20"/>
                <w:szCs w:val="20"/>
              </w:rPr>
              <w:t>分数</w:t>
            </w:r>
          </w:p>
        </w:tc>
        <w:tc>
          <w:tcPr>
            <w:tcW w:w="143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b/>
                <w:bCs/>
                <w:kern w:val="0"/>
                <w:sz w:val="20"/>
                <w:szCs w:val="20"/>
              </w:rPr>
            </w:pPr>
            <w:r>
              <w:rPr>
                <w:rFonts w:hint="eastAsia" w:ascii="宋体" w:hAnsi="宋体"/>
                <w:b/>
                <w:bCs/>
                <w:kern w:val="0"/>
                <w:sz w:val="20"/>
                <w:szCs w:val="20"/>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289"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p>
            <w:pPr>
              <w:widowControl/>
              <w:jc w:val="center"/>
              <w:rPr>
                <w:rFonts w:ascii="宋体" w:hAnsi="宋体"/>
                <w:kern w:val="0"/>
                <w:sz w:val="20"/>
                <w:szCs w:val="20"/>
              </w:rPr>
            </w:pPr>
            <w:r>
              <w:rPr>
                <w:rFonts w:hint="eastAsia" w:ascii="宋体" w:hAnsi="宋体"/>
                <w:kern w:val="0"/>
                <w:sz w:val="20"/>
                <w:szCs w:val="20"/>
              </w:rPr>
              <w:t>投   入（25分）</w:t>
            </w:r>
          </w:p>
        </w:tc>
        <w:tc>
          <w:tcPr>
            <w:tcW w:w="362"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both"/>
              <w:rPr>
                <w:rFonts w:ascii="宋体" w:hAnsi="宋体"/>
                <w:kern w:val="0"/>
                <w:sz w:val="20"/>
                <w:szCs w:val="20"/>
              </w:rPr>
            </w:pPr>
            <w:r>
              <w:rPr>
                <w:rFonts w:hint="eastAsia" w:ascii="宋体" w:hAnsi="宋体"/>
                <w:kern w:val="0"/>
                <w:sz w:val="20"/>
                <w:szCs w:val="20"/>
              </w:rPr>
              <w:t>项目</w:t>
            </w:r>
          </w:p>
          <w:p>
            <w:pPr>
              <w:widowControl/>
              <w:ind w:left="0" w:leftChars="0" w:firstLine="0" w:firstLineChars="0"/>
              <w:jc w:val="both"/>
              <w:rPr>
                <w:rFonts w:ascii="宋体" w:hAnsi="宋体"/>
                <w:kern w:val="0"/>
                <w:sz w:val="20"/>
                <w:szCs w:val="20"/>
              </w:rPr>
            </w:pPr>
            <w:r>
              <w:rPr>
                <w:rFonts w:hint="eastAsia" w:ascii="宋体" w:hAnsi="宋体"/>
                <w:kern w:val="0"/>
                <w:sz w:val="20"/>
                <w:szCs w:val="20"/>
              </w:rPr>
              <w:t>立项（15分）</w:t>
            </w:r>
          </w:p>
        </w:tc>
        <w:tc>
          <w:tcPr>
            <w:tcW w:w="3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left"/>
              <w:rPr>
                <w:rFonts w:ascii="宋体" w:hAnsi="宋体"/>
                <w:kern w:val="0"/>
                <w:sz w:val="20"/>
                <w:szCs w:val="20"/>
              </w:rPr>
            </w:pPr>
            <w:r>
              <w:rPr>
                <w:rFonts w:hint="eastAsia" w:ascii="宋体" w:hAnsi="宋体"/>
                <w:kern w:val="0"/>
                <w:sz w:val="20"/>
                <w:szCs w:val="20"/>
              </w:rPr>
              <w:t>项目立项规范性（5分）</w:t>
            </w:r>
          </w:p>
        </w:tc>
        <w:tc>
          <w:tcPr>
            <w:tcW w:w="76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项目的申请、设立过程是否符合相关要求，用以反映和考核项目立项的规范情况。</w:t>
            </w:r>
          </w:p>
        </w:tc>
        <w:tc>
          <w:tcPr>
            <w:tcW w:w="14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①项目是否按照规定的程序申请设立；（1分）</w:t>
            </w:r>
          </w:p>
          <w:p>
            <w:pPr>
              <w:widowControl/>
              <w:jc w:val="left"/>
              <w:rPr>
                <w:rFonts w:ascii="宋体" w:hAnsi="宋体"/>
                <w:kern w:val="0"/>
                <w:sz w:val="20"/>
                <w:szCs w:val="20"/>
              </w:rPr>
            </w:pPr>
            <w:r>
              <w:rPr>
                <w:rFonts w:hint="eastAsia" w:ascii="宋体" w:hAnsi="宋体"/>
                <w:kern w:val="0"/>
                <w:sz w:val="20"/>
                <w:szCs w:val="20"/>
              </w:rPr>
              <w:t>②所提交的文件、材料是否符合相关要求；（2分）</w:t>
            </w:r>
          </w:p>
          <w:p>
            <w:pPr>
              <w:widowControl/>
              <w:jc w:val="left"/>
              <w:rPr>
                <w:rFonts w:ascii="宋体" w:hAnsi="宋体"/>
                <w:kern w:val="0"/>
                <w:sz w:val="20"/>
                <w:szCs w:val="20"/>
              </w:rPr>
            </w:pPr>
            <w:r>
              <w:rPr>
                <w:rFonts w:hint="eastAsia" w:ascii="宋体" w:hAnsi="宋体"/>
                <w:kern w:val="0"/>
                <w:sz w:val="20"/>
                <w:szCs w:val="20"/>
              </w:rPr>
              <w:t>③事前是否已经过必要的可行性研究、专家论证、风险评估、集体决策等。（2分）</w:t>
            </w:r>
          </w:p>
        </w:tc>
        <w:tc>
          <w:tcPr>
            <w:tcW w:w="33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4"/>
              </w:rPr>
            </w:pPr>
            <w:r>
              <w:rPr>
                <w:rFonts w:hint="eastAsia" w:ascii="宋体" w:hAnsi="宋体"/>
                <w:kern w:val="0"/>
                <w:sz w:val="24"/>
              </w:rPr>
              <w:t>　5</w:t>
            </w:r>
          </w:p>
        </w:tc>
        <w:tc>
          <w:tcPr>
            <w:tcW w:w="1432"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0"/>
                <w:szCs w:val="20"/>
              </w:rPr>
            </w:pPr>
            <w:r>
              <w:rPr>
                <w:rFonts w:hint="eastAsia" w:ascii="宋体" w:hAnsi="宋体"/>
                <w:kern w:val="0"/>
                <w:sz w:val="20"/>
                <w:szCs w:val="20"/>
              </w:rPr>
              <w:t>2022年预算公开表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28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left"/>
              <w:rPr>
                <w:rFonts w:ascii="宋体" w:hAnsi="宋体"/>
                <w:kern w:val="0"/>
                <w:sz w:val="20"/>
                <w:szCs w:val="20"/>
              </w:rPr>
            </w:pPr>
            <w:r>
              <w:rPr>
                <w:rFonts w:hint="eastAsia" w:ascii="宋体" w:hAnsi="宋体"/>
                <w:kern w:val="0"/>
                <w:sz w:val="20"/>
                <w:szCs w:val="20"/>
              </w:rPr>
              <w:t>绩效目标合理性（4分）</w:t>
            </w:r>
          </w:p>
        </w:tc>
        <w:tc>
          <w:tcPr>
            <w:tcW w:w="76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项目所设定的绩效目标是否依据充分，是否符合客观实际，用以反映和考核项目绩效目标与项目实施的相符情况。</w:t>
            </w:r>
          </w:p>
        </w:tc>
        <w:tc>
          <w:tcPr>
            <w:tcW w:w="14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①是否符合国家相关法律法规、国民经济发展规划和</w:t>
            </w:r>
            <w:r>
              <w:rPr>
                <w:rFonts w:hint="eastAsia" w:ascii="宋体" w:hAnsi="宋体"/>
                <w:kern w:val="0"/>
                <w:sz w:val="20"/>
                <w:szCs w:val="20"/>
                <w:lang w:eastAsia="zh-CN"/>
              </w:rPr>
              <w:t>党委、政府</w:t>
            </w:r>
            <w:r>
              <w:rPr>
                <w:rFonts w:hint="eastAsia" w:ascii="宋体" w:hAnsi="宋体"/>
                <w:kern w:val="0"/>
                <w:sz w:val="20"/>
                <w:szCs w:val="20"/>
              </w:rPr>
              <w:t>决策；（1分）</w:t>
            </w:r>
          </w:p>
          <w:p>
            <w:pPr>
              <w:widowControl/>
              <w:jc w:val="left"/>
              <w:rPr>
                <w:rFonts w:ascii="宋体" w:hAnsi="宋体"/>
                <w:kern w:val="0"/>
                <w:sz w:val="20"/>
                <w:szCs w:val="20"/>
              </w:rPr>
            </w:pPr>
            <w:r>
              <w:rPr>
                <w:rFonts w:hint="eastAsia" w:ascii="宋体" w:hAnsi="宋体"/>
                <w:kern w:val="0"/>
                <w:sz w:val="20"/>
                <w:szCs w:val="20"/>
              </w:rPr>
              <w:t>②是否与项目实施单位或委托单位职责密切相关；（1分）</w:t>
            </w:r>
          </w:p>
          <w:p>
            <w:pPr>
              <w:widowControl/>
              <w:jc w:val="left"/>
              <w:rPr>
                <w:rFonts w:ascii="宋体" w:hAnsi="宋体"/>
                <w:kern w:val="0"/>
                <w:sz w:val="20"/>
                <w:szCs w:val="20"/>
              </w:rPr>
            </w:pPr>
            <w:r>
              <w:rPr>
                <w:rFonts w:hint="eastAsia" w:ascii="宋体" w:hAnsi="宋体"/>
                <w:kern w:val="0"/>
                <w:sz w:val="20"/>
                <w:szCs w:val="20"/>
              </w:rPr>
              <w:t>③项目是否为促进事业发展所必需；（1分）</w:t>
            </w:r>
          </w:p>
          <w:p>
            <w:pPr>
              <w:widowControl/>
              <w:jc w:val="left"/>
              <w:rPr>
                <w:rFonts w:ascii="宋体" w:hAnsi="宋体"/>
                <w:kern w:val="0"/>
                <w:sz w:val="20"/>
                <w:szCs w:val="20"/>
              </w:rPr>
            </w:pPr>
            <w:r>
              <w:rPr>
                <w:rFonts w:hint="eastAsia" w:ascii="宋体" w:hAnsi="宋体"/>
                <w:kern w:val="0"/>
                <w:sz w:val="20"/>
                <w:szCs w:val="20"/>
              </w:rPr>
              <w:t>④项目预期产出效益和效果是否符合正常的业绩水平。（1分）</w:t>
            </w:r>
          </w:p>
        </w:tc>
        <w:tc>
          <w:tcPr>
            <w:tcW w:w="33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4"/>
              </w:rPr>
            </w:pPr>
            <w:r>
              <w:rPr>
                <w:rFonts w:hint="eastAsia" w:ascii="宋体" w:hAnsi="宋体"/>
                <w:kern w:val="0"/>
                <w:sz w:val="24"/>
              </w:rPr>
              <w:t>4</w:t>
            </w:r>
          </w:p>
        </w:tc>
        <w:tc>
          <w:tcPr>
            <w:tcW w:w="1432"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022年计划使用财政预算资金3万来开展现场监控工作，对雁江区辖区内渡口进行现场监控及巡查，渡口渡船安全检查、隐患排查，增强船主、船员和安全员的安全意识、服务意识和环保意识，加强旅客疏导和疫情防控。利用安全生产月（6月）集中开展安全教育，安全宣传，安全培训，保护群众生命财产安全，防范发生安全事故。使用财政预算资金3万来开展百日安全检查工作，进行安全宣传教育，严禁冒烟航行、夜航，打击违法行为，加强渡运秩序管理整治，减少安全事故的发生。</w:t>
            </w:r>
          </w:p>
          <w:p>
            <w:pPr>
              <w:widowControl/>
              <w:jc w:val="left"/>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28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left"/>
              <w:rPr>
                <w:rFonts w:ascii="宋体" w:hAnsi="宋体"/>
                <w:kern w:val="0"/>
                <w:sz w:val="20"/>
                <w:szCs w:val="20"/>
              </w:rPr>
            </w:pPr>
            <w:r>
              <w:rPr>
                <w:rFonts w:hint="eastAsia" w:ascii="宋体" w:hAnsi="宋体"/>
                <w:kern w:val="0"/>
                <w:sz w:val="20"/>
                <w:szCs w:val="20"/>
              </w:rPr>
              <w:t>绩效指标明确性（6分）</w:t>
            </w:r>
          </w:p>
        </w:tc>
        <w:tc>
          <w:tcPr>
            <w:tcW w:w="76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依据绩效目标设定的绩效指标是否清晰、细化、可衡量等，用以反映和考核项目绩效目标的明细化情况。</w:t>
            </w:r>
          </w:p>
        </w:tc>
        <w:tc>
          <w:tcPr>
            <w:tcW w:w="14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①是否将项目绩效目标细化分解为具体的绩效指标；（2分）</w:t>
            </w:r>
          </w:p>
          <w:p>
            <w:pPr>
              <w:widowControl/>
              <w:jc w:val="left"/>
              <w:rPr>
                <w:rFonts w:ascii="宋体" w:hAnsi="宋体"/>
                <w:kern w:val="0"/>
                <w:sz w:val="20"/>
                <w:szCs w:val="20"/>
              </w:rPr>
            </w:pPr>
            <w:r>
              <w:rPr>
                <w:rFonts w:hint="eastAsia" w:ascii="宋体" w:hAnsi="宋体"/>
                <w:kern w:val="0"/>
                <w:sz w:val="20"/>
                <w:szCs w:val="20"/>
              </w:rPr>
              <w:t>②是否通过清晰、可衡量的指标值予以体现；（1分）</w:t>
            </w:r>
          </w:p>
          <w:p>
            <w:pPr>
              <w:widowControl/>
              <w:jc w:val="left"/>
              <w:rPr>
                <w:rFonts w:ascii="宋体" w:hAnsi="宋体"/>
                <w:kern w:val="0"/>
                <w:sz w:val="20"/>
                <w:szCs w:val="20"/>
              </w:rPr>
            </w:pPr>
            <w:r>
              <w:rPr>
                <w:rFonts w:hint="eastAsia" w:ascii="宋体" w:hAnsi="宋体"/>
                <w:kern w:val="0"/>
                <w:sz w:val="20"/>
                <w:szCs w:val="20"/>
              </w:rPr>
              <w:t>③是否与项目年度任务数或计划数相对应；（1分）</w:t>
            </w:r>
          </w:p>
          <w:p>
            <w:pPr>
              <w:widowControl/>
              <w:jc w:val="left"/>
              <w:rPr>
                <w:rFonts w:ascii="宋体" w:hAnsi="宋体"/>
                <w:kern w:val="0"/>
                <w:sz w:val="20"/>
                <w:szCs w:val="20"/>
              </w:rPr>
            </w:pPr>
            <w:r>
              <w:rPr>
                <w:rFonts w:hint="eastAsia" w:ascii="宋体" w:hAnsi="宋体"/>
                <w:kern w:val="0"/>
                <w:sz w:val="20"/>
                <w:szCs w:val="20"/>
              </w:rPr>
              <w:t>④是否与预算确定的项目投资额或资金量相匹配。（2分）</w:t>
            </w:r>
          </w:p>
        </w:tc>
        <w:tc>
          <w:tcPr>
            <w:tcW w:w="33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4"/>
              </w:rPr>
            </w:pPr>
            <w:r>
              <w:rPr>
                <w:rFonts w:hint="eastAsia" w:ascii="宋体" w:hAnsi="宋体"/>
                <w:kern w:val="0"/>
                <w:sz w:val="24"/>
              </w:rPr>
              <w:t>　6</w:t>
            </w:r>
          </w:p>
        </w:tc>
        <w:tc>
          <w:tcPr>
            <w:tcW w:w="1432"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kern w:val="0"/>
                <w:sz w:val="20"/>
                <w:szCs w:val="20"/>
                <w:lang w:val="en-US" w:eastAsia="zh-CN"/>
              </w:rPr>
            </w:pPr>
            <w:r>
              <w:rPr>
                <w:rFonts w:hint="eastAsia" w:ascii="宋体" w:hAnsi="宋体"/>
                <w:kern w:val="0"/>
                <w:sz w:val="20"/>
                <w:szCs w:val="20"/>
              </w:rPr>
              <w:t>　项目绩效目标明确，设置了相应指标，与项目年度任务数对应。</w:t>
            </w:r>
            <w:r>
              <w:rPr>
                <w:rFonts w:hint="eastAsia" w:ascii="宋体" w:hAnsi="宋体"/>
                <w:kern w:val="0"/>
                <w:sz w:val="20"/>
                <w:szCs w:val="20"/>
                <w:lang w:eastAsia="zh-CN"/>
              </w:rPr>
              <w:t>如现场监控工作经费总成本控制数小于</w:t>
            </w:r>
            <w:r>
              <w:rPr>
                <w:rFonts w:hint="eastAsia" w:ascii="宋体" w:hAnsi="宋体"/>
                <w:kern w:val="0"/>
                <w:sz w:val="20"/>
                <w:szCs w:val="20"/>
                <w:lang w:val="en-US" w:eastAsia="zh-CN"/>
              </w:rPr>
              <w:t>3万元。百日安全检查工作经费总成本小于3万元。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28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both"/>
              <w:rPr>
                <w:rFonts w:ascii="宋体" w:hAnsi="宋体"/>
                <w:kern w:val="0"/>
                <w:sz w:val="20"/>
                <w:szCs w:val="20"/>
              </w:rPr>
            </w:pPr>
            <w:r>
              <w:rPr>
                <w:rFonts w:hint="eastAsia" w:ascii="宋体" w:hAnsi="宋体"/>
                <w:kern w:val="0"/>
                <w:sz w:val="20"/>
                <w:szCs w:val="20"/>
              </w:rPr>
              <w:t>资金</w:t>
            </w:r>
          </w:p>
          <w:p>
            <w:pPr>
              <w:widowControl/>
              <w:ind w:left="0" w:leftChars="0" w:firstLine="0" w:firstLineChars="0"/>
              <w:jc w:val="both"/>
              <w:rPr>
                <w:rFonts w:ascii="宋体" w:hAnsi="宋体"/>
                <w:kern w:val="0"/>
                <w:sz w:val="20"/>
                <w:szCs w:val="20"/>
              </w:rPr>
            </w:pPr>
            <w:r>
              <w:rPr>
                <w:rFonts w:hint="eastAsia" w:ascii="宋体" w:hAnsi="宋体"/>
                <w:kern w:val="0"/>
                <w:sz w:val="20"/>
                <w:szCs w:val="20"/>
              </w:rPr>
              <w:t>落实（10分）</w:t>
            </w:r>
          </w:p>
        </w:tc>
        <w:tc>
          <w:tcPr>
            <w:tcW w:w="3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left"/>
              <w:rPr>
                <w:rFonts w:ascii="宋体" w:hAnsi="宋体"/>
                <w:kern w:val="0"/>
                <w:sz w:val="20"/>
                <w:szCs w:val="20"/>
              </w:rPr>
            </w:pPr>
            <w:r>
              <w:rPr>
                <w:rFonts w:hint="eastAsia" w:ascii="宋体" w:hAnsi="宋体"/>
                <w:kern w:val="0"/>
                <w:sz w:val="20"/>
                <w:szCs w:val="20"/>
              </w:rPr>
              <w:t>资金到位率（5分）</w:t>
            </w:r>
          </w:p>
        </w:tc>
        <w:tc>
          <w:tcPr>
            <w:tcW w:w="76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实际到位资金与计划投入资金的比率，用以反映和考核资金落实情况对项目实施的总体保障程度。</w:t>
            </w:r>
          </w:p>
        </w:tc>
        <w:tc>
          <w:tcPr>
            <w:tcW w:w="14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资金到位率=（实际到位资金/计划投入资金）×100%。（达到目标值得5分，每少一个百分点扣1分，扣完为止）</w:t>
            </w:r>
          </w:p>
          <w:p>
            <w:pPr>
              <w:widowControl/>
              <w:jc w:val="left"/>
              <w:rPr>
                <w:rFonts w:ascii="宋体" w:hAnsi="宋体"/>
                <w:kern w:val="0"/>
                <w:sz w:val="20"/>
                <w:szCs w:val="20"/>
              </w:rPr>
            </w:pPr>
            <w:r>
              <w:rPr>
                <w:rFonts w:hint="eastAsia" w:ascii="宋体" w:hAnsi="宋体"/>
                <w:kern w:val="0"/>
                <w:sz w:val="20"/>
                <w:szCs w:val="20"/>
              </w:rPr>
              <w:t>实际到位资金：一定时期（本年度或项目期）内实际落实到具体项目的资金。</w:t>
            </w:r>
          </w:p>
          <w:p>
            <w:pPr>
              <w:widowControl/>
              <w:jc w:val="left"/>
              <w:rPr>
                <w:rFonts w:ascii="宋体" w:hAnsi="宋体"/>
                <w:kern w:val="0"/>
                <w:sz w:val="20"/>
                <w:szCs w:val="20"/>
              </w:rPr>
            </w:pPr>
            <w:r>
              <w:rPr>
                <w:rFonts w:hint="eastAsia" w:ascii="宋体" w:hAnsi="宋体"/>
                <w:kern w:val="0"/>
                <w:sz w:val="20"/>
                <w:szCs w:val="20"/>
              </w:rPr>
              <w:t>计划投入资金：一定时期（本年度或项目期）内计划投入到具体项目的资金。</w:t>
            </w:r>
          </w:p>
        </w:tc>
        <w:tc>
          <w:tcPr>
            <w:tcW w:w="33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kern w:val="0"/>
                <w:sz w:val="24"/>
                <w:lang w:eastAsia="zh-CN"/>
              </w:rPr>
            </w:pPr>
            <w:r>
              <w:rPr>
                <w:rFonts w:hint="eastAsia" w:ascii="宋体" w:hAnsi="宋体"/>
                <w:kern w:val="0"/>
                <w:sz w:val="24"/>
              </w:rPr>
              <w:t>　</w:t>
            </w:r>
            <w:r>
              <w:rPr>
                <w:rFonts w:hint="eastAsia" w:ascii="宋体" w:hAnsi="宋体"/>
                <w:kern w:val="0"/>
                <w:sz w:val="24"/>
                <w:lang w:val="en-US" w:eastAsia="zh-CN"/>
              </w:rPr>
              <w:t>0</w:t>
            </w:r>
          </w:p>
        </w:tc>
        <w:tc>
          <w:tcPr>
            <w:tcW w:w="1432"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0"/>
                <w:szCs w:val="20"/>
              </w:rPr>
            </w:pPr>
            <w:r>
              <w:rPr>
                <w:rFonts w:hint="eastAsia" w:ascii="宋体" w:hAnsi="宋体"/>
                <w:kern w:val="0"/>
                <w:sz w:val="20"/>
                <w:szCs w:val="20"/>
              </w:rPr>
              <w:t>资金到位率0%,由于财政未拨款，实际到位率为0.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28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left"/>
              <w:rPr>
                <w:rFonts w:ascii="宋体" w:hAnsi="宋体"/>
                <w:kern w:val="0"/>
                <w:sz w:val="20"/>
                <w:szCs w:val="20"/>
              </w:rPr>
            </w:pPr>
            <w:r>
              <w:rPr>
                <w:rFonts w:hint="eastAsia" w:ascii="宋体" w:hAnsi="宋体"/>
                <w:kern w:val="0"/>
                <w:sz w:val="20"/>
                <w:szCs w:val="20"/>
              </w:rPr>
              <w:t>到位及时率（5分）</w:t>
            </w:r>
          </w:p>
        </w:tc>
        <w:tc>
          <w:tcPr>
            <w:tcW w:w="76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及时到位资金与应到位资金的比率，用以反映和考核项目资金落实的及时性程度。</w:t>
            </w:r>
          </w:p>
        </w:tc>
        <w:tc>
          <w:tcPr>
            <w:tcW w:w="14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到位及时率=（及时到位资金/应到位资金）×100%。（达到目标值得5分，每少一个百分点扣1分，扣完为止）</w:t>
            </w:r>
          </w:p>
          <w:p>
            <w:pPr>
              <w:widowControl/>
              <w:jc w:val="left"/>
              <w:rPr>
                <w:rFonts w:ascii="宋体" w:hAnsi="宋体"/>
                <w:kern w:val="0"/>
                <w:sz w:val="20"/>
                <w:szCs w:val="20"/>
              </w:rPr>
            </w:pPr>
            <w:r>
              <w:rPr>
                <w:rFonts w:hint="eastAsia" w:ascii="宋体" w:hAnsi="宋体"/>
                <w:kern w:val="0"/>
                <w:sz w:val="20"/>
                <w:szCs w:val="20"/>
              </w:rPr>
              <w:t>及时到位资金：截至规定时点实际落实到具体项目的资金。</w:t>
            </w:r>
          </w:p>
          <w:p>
            <w:pPr>
              <w:widowControl/>
              <w:jc w:val="left"/>
              <w:rPr>
                <w:rFonts w:ascii="宋体" w:hAnsi="宋体"/>
                <w:kern w:val="0"/>
                <w:sz w:val="20"/>
                <w:szCs w:val="20"/>
              </w:rPr>
            </w:pPr>
            <w:r>
              <w:rPr>
                <w:rFonts w:hint="eastAsia" w:ascii="宋体" w:hAnsi="宋体"/>
                <w:kern w:val="0"/>
                <w:sz w:val="20"/>
                <w:szCs w:val="20"/>
              </w:rPr>
              <w:t>应到位资金：按照合同或项目进度要求截至规定时点应落实到具体项目的资金。</w:t>
            </w:r>
          </w:p>
        </w:tc>
        <w:tc>
          <w:tcPr>
            <w:tcW w:w="33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4"/>
              </w:rPr>
            </w:pPr>
            <w:r>
              <w:rPr>
                <w:rFonts w:hint="eastAsia" w:ascii="宋体" w:hAnsi="宋体"/>
                <w:kern w:val="0"/>
                <w:sz w:val="24"/>
              </w:rPr>
              <w:t>　0</w:t>
            </w:r>
          </w:p>
        </w:tc>
        <w:tc>
          <w:tcPr>
            <w:tcW w:w="1432"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0"/>
                <w:szCs w:val="20"/>
              </w:rPr>
            </w:pPr>
            <w:r>
              <w:rPr>
                <w:rFonts w:hint="eastAsia" w:ascii="宋体" w:hAnsi="宋体"/>
                <w:kern w:val="0"/>
                <w:sz w:val="20"/>
                <w:szCs w:val="20"/>
              </w:rPr>
              <w:t>由于财政未拨款，2022年实际支付金额为0万元。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289"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p>
            <w:pPr>
              <w:widowControl/>
              <w:jc w:val="center"/>
              <w:rPr>
                <w:rFonts w:ascii="宋体" w:hAnsi="宋体"/>
                <w:kern w:val="0"/>
                <w:sz w:val="20"/>
                <w:szCs w:val="20"/>
              </w:rPr>
            </w:pPr>
            <w:r>
              <w:rPr>
                <w:rFonts w:hint="eastAsia" w:ascii="宋体" w:hAnsi="宋体"/>
                <w:kern w:val="0"/>
                <w:sz w:val="20"/>
                <w:szCs w:val="20"/>
              </w:rPr>
              <w:t>过   程（25分）</w:t>
            </w:r>
          </w:p>
        </w:tc>
        <w:tc>
          <w:tcPr>
            <w:tcW w:w="362"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both"/>
              <w:rPr>
                <w:rFonts w:ascii="宋体" w:hAnsi="宋体"/>
                <w:kern w:val="0"/>
                <w:sz w:val="20"/>
                <w:szCs w:val="20"/>
              </w:rPr>
            </w:pPr>
            <w:r>
              <w:rPr>
                <w:rFonts w:hint="eastAsia" w:ascii="宋体" w:hAnsi="宋体"/>
                <w:kern w:val="0"/>
                <w:sz w:val="20"/>
                <w:szCs w:val="20"/>
              </w:rPr>
              <w:t>业务</w:t>
            </w:r>
          </w:p>
          <w:p>
            <w:pPr>
              <w:widowControl/>
              <w:ind w:left="0" w:leftChars="0" w:firstLine="0" w:firstLineChars="0"/>
              <w:jc w:val="both"/>
              <w:rPr>
                <w:rFonts w:ascii="宋体" w:hAnsi="宋体"/>
                <w:kern w:val="0"/>
                <w:sz w:val="20"/>
                <w:szCs w:val="20"/>
              </w:rPr>
            </w:pPr>
            <w:r>
              <w:rPr>
                <w:rFonts w:hint="eastAsia" w:ascii="宋体" w:hAnsi="宋体"/>
                <w:kern w:val="0"/>
                <w:sz w:val="20"/>
                <w:szCs w:val="20"/>
              </w:rPr>
              <w:t>管理（13分）</w:t>
            </w:r>
          </w:p>
        </w:tc>
        <w:tc>
          <w:tcPr>
            <w:tcW w:w="3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left"/>
              <w:rPr>
                <w:rFonts w:ascii="宋体" w:hAnsi="宋体"/>
                <w:kern w:val="0"/>
                <w:sz w:val="20"/>
                <w:szCs w:val="20"/>
              </w:rPr>
            </w:pPr>
            <w:r>
              <w:rPr>
                <w:rFonts w:hint="eastAsia" w:ascii="宋体" w:hAnsi="宋体"/>
                <w:kern w:val="0"/>
                <w:sz w:val="20"/>
                <w:szCs w:val="20"/>
              </w:rPr>
              <w:t>管理制度健全性（4分）</w:t>
            </w:r>
          </w:p>
        </w:tc>
        <w:tc>
          <w:tcPr>
            <w:tcW w:w="76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项目实施单位的业务管理制度是否健全，用以反映和考核业务管理制度对项目顺利实施的保障情况。</w:t>
            </w:r>
          </w:p>
        </w:tc>
        <w:tc>
          <w:tcPr>
            <w:tcW w:w="14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①是否已制定或具有相应的业务管理制度；（2分）</w:t>
            </w:r>
          </w:p>
          <w:p>
            <w:pPr>
              <w:widowControl/>
              <w:jc w:val="left"/>
              <w:rPr>
                <w:rFonts w:ascii="宋体" w:hAnsi="宋体"/>
                <w:kern w:val="0"/>
                <w:sz w:val="20"/>
                <w:szCs w:val="20"/>
              </w:rPr>
            </w:pPr>
            <w:r>
              <w:rPr>
                <w:rFonts w:hint="eastAsia" w:ascii="宋体" w:hAnsi="宋体"/>
                <w:kern w:val="0"/>
                <w:sz w:val="20"/>
                <w:szCs w:val="20"/>
              </w:rPr>
              <w:t>②业务管理制度是否合法、合规、完整。（2分）</w:t>
            </w:r>
          </w:p>
        </w:tc>
        <w:tc>
          <w:tcPr>
            <w:tcW w:w="33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4"/>
              </w:rPr>
            </w:pPr>
            <w:r>
              <w:rPr>
                <w:rFonts w:hint="eastAsia" w:ascii="宋体" w:hAnsi="宋体"/>
                <w:kern w:val="0"/>
                <w:sz w:val="24"/>
              </w:rPr>
              <w:t>　4</w:t>
            </w:r>
          </w:p>
        </w:tc>
        <w:tc>
          <w:tcPr>
            <w:tcW w:w="1432"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0"/>
                <w:szCs w:val="20"/>
              </w:rPr>
            </w:pPr>
            <w:r>
              <w:rPr>
                <w:rFonts w:hint="eastAsia" w:ascii="宋体" w:hAnsi="宋体"/>
                <w:kern w:val="0"/>
                <w:sz w:val="20"/>
                <w:szCs w:val="20"/>
              </w:rPr>
              <w:t>区</w:t>
            </w:r>
            <w:r>
              <w:rPr>
                <w:rFonts w:hint="eastAsia" w:ascii="宋体" w:hAnsi="宋体"/>
                <w:kern w:val="0"/>
                <w:sz w:val="20"/>
                <w:szCs w:val="20"/>
                <w:lang w:eastAsia="zh-CN"/>
              </w:rPr>
              <w:t>渡口所</w:t>
            </w:r>
            <w:r>
              <w:rPr>
                <w:rFonts w:hint="eastAsia" w:ascii="宋体" w:hAnsi="宋体"/>
                <w:kern w:val="0"/>
                <w:sz w:val="20"/>
                <w:szCs w:val="20"/>
              </w:rPr>
              <w:t>内控管理制度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28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left"/>
              <w:rPr>
                <w:rFonts w:ascii="宋体" w:hAnsi="宋体"/>
                <w:kern w:val="0"/>
                <w:sz w:val="20"/>
                <w:szCs w:val="20"/>
              </w:rPr>
            </w:pPr>
            <w:r>
              <w:rPr>
                <w:rFonts w:hint="eastAsia" w:ascii="宋体" w:hAnsi="宋体"/>
                <w:kern w:val="0"/>
                <w:sz w:val="20"/>
                <w:szCs w:val="20"/>
              </w:rPr>
              <w:t>制度执行有效性（6分)</w:t>
            </w:r>
          </w:p>
        </w:tc>
        <w:tc>
          <w:tcPr>
            <w:tcW w:w="76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项目实施是否符合相关业务管理规定，用以反映和考核业务管理制度的有效执行情况。</w:t>
            </w:r>
          </w:p>
        </w:tc>
        <w:tc>
          <w:tcPr>
            <w:tcW w:w="14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①是否遵守相关法律法规和业务管理规定；(1分）</w:t>
            </w:r>
          </w:p>
          <w:p>
            <w:pPr>
              <w:widowControl/>
              <w:jc w:val="left"/>
              <w:rPr>
                <w:rFonts w:ascii="宋体" w:hAnsi="宋体"/>
                <w:kern w:val="0"/>
                <w:sz w:val="20"/>
                <w:szCs w:val="20"/>
              </w:rPr>
            </w:pPr>
            <w:r>
              <w:rPr>
                <w:rFonts w:hint="eastAsia" w:ascii="宋体" w:hAnsi="宋体"/>
                <w:kern w:val="0"/>
                <w:sz w:val="20"/>
                <w:szCs w:val="20"/>
              </w:rPr>
              <w:t>②项目调整及支出调整手续是否完备；（1分）</w:t>
            </w:r>
          </w:p>
          <w:p>
            <w:pPr>
              <w:widowControl/>
              <w:jc w:val="left"/>
              <w:rPr>
                <w:rFonts w:ascii="宋体" w:hAnsi="宋体"/>
                <w:kern w:val="0"/>
                <w:sz w:val="20"/>
                <w:szCs w:val="20"/>
              </w:rPr>
            </w:pPr>
            <w:r>
              <w:rPr>
                <w:rFonts w:hint="eastAsia" w:ascii="宋体" w:hAnsi="宋体"/>
                <w:kern w:val="0"/>
                <w:sz w:val="20"/>
                <w:szCs w:val="20"/>
              </w:rPr>
              <w:t>③项目合同书、验收报告、技术鉴定等资料是否齐全并及时归档；（2分）</w:t>
            </w:r>
          </w:p>
          <w:p>
            <w:pPr>
              <w:widowControl/>
              <w:jc w:val="left"/>
              <w:rPr>
                <w:rFonts w:ascii="宋体" w:hAnsi="宋体"/>
                <w:kern w:val="0"/>
                <w:sz w:val="20"/>
                <w:szCs w:val="20"/>
              </w:rPr>
            </w:pPr>
            <w:r>
              <w:rPr>
                <w:rFonts w:hint="eastAsia" w:ascii="宋体" w:hAnsi="宋体"/>
                <w:kern w:val="0"/>
                <w:sz w:val="20"/>
                <w:szCs w:val="20"/>
              </w:rPr>
              <w:t>④项目实施的人员条件、场地设备、信息支撑等是否落实到位。（2分）</w:t>
            </w:r>
          </w:p>
        </w:tc>
        <w:tc>
          <w:tcPr>
            <w:tcW w:w="33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4"/>
              </w:rPr>
            </w:pPr>
            <w:r>
              <w:rPr>
                <w:rFonts w:hint="eastAsia" w:ascii="宋体" w:hAnsi="宋体"/>
                <w:kern w:val="0"/>
                <w:sz w:val="24"/>
              </w:rPr>
              <w:t>　6</w:t>
            </w:r>
          </w:p>
        </w:tc>
        <w:tc>
          <w:tcPr>
            <w:tcW w:w="1432"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区</w:t>
            </w:r>
            <w:r>
              <w:rPr>
                <w:rFonts w:hint="eastAsia" w:ascii="宋体" w:hAnsi="宋体"/>
                <w:kern w:val="0"/>
                <w:sz w:val="20"/>
                <w:szCs w:val="20"/>
                <w:lang w:eastAsia="zh-CN"/>
              </w:rPr>
              <w:t>渡口所</w:t>
            </w:r>
            <w:r>
              <w:rPr>
                <w:rFonts w:hint="eastAsia" w:ascii="宋体" w:hAnsi="宋体"/>
                <w:kern w:val="0"/>
                <w:sz w:val="20"/>
                <w:szCs w:val="20"/>
              </w:rPr>
              <w:t>内控制度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8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left"/>
              <w:rPr>
                <w:rFonts w:ascii="宋体" w:hAnsi="宋体"/>
                <w:kern w:val="0"/>
                <w:sz w:val="20"/>
                <w:szCs w:val="20"/>
              </w:rPr>
            </w:pPr>
            <w:r>
              <w:rPr>
                <w:rFonts w:hint="eastAsia" w:ascii="宋体" w:hAnsi="宋体"/>
                <w:kern w:val="0"/>
                <w:sz w:val="20"/>
                <w:szCs w:val="20"/>
              </w:rPr>
              <w:t>项目质量可控性（3分）</w:t>
            </w:r>
          </w:p>
        </w:tc>
        <w:tc>
          <w:tcPr>
            <w:tcW w:w="76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项目实施单位是否为达到项目质量要求而采取了必需的措施,用以反映和考核项目实施单位对项目质量的控制情况。</w:t>
            </w:r>
          </w:p>
        </w:tc>
        <w:tc>
          <w:tcPr>
            <w:tcW w:w="14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①是否已制定或具有相应的项目质量要求或标准；（1分）</w:t>
            </w:r>
          </w:p>
          <w:p>
            <w:pPr>
              <w:widowControl/>
              <w:jc w:val="left"/>
              <w:rPr>
                <w:rFonts w:ascii="宋体" w:hAnsi="宋体"/>
                <w:kern w:val="0"/>
                <w:sz w:val="20"/>
                <w:szCs w:val="20"/>
              </w:rPr>
            </w:pPr>
            <w:r>
              <w:rPr>
                <w:rFonts w:hint="eastAsia" w:ascii="宋体" w:hAnsi="宋体"/>
                <w:kern w:val="0"/>
                <w:sz w:val="20"/>
                <w:szCs w:val="20"/>
              </w:rPr>
              <w:t>②是否采取了相应的项目质量检查、验收等必需的控制措施或手段。（2分）</w:t>
            </w:r>
          </w:p>
        </w:tc>
        <w:tc>
          <w:tcPr>
            <w:tcW w:w="33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4"/>
              </w:rPr>
            </w:pPr>
            <w:r>
              <w:rPr>
                <w:rFonts w:hint="eastAsia" w:ascii="宋体" w:hAnsi="宋体"/>
                <w:kern w:val="0"/>
                <w:sz w:val="24"/>
              </w:rPr>
              <w:t>　3</w:t>
            </w:r>
          </w:p>
        </w:tc>
        <w:tc>
          <w:tcPr>
            <w:tcW w:w="1432"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0"/>
                <w:szCs w:val="20"/>
              </w:rPr>
            </w:pPr>
            <w:r>
              <w:rPr>
                <w:rFonts w:hint="eastAsia" w:ascii="宋体" w:hAnsi="宋体"/>
                <w:kern w:val="0"/>
                <w:sz w:val="20"/>
                <w:szCs w:val="20"/>
              </w:rPr>
              <w:t>　由于未付款，故未进行验收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28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both"/>
              <w:rPr>
                <w:rFonts w:ascii="宋体" w:hAnsi="宋体"/>
                <w:kern w:val="0"/>
                <w:sz w:val="20"/>
                <w:szCs w:val="20"/>
              </w:rPr>
            </w:pPr>
            <w:r>
              <w:rPr>
                <w:rFonts w:hint="eastAsia" w:ascii="宋体" w:hAnsi="宋体"/>
                <w:kern w:val="0"/>
                <w:sz w:val="20"/>
                <w:szCs w:val="20"/>
              </w:rPr>
              <w:t>财务</w:t>
            </w:r>
          </w:p>
          <w:p>
            <w:pPr>
              <w:widowControl/>
              <w:ind w:left="0" w:leftChars="0" w:firstLine="0" w:firstLineChars="0"/>
              <w:jc w:val="both"/>
              <w:rPr>
                <w:rFonts w:ascii="宋体" w:hAnsi="宋体"/>
                <w:kern w:val="0"/>
                <w:sz w:val="20"/>
                <w:szCs w:val="20"/>
              </w:rPr>
            </w:pPr>
            <w:r>
              <w:rPr>
                <w:rFonts w:hint="eastAsia" w:ascii="宋体" w:hAnsi="宋体"/>
                <w:kern w:val="0"/>
                <w:sz w:val="20"/>
                <w:szCs w:val="20"/>
              </w:rPr>
              <w:t>管理（12分）</w:t>
            </w:r>
          </w:p>
        </w:tc>
        <w:tc>
          <w:tcPr>
            <w:tcW w:w="3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left"/>
              <w:rPr>
                <w:rFonts w:ascii="宋体" w:hAnsi="宋体"/>
                <w:kern w:val="0"/>
                <w:sz w:val="20"/>
                <w:szCs w:val="20"/>
              </w:rPr>
            </w:pPr>
            <w:r>
              <w:rPr>
                <w:rFonts w:hint="eastAsia" w:ascii="宋体" w:hAnsi="宋体"/>
                <w:kern w:val="0"/>
                <w:sz w:val="20"/>
                <w:szCs w:val="20"/>
              </w:rPr>
              <w:t>管理制度健全性（3分）</w:t>
            </w:r>
          </w:p>
        </w:tc>
        <w:tc>
          <w:tcPr>
            <w:tcW w:w="76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项目实施单位的财务制度是否健全，用以反映和考核财务管理制度对资金规范、安全运行的保障情况。</w:t>
            </w:r>
          </w:p>
        </w:tc>
        <w:tc>
          <w:tcPr>
            <w:tcW w:w="14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①是否已制定或具有相应的项目资金管理办法；（2分）</w:t>
            </w:r>
          </w:p>
          <w:p>
            <w:pPr>
              <w:widowControl/>
              <w:jc w:val="left"/>
              <w:rPr>
                <w:rFonts w:ascii="宋体" w:hAnsi="宋体"/>
                <w:kern w:val="0"/>
                <w:sz w:val="20"/>
                <w:szCs w:val="20"/>
              </w:rPr>
            </w:pPr>
            <w:r>
              <w:rPr>
                <w:rFonts w:hint="eastAsia" w:ascii="宋体" w:hAnsi="宋体"/>
                <w:kern w:val="0"/>
                <w:sz w:val="20"/>
                <w:szCs w:val="20"/>
              </w:rPr>
              <w:t>②项目资金管理办法是否符合相关财务会计制度的规定。（1分）</w:t>
            </w:r>
          </w:p>
        </w:tc>
        <w:tc>
          <w:tcPr>
            <w:tcW w:w="33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3　</w:t>
            </w:r>
          </w:p>
        </w:tc>
        <w:tc>
          <w:tcPr>
            <w:tcW w:w="1432"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0"/>
                <w:szCs w:val="20"/>
              </w:rPr>
            </w:pPr>
            <w:r>
              <w:rPr>
                <w:rFonts w:hint="eastAsia"/>
                <w:color w:val="000000"/>
                <w:sz w:val="18"/>
                <w:szCs w:val="18"/>
              </w:rPr>
              <w:t>制定了《财务管理制度》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28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left"/>
              <w:rPr>
                <w:rFonts w:ascii="宋体" w:hAnsi="宋体"/>
                <w:kern w:val="0"/>
                <w:sz w:val="20"/>
                <w:szCs w:val="20"/>
              </w:rPr>
            </w:pPr>
            <w:r>
              <w:rPr>
                <w:rFonts w:hint="eastAsia" w:ascii="宋体" w:hAnsi="宋体"/>
                <w:kern w:val="0"/>
                <w:sz w:val="20"/>
                <w:szCs w:val="20"/>
              </w:rPr>
              <w:t>资金使用合规性（7分）</w:t>
            </w:r>
          </w:p>
        </w:tc>
        <w:tc>
          <w:tcPr>
            <w:tcW w:w="76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项目资金使用是否符合相关的财务管理制度规定，用以反映和考核项目资金的规范运行情况。</w:t>
            </w:r>
          </w:p>
        </w:tc>
        <w:tc>
          <w:tcPr>
            <w:tcW w:w="14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①是否符合国家财经法规和财务管理制度以及有关专项资金管理办法的规定；（1分）</w:t>
            </w:r>
          </w:p>
          <w:p>
            <w:pPr>
              <w:widowControl/>
              <w:jc w:val="left"/>
              <w:rPr>
                <w:rFonts w:ascii="宋体" w:hAnsi="宋体"/>
                <w:kern w:val="0"/>
                <w:sz w:val="20"/>
                <w:szCs w:val="20"/>
              </w:rPr>
            </w:pPr>
            <w:r>
              <w:rPr>
                <w:rFonts w:hint="eastAsia" w:ascii="宋体" w:hAnsi="宋体"/>
                <w:kern w:val="0"/>
                <w:sz w:val="20"/>
                <w:szCs w:val="20"/>
              </w:rPr>
              <w:t>②资金的拨付是否有完整的审批程序和手续；（2分）</w:t>
            </w:r>
          </w:p>
          <w:p>
            <w:pPr>
              <w:widowControl/>
              <w:jc w:val="left"/>
              <w:rPr>
                <w:rFonts w:ascii="宋体" w:hAnsi="宋体"/>
                <w:kern w:val="0"/>
                <w:sz w:val="20"/>
                <w:szCs w:val="20"/>
              </w:rPr>
            </w:pPr>
            <w:r>
              <w:rPr>
                <w:rFonts w:hint="eastAsia" w:ascii="宋体" w:hAnsi="宋体"/>
                <w:kern w:val="0"/>
                <w:sz w:val="20"/>
                <w:szCs w:val="20"/>
              </w:rPr>
              <w:t>③项目的重大开支是否经过评估认证；（1分）</w:t>
            </w:r>
          </w:p>
          <w:p>
            <w:pPr>
              <w:widowControl/>
              <w:jc w:val="left"/>
              <w:rPr>
                <w:rFonts w:ascii="宋体" w:hAnsi="宋体"/>
                <w:kern w:val="0"/>
                <w:sz w:val="20"/>
                <w:szCs w:val="20"/>
              </w:rPr>
            </w:pPr>
            <w:r>
              <w:rPr>
                <w:rFonts w:hint="eastAsia" w:ascii="宋体" w:hAnsi="宋体"/>
                <w:kern w:val="0"/>
                <w:sz w:val="20"/>
                <w:szCs w:val="20"/>
              </w:rPr>
              <w:t>④是否符合项目预算批复或合同规定的用途；（1分）</w:t>
            </w:r>
          </w:p>
          <w:p>
            <w:pPr>
              <w:widowControl/>
              <w:jc w:val="left"/>
              <w:rPr>
                <w:rFonts w:ascii="宋体" w:hAnsi="宋体"/>
                <w:kern w:val="0"/>
                <w:sz w:val="20"/>
                <w:szCs w:val="20"/>
              </w:rPr>
            </w:pPr>
            <w:r>
              <w:rPr>
                <w:rFonts w:hint="eastAsia" w:ascii="宋体" w:hAnsi="宋体"/>
                <w:kern w:val="0"/>
                <w:sz w:val="20"/>
                <w:szCs w:val="20"/>
              </w:rPr>
              <w:t>⑤是否存在截留、挤占、挪用、虚列支出等情况。（2分）</w:t>
            </w:r>
          </w:p>
        </w:tc>
        <w:tc>
          <w:tcPr>
            <w:tcW w:w="33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4"/>
              </w:rPr>
            </w:pPr>
            <w:r>
              <w:rPr>
                <w:rFonts w:hint="eastAsia" w:ascii="宋体" w:hAnsi="宋体"/>
                <w:kern w:val="0"/>
                <w:sz w:val="24"/>
              </w:rPr>
              <w:t>　7</w:t>
            </w:r>
          </w:p>
        </w:tc>
        <w:tc>
          <w:tcPr>
            <w:tcW w:w="1432"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由于未付款，不涉及项目资金使用是否符合相关财务管理制度的情况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28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left"/>
              <w:rPr>
                <w:rFonts w:ascii="宋体" w:hAnsi="宋体"/>
                <w:kern w:val="0"/>
                <w:sz w:val="20"/>
                <w:szCs w:val="20"/>
              </w:rPr>
            </w:pPr>
            <w:r>
              <w:rPr>
                <w:rFonts w:hint="eastAsia" w:ascii="宋体" w:hAnsi="宋体"/>
                <w:kern w:val="0"/>
                <w:sz w:val="20"/>
                <w:szCs w:val="20"/>
              </w:rPr>
              <w:t>财务监控有效性（2分）</w:t>
            </w:r>
          </w:p>
        </w:tc>
        <w:tc>
          <w:tcPr>
            <w:tcW w:w="76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项目实施单位是否为保障资金的安全、规范运行而采取了必要的监控措施，用以反映和考核项目实施单位对资金运行的控制情况。</w:t>
            </w:r>
          </w:p>
        </w:tc>
        <w:tc>
          <w:tcPr>
            <w:tcW w:w="14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①是否已制定或具有相应的监控机制；（1分）</w:t>
            </w:r>
          </w:p>
          <w:p>
            <w:pPr>
              <w:widowControl/>
              <w:jc w:val="left"/>
              <w:rPr>
                <w:rFonts w:ascii="宋体" w:hAnsi="宋体"/>
                <w:kern w:val="0"/>
                <w:sz w:val="20"/>
                <w:szCs w:val="20"/>
              </w:rPr>
            </w:pPr>
            <w:r>
              <w:rPr>
                <w:rFonts w:hint="eastAsia" w:ascii="宋体" w:hAnsi="宋体"/>
                <w:kern w:val="0"/>
                <w:sz w:val="20"/>
                <w:szCs w:val="20"/>
              </w:rPr>
              <w:t>②是否采取了相应的财务检查等必要的监控措施或手段。（1分）</w:t>
            </w:r>
          </w:p>
        </w:tc>
        <w:tc>
          <w:tcPr>
            <w:tcW w:w="33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4"/>
              </w:rPr>
            </w:pPr>
            <w:r>
              <w:rPr>
                <w:rFonts w:hint="eastAsia" w:ascii="宋体" w:hAnsi="宋体"/>
                <w:kern w:val="0"/>
                <w:sz w:val="24"/>
              </w:rPr>
              <w:t>　2</w:t>
            </w:r>
          </w:p>
        </w:tc>
        <w:tc>
          <w:tcPr>
            <w:tcW w:w="1432"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0"/>
                <w:szCs w:val="20"/>
              </w:rPr>
            </w:pPr>
            <w:r>
              <w:rPr>
                <w:rFonts w:hint="eastAsia" w:ascii="宋体" w:hAnsi="宋体"/>
                <w:kern w:val="0"/>
                <w:sz w:val="20"/>
                <w:szCs w:val="20"/>
              </w:rPr>
              <w:t>　《财务管理制度》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289"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p>
            <w:pPr>
              <w:widowControl/>
              <w:jc w:val="center"/>
              <w:rPr>
                <w:rFonts w:ascii="宋体" w:hAnsi="宋体"/>
                <w:kern w:val="0"/>
                <w:sz w:val="20"/>
                <w:szCs w:val="20"/>
              </w:rPr>
            </w:pPr>
            <w:r>
              <w:rPr>
                <w:rFonts w:hint="eastAsia" w:ascii="宋体" w:hAnsi="宋体"/>
                <w:kern w:val="0"/>
                <w:sz w:val="20"/>
                <w:szCs w:val="20"/>
              </w:rPr>
              <w:t>产   出（20分）</w:t>
            </w:r>
          </w:p>
        </w:tc>
        <w:tc>
          <w:tcPr>
            <w:tcW w:w="362"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both"/>
              <w:rPr>
                <w:rFonts w:ascii="宋体" w:hAnsi="宋体"/>
                <w:kern w:val="0"/>
                <w:sz w:val="20"/>
                <w:szCs w:val="20"/>
              </w:rPr>
            </w:pPr>
            <w:r>
              <w:rPr>
                <w:rFonts w:hint="eastAsia" w:ascii="宋体" w:hAnsi="宋体"/>
                <w:kern w:val="0"/>
                <w:sz w:val="20"/>
                <w:szCs w:val="20"/>
              </w:rPr>
              <w:t>项目</w:t>
            </w:r>
          </w:p>
          <w:p>
            <w:pPr>
              <w:widowControl/>
              <w:ind w:left="0" w:leftChars="0" w:firstLine="0" w:firstLineChars="0"/>
              <w:jc w:val="both"/>
              <w:rPr>
                <w:rFonts w:ascii="宋体" w:hAnsi="宋体"/>
                <w:kern w:val="0"/>
                <w:sz w:val="20"/>
                <w:szCs w:val="20"/>
              </w:rPr>
            </w:pPr>
            <w:r>
              <w:rPr>
                <w:rFonts w:hint="eastAsia" w:ascii="宋体" w:hAnsi="宋体"/>
                <w:kern w:val="0"/>
                <w:sz w:val="20"/>
                <w:szCs w:val="20"/>
              </w:rPr>
              <w:t>产出（20分）</w:t>
            </w:r>
          </w:p>
        </w:tc>
        <w:tc>
          <w:tcPr>
            <w:tcW w:w="3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left"/>
              <w:rPr>
                <w:rFonts w:ascii="宋体" w:hAnsi="宋体"/>
                <w:kern w:val="0"/>
                <w:sz w:val="20"/>
                <w:szCs w:val="20"/>
              </w:rPr>
            </w:pPr>
            <w:r>
              <w:rPr>
                <w:rFonts w:hint="eastAsia" w:ascii="宋体" w:hAnsi="宋体"/>
                <w:kern w:val="0"/>
                <w:sz w:val="20"/>
                <w:szCs w:val="20"/>
              </w:rPr>
              <w:t>实际完成率（4分）</w:t>
            </w:r>
          </w:p>
        </w:tc>
        <w:tc>
          <w:tcPr>
            <w:tcW w:w="76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项目实施的实际产出数与计划产出数的比率，用以反映和考核项目产出数量目标的实现程度。</w:t>
            </w:r>
          </w:p>
        </w:tc>
        <w:tc>
          <w:tcPr>
            <w:tcW w:w="14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spacing w:val="-14"/>
                <w:kern w:val="0"/>
                <w:sz w:val="20"/>
                <w:szCs w:val="20"/>
              </w:rPr>
            </w:pPr>
            <w:r>
              <w:rPr>
                <w:rFonts w:hint="eastAsia" w:ascii="宋体" w:hAnsi="宋体"/>
                <w:spacing w:val="-14"/>
                <w:kern w:val="0"/>
                <w:sz w:val="20"/>
                <w:szCs w:val="20"/>
              </w:rPr>
              <w:t>实际完成率=（实际产出数/计划产出数）×100%。（得分=实际完成率*4分）</w:t>
            </w:r>
          </w:p>
          <w:p>
            <w:pPr>
              <w:widowControl/>
              <w:jc w:val="left"/>
              <w:rPr>
                <w:rFonts w:ascii="宋体" w:hAnsi="宋体"/>
                <w:spacing w:val="-14"/>
                <w:kern w:val="0"/>
                <w:sz w:val="20"/>
                <w:szCs w:val="20"/>
              </w:rPr>
            </w:pPr>
            <w:r>
              <w:rPr>
                <w:rFonts w:hint="eastAsia" w:ascii="宋体" w:hAnsi="宋体"/>
                <w:spacing w:val="-14"/>
                <w:kern w:val="0"/>
                <w:sz w:val="20"/>
                <w:szCs w:val="20"/>
              </w:rPr>
              <w:t>实际产出数：一定时期（本年度或项目期）内项目实际产出的产品或提供的服务数量。</w:t>
            </w:r>
          </w:p>
          <w:p>
            <w:pPr>
              <w:widowControl/>
              <w:jc w:val="left"/>
              <w:rPr>
                <w:rFonts w:ascii="宋体" w:hAnsi="宋体"/>
                <w:kern w:val="0"/>
                <w:sz w:val="20"/>
                <w:szCs w:val="20"/>
              </w:rPr>
            </w:pPr>
            <w:r>
              <w:rPr>
                <w:rFonts w:hint="eastAsia" w:ascii="宋体" w:hAnsi="宋体"/>
                <w:kern w:val="0"/>
                <w:sz w:val="20"/>
                <w:szCs w:val="20"/>
              </w:rPr>
              <w:t>计划产出数：项目绩效目标确定的在一定时期（本年度或项目期）内计划产出的产品或提供的服务数量。</w:t>
            </w:r>
          </w:p>
        </w:tc>
        <w:tc>
          <w:tcPr>
            <w:tcW w:w="33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4"/>
              </w:rPr>
            </w:pPr>
            <w:r>
              <w:rPr>
                <w:rFonts w:hint="eastAsia" w:ascii="宋体" w:hAnsi="宋体"/>
                <w:kern w:val="0"/>
                <w:sz w:val="24"/>
              </w:rPr>
              <w:t>　4</w:t>
            </w:r>
          </w:p>
        </w:tc>
        <w:tc>
          <w:tcPr>
            <w:tcW w:w="1432"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0"/>
                <w:szCs w:val="20"/>
              </w:rPr>
            </w:pPr>
            <w:r>
              <w:rPr>
                <w:rFonts w:hint="eastAsia" w:ascii="宋体" w:hAnsi="宋体"/>
                <w:kern w:val="0"/>
                <w:sz w:val="20"/>
                <w:szCs w:val="20"/>
              </w:rPr>
              <w:t>由于未付款，该项目不涉及实际完成率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28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left"/>
              <w:rPr>
                <w:rFonts w:ascii="宋体" w:hAnsi="宋体"/>
                <w:kern w:val="0"/>
                <w:sz w:val="20"/>
                <w:szCs w:val="20"/>
              </w:rPr>
            </w:pPr>
            <w:r>
              <w:rPr>
                <w:rFonts w:hint="eastAsia" w:ascii="宋体" w:hAnsi="宋体"/>
                <w:kern w:val="0"/>
                <w:sz w:val="20"/>
                <w:szCs w:val="20"/>
              </w:rPr>
              <w:t>完成及时率（6分）</w:t>
            </w:r>
          </w:p>
        </w:tc>
        <w:tc>
          <w:tcPr>
            <w:tcW w:w="76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项目实际提前完成时间与计划完成时间的比率，用以反映和考核项目产出时效目标的实现程度。</w:t>
            </w:r>
          </w:p>
        </w:tc>
        <w:tc>
          <w:tcPr>
            <w:tcW w:w="14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完成及时率=[（计划完成时间-实际完成时间）/计划完成时间]×100%。（1--4季度各得1.5分）</w:t>
            </w:r>
          </w:p>
          <w:p>
            <w:pPr>
              <w:widowControl/>
              <w:jc w:val="left"/>
              <w:rPr>
                <w:rFonts w:ascii="宋体" w:hAnsi="宋体"/>
                <w:kern w:val="0"/>
                <w:sz w:val="20"/>
                <w:szCs w:val="20"/>
              </w:rPr>
            </w:pPr>
            <w:r>
              <w:rPr>
                <w:rFonts w:hint="eastAsia" w:ascii="宋体" w:hAnsi="宋体"/>
                <w:kern w:val="0"/>
                <w:sz w:val="20"/>
                <w:szCs w:val="20"/>
              </w:rPr>
              <w:t>实际完成时间：项目实施单位完成该项目实际所耗用的时间。</w:t>
            </w:r>
          </w:p>
          <w:p>
            <w:pPr>
              <w:widowControl/>
              <w:jc w:val="left"/>
              <w:rPr>
                <w:rFonts w:ascii="宋体" w:hAnsi="宋体"/>
                <w:kern w:val="0"/>
                <w:sz w:val="20"/>
                <w:szCs w:val="20"/>
              </w:rPr>
            </w:pPr>
            <w:r>
              <w:rPr>
                <w:rFonts w:hint="eastAsia" w:ascii="宋体" w:hAnsi="宋体"/>
                <w:kern w:val="0"/>
                <w:sz w:val="20"/>
                <w:szCs w:val="20"/>
              </w:rPr>
              <w:t>计划完成时间：按照项目实施计划或相关规定完成该项目所需的时间。</w:t>
            </w:r>
          </w:p>
        </w:tc>
        <w:tc>
          <w:tcPr>
            <w:tcW w:w="33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4"/>
              </w:rPr>
            </w:pPr>
            <w:r>
              <w:rPr>
                <w:rFonts w:hint="eastAsia" w:ascii="宋体" w:hAnsi="宋体"/>
                <w:kern w:val="0"/>
                <w:sz w:val="24"/>
              </w:rPr>
              <w:t>6</w:t>
            </w:r>
          </w:p>
        </w:tc>
        <w:tc>
          <w:tcPr>
            <w:tcW w:w="1432"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0"/>
                <w:szCs w:val="20"/>
              </w:rPr>
            </w:pPr>
            <w:r>
              <w:rPr>
                <w:rFonts w:hint="eastAsia" w:ascii="宋体" w:hAnsi="宋体"/>
                <w:kern w:val="0"/>
                <w:sz w:val="20"/>
                <w:szCs w:val="20"/>
              </w:rPr>
              <w:t>由于未付款，该项目不涉及完成及时率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28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left"/>
              <w:rPr>
                <w:rFonts w:ascii="宋体" w:hAnsi="宋体"/>
                <w:kern w:val="0"/>
                <w:sz w:val="20"/>
                <w:szCs w:val="20"/>
              </w:rPr>
            </w:pPr>
            <w:r>
              <w:rPr>
                <w:rFonts w:hint="eastAsia" w:ascii="宋体" w:hAnsi="宋体"/>
                <w:kern w:val="0"/>
                <w:sz w:val="20"/>
                <w:szCs w:val="20"/>
              </w:rPr>
              <w:t>质量达标率（5分）</w:t>
            </w:r>
          </w:p>
        </w:tc>
        <w:tc>
          <w:tcPr>
            <w:tcW w:w="76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项目完成的质量达标产出数与实际产出数的比率，用以反映和考核项目产出质量目标的实现程度。</w:t>
            </w:r>
          </w:p>
        </w:tc>
        <w:tc>
          <w:tcPr>
            <w:tcW w:w="14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质量达标率=（质量达标产出数/实际产出数）×100%。（得分=达标率*5分）</w:t>
            </w:r>
          </w:p>
          <w:p>
            <w:pPr>
              <w:widowControl/>
              <w:jc w:val="left"/>
              <w:rPr>
                <w:rFonts w:ascii="宋体" w:hAnsi="宋体"/>
                <w:kern w:val="0"/>
                <w:sz w:val="20"/>
                <w:szCs w:val="20"/>
              </w:rPr>
            </w:pPr>
            <w:r>
              <w:rPr>
                <w:rFonts w:hint="eastAsia" w:ascii="宋体" w:hAnsi="宋体"/>
                <w:kern w:val="0"/>
                <w:sz w:val="20"/>
                <w:szCs w:val="20"/>
              </w:rPr>
              <w:t>质量达标产出数：一定时期（本年度或项目期）内实际达到既定质量标准的产品或服务数量。</w:t>
            </w:r>
          </w:p>
          <w:p>
            <w:pPr>
              <w:widowControl/>
              <w:jc w:val="left"/>
              <w:rPr>
                <w:rFonts w:ascii="宋体" w:hAnsi="宋体"/>
                <w:kern w:val="0"/>
                <w:sz w:val="20"/>
                <w:szCs w:val="20"/>
              </w:rPr>
            </w:pPr>
            <w:r>
              <w:rPr>
                <w:rFonts w:hint="eastAsia" w:ascii="宋体" w:hAnsi="宋体"/>
                <w:spacing w:val="-10"/>
                <w:kern w:val="0"/>
                <w:sz w:val="20"/>
                <w:szCs w:val="20"/>
              </w:rPr>
              <w:t>既定质量标准是指项目实施单位设立绩效目标时依据计划标准、行业标准、历史标准或其他标准而设定的绩效指标值。</w:t>
            </w:r>
          </w:p>
        </w:tc>
        <w:tc>
          <w:tcPr>
            <w:tcW w:w="33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4"/>
              </w:rPr>
            </w:pPr>
            <w:r>
              <w:rPr>
                <w:rFonts w:hint="eastAsia" w:ascii="宋体" w:hAnsi="宋体"/>
                <w:kern w:val="0"/>
                <w:sz w:val="24"/>
              </w:rPr>
              <w:t>　5</w:t>
            </w:r>
          </w:p>
        </w:tc>
        <w:tc>
          <w:tcPr>
            <w:tcW w:w="1432"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0"/>
                <w:szCs w:val="20"/>
              </w:rPr>
            </w:pPr>
            <w:r>
              <w:rPr>
                <w:rFonts w:hint="eastAsia" w:ascii="宋体" w:hAnsi="宋体"/>
                <w:kern w:val="0"/>
                <w:sz w:val="20"/>
                <w:szCs w:val="20"/>
              </w:rPr>
              <w:t>由于未付款，该项目不涉及质量达标率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28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left"/>
              <w:rPr>
                <w:rFonts w:ascii="宋体" w:hAnsi="宋体"/>
                <w:kern w:val="0"/>
                <w:sz w:val="20"/>
                <w:szCs w:val="20"/>
              </w:rPr>
            </w:pPr>
            <w:r>
              <w:rPr>
                <w:rFonts w:hint="eastAsia" w:ascii="宋体" w:hAnsi="宋体"/>
                <w:kern w:val="0"/>
                <w:sz w:val="20"/>
                <w:szCs w:val="20"/>
              </w:rPr>
              <w:t>成本节约率（5分）</w:t>
            </w:r>
          </w:p>
        </w:tc>
        <w:tc>
          <w:tcPr>
            <w:tcW w:w="76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完成项目计划工作目标的实际节约成本与计划成本的比率，用以反映和考核项目的成本节约程度。</w:t>
            </w:r>
          </w:p>
        </w:tc>
        <w:tc>
          <w:tcPr>
            <w:tcW w:w="14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成本节约率=[（计划成本-实际成本）/计划成本]×100%。(节约的计5分,增加的按比例扣分)</w:t>
            </w:r>
          </w:p>
          <w:p>
            <w:pPr>
              <w:widowControl/>
              <w:jc w:val="left"/>
              <w:rPr>
                <w:rFonts w:ascii="宋体" w:hAnsi="宋体"/>
                <w:spacing w:val="-10"/>
                <w:kern w:val="0"/>
                <w:sz w:val="20"/>
                <w:szCs w:val="20"/>
              </w:rPr>
            </w:pPr>
            <w:r>
              <w:rPr>
                <w:rFonts w:hint="eastAsia" w:ascii="宋体" w:hAnsi="宋体"/>
                <w:spacing w:val="-10"/>
                <w:kern w:val="0"/>
                <w:sz w:val="20"/>
                <w:szCs w:val="20"/>
              </w:rPr>
              <w:t>实际成本：项目实施单位如期、保质、保量完成既定工作目标实际所耗费的支出。</w:t>
            </w:r>
          </w:p>
          <w:p>
            <w:pPr>
              <w:widowControl/>
              <w:jc w:val="left"/>
              <w:rPr>
                <w:rFonts w:ascii="宋体" w:hAnsi="宋体"/>
                <w:kern w:val="0"/>
                <w:sz w:val="20"/>
                <w:szCs w:val="20"/>
              </w:rPr>
            </w:pPr>
            <w:r>
              <w:rPr>
                <w:rFonts w:hint="eastAsia" w:ascii="宋体" w:hAnsi="宋体"/>
                <w:spacing w:val="-10"/>
                <w:kern w:val="0"/>
                <w:sz w:val="20"/>
                <w:szCs w:val="20"/>
              </w:rPr>
              <w:t>计划成本：项目实施单位为完成工作目标计划安排的支出，一般以项目预算为参考。</w:t>
            </w:r>
          </w:p>
        </w:tc>
        <w:tc>
          <w:tcPr>
            <w:tcW w:w="33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4"/>
              </w:rPr>
            </w:pPr>
            <w:r>
              <w:rPr>
                <w:rFonts w:hint="eastAsia" w:ascii="宋体" w:hAnsi="宋体"/>
                <w:kern w:val="0"/>
                <w:sz w:val="24"/>
              </w:rPr>
              <w:t>　5</w:t>
            </w:r>
          </w:p>
        </w:tc>
        <w:tc>
          <w:tcPr>
            <w:tcW w:w="1432"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0"/>
                <w:szCs w:val="20"/>
              </w:rPr>
            </w:pPr>
            <w:r>
              <w:rPr>
                <w:rFonts w:hint="eastAsia" w:ascii="宋体" w:hAnsi="宋体"/>
                <w:kern w:val="0"/>
                <w:sz w:val="20"/>
                <w:szCs w:val="20"/>
              </w:rPr>
              <w:t>由于未付款，该项目不涉及陈本节约率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89"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p>
            <w:pPr>
              <w:widowControl/>
              <w:jc w:val="center"/>
              <w:rPr>
                <w:rFonts w:ascii="宋体" w:hAnsi="宋体"/>
                <w:kern w:val="0"/>
                <w:sz w:val="20"/>
                <w:szCs w:val="20"/>
              </w:rPr>
            </w:pPr>
            <w:r>
              <w:rPr>
                <w:rFonts w:hint="eastAsia" w:ascii="宋体" w:hAnsi="宋体"/>
                <w:kern w:val="0"/>
                <w:sz w:val="20"/>
                <w:szCs w:val="20"/>
              </w:rPr>
              <w:t>效   果（30分）</w:t>
            </w:r>
          </w:p>
        </w:tc>
        <w:tc>
          <w:tcPr>
            <w:tcW w:w="362"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both"/>
              <w:rPr>
                <w:rFonts w:ascii="宋体" w:hAnsi="宋体"/>
                <w:kern w:val="0"/>
                <w:sz w:val="20"/>
                <w:szCs w:val="20"/>
              </w:rPr>
            </w:pPr>
            <w:r>
              <w:rPr>
                <w:rFonts w:hint="eastAsia" w:ascii="宋体" w:hAnsi="宋体"/>
                <w:kern w:val="0"/>
                <w:sz w:val="20"/>
                <w:szCs w:val="20"/>
              </w:rPr>
              <w:t>项目</w:t>
            </w:r>
          </w:p>
          <w:p>
            <w:pPr>
              <w:widowControl/>
              <w:ind w:left="0" w:leftChars="0" w:firstLine="0" w:firstLineChars="0"/>
              <w:jc w:val="both"/>
              <w:rPr>
                <w:rFonts w:ascii="宋体" w:hAnsi="宋体"/>
                <w:kern w:val="0"/>
                <w:sz w:val="20"/>
                <w:szCs w:val="20"/>
              </w:rPr>
            </w:pPr>
            <w:r>
              <w:rPr>
                <w:rFonts w:hint="eastAsia" w:ascii="宋体" w:hAnsi="宋体"/>
                <w:kern w:val="0"/>
                <w:sz w:val="20"/>
                <w:szCs w:val="20"/>
              </w:rPr>
              <w:t>效益（30分）</w:t>
            </w:r>
          </w:p>
        </w:tc>
        <w:tc>
          <w:tcPr>
            <w:tcW w:w="3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left"/>
              <w:rPr>
                <w:rFonts w:ascii="宋体" w:hAnsi="宋体"/>
                <w:kern w:val="0"/>
                <w:sz w:val="20"/>
                <w:szCs w:val="20"/>
              </w:rPr>
            </w:pPr>
            <w:r>
              <w:rPr>
                <w:rFonts w:hint="eastAsia" w:ascii="宋体" w:hAnsi="宋体"/>
                <w:kern w:val="0"/>
                <w:sz w:val="20"/>
                <w:szCs w:val="20"/>
              </w:rPr>
              <w:t>经济效益(5分）</w:t>
            </w:r>
          </w:p>
        </w:tc>
        <w:tc>
          <w:tcPr>
            <w:tcW w:w="76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spacing w:val="-10"/>
                <w:kern w:val="0"/>
                <w:sz w:val="20"/>
                <w:szCs w:val="20"/>
              </w:rPr>
            </w:pPr>
            <w:r>
              <w:rPr>
                <w:rFonts w:hint="eastAsia" w:ascii="宋体" w:hAnsi="宋体"/>
                <w:spacing w:val="-10"/>
                <w:kern w:val="0"/>
                <w:sz w:val="20"/>
                <w:szCs w:val="20"/>
              </w:rPr>
              <w:t>项目实施对经济发展所带来的直接或间接影响情况。</w:t>
            </w:r>
          </w:p>
        </w:tc>
        <w:tc>
          <w:tcPr>
            <w:tcW w:w="1450"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33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4"/>
              </w:rPr>
            </w:pPr>
            <w:r>
              <w:rPr>
                <w:rFonts w:hint="eastAsia" w:ascii="宋体" w:hAnsi="宋体"/>
                <w:kern w:val="0"/>
                <w:sz w:val="24"/>
              </w:rPr>
              <w:t>　4</w:t>
            </w:r>
          </w:p>
        </w:tc>
        <w:tc>
          <w:tcPr>
            <w:tcW w:w="1432"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0"/>
                <w:szCs w:val="20"/>
              </w:rPr>
            </w:pPr>
            <w:r>
              <w:rPr>
                <w:rFonts w:hint="eastAsia" w:ascii="宋体" w:hAnsi="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8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left"/>
              <w:rPr>
                <w:rFonts w:ascii="宋体" w:hAnsi="宋体"/>
                <w:kern w:val="0"/>
                <w:sz w:val="20"/>
                <w:szCs w:val="20"/>
              </w:rPr>
            </w:pPr>
            <w:r>
              <w:rPr>
                <w:rFonts w:hint="eastAsia" w:ascii="宋体" w:hAnsi="宋体"/>
                <w:kern w:val="0"/>
                <w:sz w:val="20"/>
                <w:szCs w:val="20"/>
              </w:rPr>
              <w:t>社会效益（5分）</w:t>
            </w:r>
          </w:p>
        </w:tc>
        <w:tc>
          <w:tcPr>
            <w:tcW w:w="76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spacing w:val="-10"/>
                <w:kern w:val="0"/>
                <w:sz w:val="20"/>
                <w:szCs w:val="20"/>
              </w:rPr>
            </w:pPr>
            <w:r>
              <w:rPr>
                <w:rFonts w:hint="eastAsia" w:ascii="宋体" w:hAnsi="宋体"/>
                <w:spacing w:val="-10"/>
                <w:kern w:val="0"/>
                <w:sz w:val="20"/>
                <w:szCs w:val="20"/>
              </w:rPr>
              <w:t>项目实施对社会发展所带来的直接或间接影响情况。</w:t>
            </w:r>
          </w:p>
        </w:tc>
        <w:tc>
          <w:tcPr>
            <w:tcW w:w="145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33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4"/>
              </w:rPr>
            </w:pPr>
            <w:r>
              <w:rPr>
                <w:rFonts w:hint="eastAsia" w:ascii="宋体" w:hAnsi="宋体"/>
                <w:kern w:val="0"/>
                <w:sz w:val="24"/>
              </w:rPr>
              <w:t>　4</w:t>
            </w:r>
          </w:p>
        </w:tc>
        <w:tc>
          <w:tcPr>
            <w:tcW w:w="1432"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0"/>
                <w:szCs w:val="20"/>
              </w:rPr>
            </w:pPr>
            <w:r>
              <w:rPr>
                <w:rFonts w:hint="eastAsia" w:ascii="宋体" w:hAnsi="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8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left"/>
              <w:rPr>
                <w:rFonts w:ascii="宋体" w:hAnsi="宋体"/>
                <w:kern w:val="0"/>
                <w:sz w:val="20"/>
                <w:szCs w:val="20"/>
              </w:rPr>
            </w:pPr>
            <w:r>
              <w:rPr>
                <w:rFonts w:hint="eastAsia" w:ascii="宋体" w:hAnsi="宋体"/>
                <w:kern w:val="0"/>
                <w:sz w:val="20"/>
                <w:szCs w:val="20"/>
              </w:rPr>
              <w:t>生态效益（5分）</w:t>
            </w:r>
          </w:p>
        </w:tc>
        <w:tc>
          <w:tcPr>
            <w:tcW w:w="76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spacing w:val="-10"/>
                <w:kern w:val="0"/>
                <w:sz w:val="20"/>
                <w:szCs w:val="20"/>
              </w:rPr>
            </w:pPr>
            <w:r>
              <w:rPr>
                <w:rFonts w:hint="eastAsia" w:ascii="宋体" w:hAnsi="宋体"/>
                <w:spacing w:val="-10"/>
                <w:kern w:val="0"/>
                <w:sz w:val="20"/>
                <w:szCs w:val="20"/>
              </w:rPr>
              <w:t>项目实施对生态环境所带来的直接或间接影响情况。</w:t>
            </w:r>
          </w:p>
        </w:tc>
        <w:tc>
          <w:tcPr>
            <w:tcW w:w="145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33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4</w:t>
            </w:r>
          </w:p>
        </w:tc>
        <w:tc>
          <w:tcPr>
            <w:tcW w:w="1432"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0"/>
                <w:szCs w:val="20"/>
              </w:rPr>
            </w:pPr>
            <w:r>
              <w:rPr>
                <w:rFonts w:hint="eastAsia" w:ascii="宋体" w:hAnsi="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8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left"/>
              <w:rPr>
                <w:rFonts w:ascii="宋体" w:hAnsi="宋体"/>
                <w:kern w:val="0"/>
                <w:sz w:val="20"/>
                <w:szCs w:val="20"/>
              </w:rPr>
            </w:pPr>
            <w:r>
              <w:rPr>
                <w:rFonts w:hint="eastAsia" w:ascii="宋体" w:hAnsi="宋体"/>
                <w:kern w:val="0"/>
                <w:sz w:val="20"/>
                <w:szCs w:val="20"/>
              </w:rPr>
              <w:t>可持续影响（5分）</w:t>
            </w:r>
          </w:p>
        </w:tc>
        <w:tc>
          <w:tcPr>
            <w:tcW w:w="76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项目后续运行及成效发挥的可持续影响情况。</w:t>
            </w:r>
          </w:p>
        </w:tc>
        <w:tc>
          <w:tcPr>
            <w:tcW w:w="145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33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4"/>
              </w:rPr>
            </w:pPr>
            <w:r>
              <w:rPr>
                <w:rFonts w:hint="eastAsia" w:ascii="宋体" w:hAnsi="宋体"/>
                <w:kern w:val="0"/>
                <w:sz w:val="24"/>
              </w:rPr>
              <w:t>　4</w:t>
            </w:r>
          </w:p>
        </w:tc>
        <w:tc>
          <w:tcPr>
            <w:tcW w:w="1432"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0"/>
                <w:szCs w:val="20"/>
              </w:rPr>
            </w:pPr>
            <w:r>
              <w:rPr>
                <w:rFonts w:hint="eastAsia" w:ascii="宋体" w:hAnsi="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89"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kern w:val="0"/>
                <w:sz w:val="20"/>
                <w:szCs w:val="20"/>
              </w:rPr>
            </w:pPr>
          </w:p>
        </w:tc>
        <w:tc>
          <w:tcPr>
            <w:tcW w:w="36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ind w:left="0" w:leftChars="0" w:firstLine="0" w:firstLineChars="0"/>
              <w:jc w:val="left"/>
              <w:rPr>
                <w:rFonts w:ascii="宋体" w:hAnsi="宋体"/>
                <w:spacing w:val="-10"/>
                <w:kern w:val="0"/>
                <w:sz w:val="20"/>
                <w:szCs w:val="20"/>
              </w:rPr>
            </w:pPr>
            <w:r>
              <w:rPr>
                <w:rFonts w:hint="eastAsia" w:ascii="宋体" w:hAnsi="宋体"/>
                <w:spacing w:val="-10"/>
                <w:kern w:val="0"/>
                <w:sz w:val="20"/>
                <w:szCs w:val="20"/>
              </w:rPr>
              <w:t>社会公众或服务对象满意度（10分）</w:t>
            </w:r>
          </w:p>
        </w:tc>
        <w:tc>
          <w:tcPr>
            <w:tcW w:w="76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社会公众或服务对象对项目实施效果的满意程度。</w:t>
            </w:r>
          </w:p>
        </w:tc>
        <w:tc>
          <w:tcPr>
            <w:tcW w:w="14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kern w:val="0"/>
                <w:sz w:val="20"/>
                <w:szCs w:val="20"/>
              </w:rPr>
            </w:pPr>
            <w:r>
              <w:rPr>
                <w:rFonts w:hint="eastAsia" w:ascii="宋体" w:hAnsi="宋体"/>
                <w:kern w:val="0"/>
                <w:sz w:val="20"/>
                <w:szCs w:val="20"/>
              </w:rPr>
              <w:t>社会公众或服务对象是指因该项目实施而受到影响的部门（单位）、群体或个人。一般采取社会调查的方式。（按收到的服务对象的满意率计算得分）</w:t>
            </w:r>
          </w:p>
        </w:tc>
        <w:tc>
          <w:tcPr>
            <w:tcW w:w="33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4"/>
              </w:rPr>
            </w:pPr>
            <w:r>
              <w:rPr>
                <w:rFonts w:hint="eastAsia" w:ascii="宋体" w:hAnsi="宋体"/>
                <w:kern w:val="0"/>
                <w:sz w:val="24"/>
              </w:rPr>
              <w:t>　8</w:t>
            </w:r>
          </w:p>
        </w:tc>
        <w:tc>
          <w:tcPr>
            <w:tcW w:w="1432"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0"/>
                <w:szCs w:val="20"/>
              </w:rPr>
            </w:pPr>
            <w:r>
              <w:rPr>
                <w:rFonts w:hint="eastAsia" w:ascii="宋体" w:hAnsi="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3230" w:type="pct"/>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kern w:val="0"/>
                <w:sz w:val="20"/>
                <w:szCs w:val="20"/>
              </w:rPr>
            </w:pPr>
            <w:r>
              <w:rPr>
                <w:rFonts w:hint="eastAsia" w:ascii="宋体" w:hAnsi="宋体"/>
                <w:kern w:val="0"/>
                <w:sz w:val="20"/>
                <w:szCs w:val="20"/>
              </w:rPr>
              <w:t>合计</w:t>
            </w:r>
          </w:p>
        </w:tc>
        <w:tc>
          <w:tcPr>
            <w:tcW w:w="33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kern w:val="0"/>
                <w:sz w:val="24"/>
                <w:lang w:val="en-US" w:eastAsia="zh-CN"/>
              </w:rPr>
            </w:pPr>
            <w:r>
              <w:rPr>
                <w:rFonts w:hint="eastAsia" w:ascii="宋体" w:hAnsi="宋体"/>
                <w:kern w:val="0"/>
                <w:sz w:val="24"/>
              </w:rPr>
              <w:t>　</w:t>
            </w:r>
            <w:r>
              <w:rPr>
                <w:rFonts w:hint="eastAsia" w:ascii="宋体" w:hAnsi="宋体"/>
                <w:kern w:val="0"/>
                <w:sz w:val="24"/>
                <w:lang w:val="en-US" w:eastAsia="zh-CN"/>
              </w:rPr>
              <w:t>84</w:t>
            </w:r>
          </w:p>
        </w:tc>
        <w:tc>
          <w:tcPr>
            <w:tcW w:w="1432"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　</w:t>
            </w:r>
          </w:p>
        </w:tc>
      </w:tr>
    </w:tbl>
    <w:p/>
    <w:p>
      <w:pPr>
        <w:ind w:left="0" w:leftChars="0" w:firstLine="0" w:firstLineChars="0"/>
      </w:pPr>
    </w:p>
    <w:p>
      <w:pPr>
        <w:spacing w:line="620" w:lineRule="exact"/>
        <w:ind w:left="0" w:leftChars="0" w:firstLine="0" w:firstLineChars="0"/>
        <w:jc w:val="left"/>
        <w:rPr>
          <w:rFonts w:hint="eastAsia" w:ascii="方正黑体简体" w:hAnsi="宋体" w:eastAsia="方正黑体简体"/>
          <w:sz w:val="33"/>
          <w:szCs w:val="33"/>
        </w:rPr>
      </w:pPr>
      <w:r>
        <w:rPr>
          <w:rFonts w:hint="eastAsia" w:ascii="方正黑体简体" w:hAnsi="宋体" w:eastAsia="方正黑体简体"/>
          <w:sz w:val="33"/>
          <w:szCs w:val="33"/>
        </w:rPr>
        <w:t>附件2</w:t>
      </w:r>
    </w:p>
    <w:p>
      <w:pPr>
        <w:pStyle w:val="2"/>
        <w:rPr>
          <w:rFonts w:hint="eastAsia"/>
        </w:rPr>
      </w:pPr>
    </w:p>
    <w:p>
      <w:pPr>
        <w:spacing w:line="620" w:lineRule="exact"/>
        <w:jc w:val="center"/>
        <w:rPr>
          <w:rFonts w:ascii="宋体" w:hAnsi="宋体" w:eastAsia="方正小标宋简体"/>
          <w:color w:val="000000"/>
          <w:spacing w:val="-12"/>
          <w:kern w:val="0"/>
          <w:sz w:val="40"/>
          <w:szCs w:val="40"/>
        </w:rPr>
      </w:pPr>
      <w:r>
        <w:rPr>
          <w:rFonts w:hint="eastAsia" w:ascii="宋体" w:hAnsi="宋体" w:eastAsia="方正小标宋简体"/>
          <w:color w:val="000000"/>
          <w:spacing w:val="-12"/>
          <w:kern w:val="0"/>
          <w:sz w:val="40"/>
          <w:szCs w:val="40"/>
        </w:rPr>
        <w:t>2022年度雁江区项目支出绩效目标完成情况表</w:t>
      </w:r>
    </w:p>
    <w:p>
      <w:pPr>
        <w:pStyle w:val="2"/>
        <w:rPr>
          <w:rFonts w:ascii="宋体" w:hAnsi="宋体"/>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780"/>
        <w:gridCol w:w="280"/>
        <w:gridCol w:w="747"/>
        <w:gridCol w:w="1150"/>
        <w:gridCol w:w="1447"/>
        <w:gridCol w:w="1875"/>
        <w:gridCol w:w="116"/>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60" w:type="pct"/>
            <w:tcBorders>
              <w:top w:val="single" w:color="auto" w:sz="4" w:space="0"/>
              <w:left w:val="single" w:color="auto" w:sz="4" w:space="0"/>
              <w:bottom w:val="single" w:color="auto" w:sz="4" w:space="0"/>
              <w:right w:val="single" w:color="auto" w:sz="4" w:space="0"/>
            </w:tcBorders>
            <w:noWrap/>
            <w:textDirection w:val="tbLrV"/>
            <w:vAlign w:val="center"/>
          </w:tcPr>
          <w:p>
            <w:pPr>
              <w:widowControl/>
              <w:spacing w:line="240" w:lineRule="exact"/>
              <w:ind w:left="113" w:right="113" w:firstLine="1440"/>
              <w:jc w:val="center"/>
              <w:rPr>
                <w:rFonts w:ascii="宋体" w:hAnsi="宋体"/>
                <w:color w:val="000000"/>
                <w:kern w:val="0"/>
                <w:sz w:val="18"/>
                <w:szCs w:val="18"/>
              </w:rPr>
            </w:pPr>
            <w:r>
              <w:rPr>
                <w:rFonts w:hint="eastAsia" w:ascii="宋体" w:hAnsi="宋体"/>
                <w:color w:val="000000"/>
                <w:kern w:val="0"/>
                <w:sz w:val="18"/>
                <w:szCs w:val="18"/>
              </w:rPr>
              <w:t>项目</w:t>
            </w:r>
          </w:p>
          <w:p>
            <w:pPr>
              <w:widowControl/>
              <w:spacing w:line="240" w:lineRule="exact"/>
              <w:ind w:left="113" w:right="113" w:firstLine="1440"/>
              <w:jc w:val="center"/>
              <w:rPr>
                <w:rFonts w:ascii="宋体" w:hAnsi="宋体"/>
                <w:color w:val="000000"/>
                <w:kern w:val="0"/>
                <w:sz w:val="18"/>
                <w:szCs w:val="18"/>
              </w:rPr>
            </w:pPr>
            <w:r>
              <w:rPr>
                <w:rFonts w:hint="eastAsia" w:ascii="宋体" w:hAnsi="宋体"/>
                <w:color w:val="000000"/>
                <w:kern w:val="0"/>
                <w:sz w:val="18"/>
                <w:szCs w:val="18"/>
              </w:rPr>
              <w:t>名称</w:t>
            </w:r>
          </w:p>
        </w:tc>
        <w:tc>
          <w:tcPr>
            <w:tcW w:w="4639" w:type="pct"/>
            <w:gridSpan w:val="8"/>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现场监控及百日安全检查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60" w:type="pct"/>
            <w:vMerge w:val="restart"/>
            <w:tcBorders>
              <w:top w:val="single" w:color="auto" w:sz="4" w:space="0"/>
              <w:left w:val="single" w:color="auto" w:sz="4" w:space="0"/>
              <w:bottom w:val="single" w:color="auto" w:sz="4" w:space="0"/>
              <w:right w:val="single" w:color="auto" w:sz="4" w:space="0"/>
            </w:tcBorders>
            <w:noWrap/>
            <w:textDirection w:val="tbLrV"/>
            <w:vAlign w:val="center"/>
          </w:tcPr>
          <w:p>
            <w:pPr>
              <w:widowControl/>
              <w:spacing w:line="240" w:lineRule="exact"/>
              <w:ind w:left="113" w:right="113" w:firstLine="1440"/>
              <w:jc w:val="center"/>
              <w:rPr>
                <w:rFonts w:ascii="宋体" w:hAnsi="宋体"/>
                <w:color w:val="000000"/>
                <w:kern w:val="0"/>
                <w:sz w:val="18"/>
                <w:szCs w:val="18"/>
              </w:rPr>
            </w:pPr>
            <w:r>
              <w:rPr>
                <w:rFonts w:hint="eastAsia" w:ascii="宋体" w:hAnsi="宋体"/>
                <w:color w:val="000000"/>
                <w:kern w:val="0"/>
                <w:sz w:val="18"/>
                <w:szCs w:val="18"/>
              </w:rPr>
              <w:t>项目</w:t>
            </w:r>
          </w:p>
          <w:p>
            <w:pPr>
              <w:widowControl/>
              <w:spacing w:line="240" w:lineRule="exact"/>
              <w:ind w:left="113" w:right="113" w:firstLine="1440"/>
              <w:jc w:val="center"/>
              <w:rPr>
                <w:rFonts w:ascii="宋体" w:hAnsi="宋体"/>
                <w:color w:val="000000"/>
                <w:kern w:val="0"/>
                <w:sz w:val="18"/>
                <w:szCs w:val="18"/>
              </w:rPr>
            </w:pPr>
            <w:r>
              <w:rPr>
                <w:rFonts w:hint="eastAsia" w:ascii="宋体" w:hAnsi="宋体"/>
                <w:color w:val="000000"/>
                <w:kern w:val="0"/>
                <w:sz w:val="18"/>
                <w:szCs w:val="18"/>
              </w:rPr>
              <w:t>类型</w:t>
            </w:r>
          </w:p>
        </w:tc>
        <w:tc>
          <w:tcPr>
            <w:tcW w:w="621"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产业发展</w:t>
            </w:r>
          </w:p>
        </w:tc>
        <w:tc>
          <w:tcPr>
            <w:tcW w:w="438" w:type="pct"/>
            <w:tcBorders>
              <w:top w:val="single" w:color="auto" w:sz="4" w:space="0"/>
              <w:left w:val="single" w:color="auto" w:sz="4" w:space="0"/>
              <w:bottom w:val="single" w:color="auto" w:sz="4" w:space="0"/>
              <w:right w:val="single" w:color="auto" w:sz="4" w:space="0"/>
            </w:tcBorders>
            <w:noWrap/>
            <w:textDirection w:val="tbLrV"/>
            <w:vAlign w:val="center"/>
          </w:tcPr>
          <w:p>
            <w:pPr>
              <w:widowControl/>
              <w:spacing w:line="240" w:lineRule="exact"/>
              <w:ind w:left="113" w:right="113" w:firstLine="1440"/>
              <w:jc w:val="center"/>
              <w:rPr>
                <w:rFonts w:ascii="宋体" w:hAnsi="宋体"/>
                <w:color w:val="000000"/>
                <w:kern w:val="0"/>
                <w:sz w:val="18"/>
                <w:szCs w:val="18"/>
              </w:rPr>
            </w:pPr>
            <w:r>
              <w:rPr>
                <w:rFonts w:hint="eastAsia" w:ascii="宋体" w:hAnsi="宋体"/>
                <w:color w:val="000000"/>
                <w:kern w:val="0"/>
                <w:sz w:val="18"/>
                <w:szCs w:val="18"/>
              </w:rPr>
              <w:t>民生</w:t>
            </w:r>
          </w:p>
          <w:p>
            <w:pPr>
              <w:widowControl/>
              <w:spacing w:line="240" w:lineRule="exact"/>
              <w:ind w:left="113" w:right="113" w:firstLine="1440"/>
              <w:jc w:val="center"/>
              <w:rPr>
                <w:rFonts w:ascii="宋体" w:hAnsi="宋体"/>
                <w:color w:val="000000"/>
                <w:kern w:val="0"/>
                <w:sz w:val="18"/>
                <w:szCs w:val="18"/>
              </w:rPr>
            </w:pPr>
            <w:r>
              <w:rPr>
                <w:rFonts w:hint="eastAsia" w:ascii="宋体" w:hAnsi="宋体"/>
                <w:color w:val="000000"/>
                <w:kern w:val="0"/>
                <w:sz w:val="18"/>
                <w:szCs w:val="18"/>
              </w:rPr>
              <w:t>保障</w:t>
            </w:r>
          </w:p>
        </w:tc>
        <w:tc>
          <w:tcPr>
            <w:tcW w:w="1523"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基础设施</w:t>
            </w:r>
          </w:p>
        </w:tc>
        <w:tc>
          <w:tcPr>
            <w:tcW w:w="2055"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21"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w:t>
            </w:r>
          </w:p>
        </w:tc>
        <w:tc>
          <w:tcPr>
            <w:tcW w:w="438" w:type="pc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rPr>
            </w:pPr>
            <w:r>
              <w:rPr>
                <w:rFonts w:hint="eastAsia" w:ascii="宋体" w:hAnsi="宋体"/>
                <w:color w:val="000000"/>
                <w:kern w:val="0"/>
                <w:sz w:val="18"/>
                <w:szCs w:val="18"/>
              </w:rPr>
              <w:t>□</w:t>
            </w:r>
          </w:p>
        </w:tc>
        <w:tc>
          <w:tcPr>
            <w:tcW w:w="1523" w:type="pct"/>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rPr>
            </w:pPr>
            <w:r>
              <w:rPr>
                <w:rFonts w:hint="eastAsia" w:ascii="宋体" w:hAnsi="宋体"/>
                <w:color w:val="000000"/>
                <w:kern w:val="0"/>
                <w:sz w:val="18"/>
                <w:szCs w:val="18"/>
              </w:rPr>
              <w:t>□</w:t>
            </w:r>
          </w:p>
        </w:tc>
        <w:tc>
          <w:tcPr>
            <w:tcW w:w="2055" w:type="pct"/>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rPr>
            </w:pPr>
            <w:r>
              <w:rPr>
                <w:rFonts w:hint="eastAsia"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部门（单位）名称</w:t>
            </w:r>
          </w:p>
        </w:tc>
        <w:tc>
          <w:tcPr>
            <w:tcW w:w="2583" w:type="pct"/>
            <w:gridSpan w:val="5"/>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sz w:val="18"/>
              </w:rPr>
              <w:t>资阳市雁江区</w:t>
            </w:r>
            <w:r>
              <w:rPr>
                <w:rFonts w:hint="eastAsia"/>
                <w:sz w:val="18"/>
                <w:lang w:eastAsia="zh-CN"/>
              </w:rPr>
              <w:t>渡口管理所</w:t>
            </w:r>
            <w:r>
              <w:rPr>
                <w:rFonts w:hint="eastAsia" w:ascii="宋体" w:hAnsi="宋体"/>
                <w:color w:val="000000"/>
                <w:kern w:val="0"/>
                <w:sz w:val="18"/>
                <w:szCs w:val="18"/>
              </w:rPr>
              <w:t>　</w:t>
            </w:r>
          </w:p>
        </w:tc>
        <w:tc>
          <w:tcPr>
            <w:tcW w:w="116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预算单位编码</w:t>
            </w:r>
          </w:p>
        </w:tc>
        <w:tc>
          <w:tcPr>
            <w:tcW w:w="88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　25</w:t>
            </w:r>
            <w:r>
              <w:rPr>
                <w:rFonts w:hint="eastAsia" w:ascii="宋体" w:hAnsi="宋体"/>
                <w:color w:val="000000"/>
                <w:kern w:val="0"/>
                <w:sz w:val="18"/>
                <w:szCs w:val="18"/>
                <w:lang w:val="en-US" w:eastAsia="zh-CN"/>
              </w:rPr>
              <w:t>7001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60"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预算执行情况</w:t>
            </w:r>
          </w:p>
        </w:tc>
        <w:tc>
          <w:tcPr>
            <w:tcW w:w="621"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项目</w:t>
            </w:r>
          </w:p>
        </w:tc>
        <w:tc>
          <w:tcPr>
            <w:tcW w:w="43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预算额(百元)</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执行额(百元)</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当年结转结余额(百元)</w:t>
            </w:r>
          </w:p>
        </w:tc>
        <w:tc>
          <w:tcPr>
            <w:tcW w:w="116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结转结余率%</w:t>
            </w:r>
          </w:p>
        </w:tc>
        <w:tc>
          <w:tcPr>
            <w:tcW w:w="88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21"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合   计</w:t>
            </w:r>
          </w:p>
        </w:tc>
        <w:tc>
          <w:tcPr>
            <w:tcW w:w="43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　</w:t>
            </w:r>
            <w:r>
              <w:rPr>
                <w:rFonts w:hint="eastAsia" w:ascii="宋体" w:hAnsi="宋体"/>
                <w:color w:val="000000"/>
                <w:kern w:val="0"/>
                <w:sz w:val="18"/>
                <w:szCs w:val="18"/>
                <w:lang w:val="en-US" w:eastAsia="zh-CN"/>
              </w:rPr>
              <w:t>300</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both"/>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　</w:t>
            </w:r>
            <w:r>
              <w:rPr>
                <w:rFonts w:hint="eastAsia" w:ascii="宋体" w:hAnsi="宋体"/>
                <w:color w:val="000000"/>
                <w:kern w:val="0"/>
                <w:sz w:val="18"/>
                <w:szCs w:val="18"/>
                <w:lang w:val="en-US" w:eastAsia="zh-CN"/>
              </w:rPr>
              <w:t>300</w:t>
            </w:r>
          </w:p>
        </w:tc>
        <w:tc>
          <w:tcPr>
            <w:tcW w:w="116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　</w:t>
            </w:r>
            <w:r>
              <w:rPr>
                <w:rFonts w:hint="eastAsia" w:ascii="宋体" w:hAnsi="宋体"/>
                <w:color w:val="000000"/>
                <w:kern w:val="0"/>
                <w:sz w:val="18"/>
                <w:szCs w:val="18"/>
                <w:lang w:val="en-US" w:eastAsia="zh-CN"/>
              </w:rPr>
              <w:t xml:space="preserve">     100%</w:t>
            </w:r>
          </w:p>
        </w:tc>
        <w:tc>
          <w:tcPr>
            <w:tcW w:w="88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21"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财政拨款</w:t>
            </w:r>
          </w:p>
        </w:tc>
        <w:tc>
          <w:tcPr>
            <w:tcW w:w="43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300</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firstLine="360" w:firstLineChars="200"/>
              <w:jc w:val="left"/>
              <w:rPr>
                <w:rFonts w:ascii="宋体" w:hAnsi="宋体"/>
                <w:color w:val="000000"/>
                <w:kern w:val="0"/>
                <w:sz w:val="18"/>
                <w:szCs w:val="18"/>
              </w:rPr>
            </w:pPr>
            <w:r>
              <w:rPr>
                <w:rFonts w:hint="eastAsia" w:ascii="宋体" w:hAnsi="宋体"/>
                <w:color w:val="000000"/>
                <w:kern w:val="0"/>
                <w:sz w:val="18"/>
                <w:szCs w:val="18"/>
              </w:rPr>
              <w:t>0</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firstLine="180" w:firstLineChars="100"/>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300</w:t>
            </w:r>
          </w:p>
        </w:tc>
        <w:tc>
          <w:tcPr>
            <w:tcW w:w="116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　</w:t>
            </w:r>
            <w:r>
              <w:rPr>
                <w:rFonts w:hint="eastAsia" w:ascii="宋体" w:hAnsi="宋体"/>
                <w:color w:val="000000"/>
                <w:kern w:val="0"/>
                <w:sz w:val="18"/>
                <w:szCs w:val="18"/>
                <w:lang w:val="en-US" w:eastAsia="zh-CN"/>
              </w:rPr>
              <w:t xml:space="preserve">     100%</w:t>
            </w:r>
          </w:p>
        </w:tc>
        <w:tc>
          <w:tcPr>
            <w:tcW w:w="88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21"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其他资金</w:t>
            </w:r>
          </w:p>
        </w:tc>
        <w:tc>
          <w:tcPr>
            <w:tcW w:w="43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116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8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360"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财政拨款结构</w:t>
            </w:r>
          </w:p>
        </w:tc>
        <w:tc>
          <w:tcPr>
            <w:tcW w:w="621"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both"/>
              <w:rPr>
                <w:rFonts w:ascii="宋体" w:hAnsi="宋体"/>
                <w:color w:val="000000"/>
                <w:kern w:val="0"/>
                <w:sz w:val="18"/>
                <w:szCs w:val="18"/>
              </w:rPr>
            </w:pPr>
            <w:r>
              <w:rPr>
                <w:rFonts w:hint="eastAsia" w:ascii="宋体" w:hAnsi="宋体"/>
                <w:color w:val="000000"/>
                <w:kern w:val="0"/>
                <w:sz w:val="18"/>
                <w:szCs w:val="18"/>
              </w:rPr>
              <w:t>项目</w:t>
            </w:r>
          </w:p>
        </w:tc>
        <w:tc>
          <w:tcPr>
            <w:tcW w:w="43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合计</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一般公共预算安排</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政府性基金预算安排</w:t>
            </w:r>
          </w:p>
        </w:tc>
        <w:tc>
          <w:tcPr>
            <w:tcW w:w="116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国有资本经营预算安排</w:t>
            </w:r>
          </w:p>
        </w:tc>
        <w:tc>
          <w:tcPr>
            <w:tcW w:w="88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21"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预算额</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(百元)</w:t>
            </w:r>
          </w:p>
        </w:tc>
        <w:tc>
          <w:tcPr>
            <w:tcW w:w="43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300</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　</w:t>
            </w:r>
            <w:r>
              <w:rPr>
                <w:rFonts w:hint="eastAsia" w:ascii="宋体" w:hAnsi="宋体"/>
                <w:color w:val="000000"/>
                <w:kern w:val="0"/>
                <w:sz w:val="18"/>
                <w:szCs w:val="18"/>
                <w:lang w:val="en-US" w:eastAsia="zh-CN"/>
              </w:rPr>
              <w:t>300</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116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8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21"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执行额</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(百元)</w:t>
            </w:r>
          </w:p>
        </w:tc>
        <w:tc>
          <w:tcPr>
            <w:tcW w:w="43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0</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0</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116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8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21"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当年结转结余额(百元)</w:t>
            </w:r>
          </w:p>
        </w:tc>
        <w:tc>
          <w:tcPr>
            <w:tcW w:w="43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116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8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21"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结转结余率%</w:t>
            </w:r>
          </w:p>
        </w:tc>
        <w:tc>
          <w:tcPr>
            <w:tcW w:w="43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116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8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21"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结转结余变动率%</w:t>
            </w:r>
          </w:p>
        </w:tc>
        <w:tc>
          <w:tcPr>
            <w:tcW w:w="43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116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8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360"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年度总体目标</w:t>
            </w:r>
          </w:p>
        </w:tc>
        <w:tc>
          <w:tcPr>
            <w:tcW w:w="1060"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预算总体目标</w:t>
            </w:r>
          </w:p>
        </w:tc>
        <w:tc>
          <w:tcPr>
            <w:tcW w:w="1523"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预算总体目标执行结果</w:t>
            </w:r>
          </w:p>
        </w:tc>
        <w:tc>
          <w:tcPr>
            <w:tcW w:w="2055"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1060"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color w:val="000000"/>
                <w:kern w:val="0"/>
                <w:sz w:val="18"/>
                <w:szCs w:val="18"/>
              </w:rPr>
            </w:pPr>
            <w:r>
              <w:rPr>
                <w:rFonts w:hint="eastAsia" w:ascii="宋体" w:hAnsi="宋体"/>
                <w:color w:val="000000"/>
                <w:kern w:val="0"/>
                <w:sz w:val="18"/>
                <w:szCs w:val="18"/>
              </w:rPr>
              <w:t>2022年计划使用财政预算资金3万来开展现场监控工作，对雁江区辖区内渡口进行现场监控及巡查，渡口渡船安全检查、隐患排查，增强船主、船员和安全员的安全意识、服务意识和环保意识，加强旅客疏导和疫情防控。利用安全生产月（6月）集中开展安全教育，安全宣传，安全培训，保护群众生命财产安全，防范发生安全事故。使用财政预算资金3万来开展百日安全检查工作，进行安全宣传教育，严禁冒烟航行、夜航，打击违法行为，加强渡运秩序管理整治，减少安全事故的发生。</w:t>
            </w:r>
          </w:p>
          <w:p>
            <w:pPr>
              <w:widowControl/>
              <w:spacing w:line="240" w:lineRule="exact"/>
              <w:jc w:val="left"/>
              <w:rPr>
                <w:rFonts w:hint="eastAsia" w:ascii="宋体" w:hAnsi="宋体"/>
                <w:color w:val="000000"/>
                <w:kern w:val="0"/>
                <w:sz w:val="18"/>
                <w:szCs w:val="18"/>
              </w:rPr>
            </w:pPr>
          </w:p>
        </w:tc>
        <w:tc>
          <w:tcPr>
            <w:tcW w:w="1523"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color w:val="000000"/>
                <w:kern w:val="0"/>
                <w:sz w:val="18"/>
                <w:szCs w:val="18"/>
              </w:rPr>
            </w:pPr>
            <w:r>
              <w:rPr>
                <w:rFonts w:hint="eastAsia" w:ascii="宋体" w:hAnsi="宋体"/>
                <w:color w:val="000000"/>
                <w:kern w:val="0"/>
                <w:sz w:val="18"/>
                <w:szCs w:val="18"/>
                <w:lang w:eastAsia="zh-CN"/>
              </w:rPr>
              <w:t>已对</w:t>
            </w:r>
            <w:r>
              <w:rPr>
                <w:rFonts w:hint="eastAsia" w:ascii="宋体" w:hAnsi="宋体"/>
                <w:color w:val="000000"/>
                <w:kern w:val="0"/>
                <w:sz w:val="18"/>
                <w:szCs w:val="18"/>
              </w:rPr>
              <w:t>雁江区辖区内渡口进行现场监控及巡查，渡口渡船安全检查、隐患排查，增强船主、船员和安全员的安全意识、服务意识和环保意识，加强旅客疏导和疫情防控。利用安全生产月（6月）集中开展安全教育，安全宣传，安全培训，保护群众生命财产安全，防范发生安全事故。展百日安全检查工作，进行安全宣传教育，严禁冒烟航行、夜航，打击违法行为，加强渡运秩序管理整治，减少安全事故的发生。</w:t>
            </w:r>
          </w:p>
          <w:p>
            <w:pPr>
              <w:widowControl/>
              <w:spacing w:line="240" w:lineRule="exact"/>
              <w:jc w:val="center"/>
              <w:rPr>
                <w:rFonts w:hint="eastAsia" w:ascii="宋体" w:hAnsi="宋体" w:eastAsia="宋体"/>
                <w:color w:val="000000"/>
                <w:kern w:val="0"/>
                <w:sz w:val="18"/>
                <w:szCs w:val="18"/>
                <w:lang w:eastAsia="zh-CN"/>
              </w:rPr>
            </w:pPr>
          </w:p>
        </w:tc>
        <w:tc>
          <w:tcPr>
            <w:tcW w:w="2055"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eastAsia="zh-CN"/>
              </w:rPr>
              <w:t>无重大偏差</w:t>
            </w: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60"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年度绩效指标</w:t>
            </w:r>
          </w:p>
        </w:tc>
        <w:tc>
          <w:tcPr>
            <w:tcW w:w="45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一级</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指标</w:t>
            </w:r>
          </w:p>
        </w:tc>
        <w:tc>
          <w:tcPr>
            <w:tcW w:w="60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二级指标</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三级</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指标</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预算指标值(包含数字及文字描述)</w:t>
            </w:r>
          </w:p>
        </w:tc>
        <w:tc>
          <w:tcPr>
            <w:tcW w:w="110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预算指标值执行结果(包含数字及文字描述)</w:t>
            </w:r>
          </w:p>
        </w:tc>
        <w:tc>
          <w:tcPr>
            <w:tcW w:w="95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457"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项目</w:t>
            </w:r>
          </w:p>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完成</w:t>
            </w:r>
          </w:p>
        </w:tc>
        <w:tc>
          <w:tcPr>
            <w:tcW w:w="602"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数量</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指标</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指标1:</w:t>
            </w:r>
          </w:p>
        </w:tc>
        <w:tc>
          <w:tcPr>
            <w:tcW w:w="848" w:type="pct"/>
            <w:tcBorders>
              <w:top w:val="single" w:color="auto" w:sz="4" w:space="0"/>
              <w:left w:val="single" w:color="auto" w:sz="4" w:space="0"/>
              <w:bottom w:val="single" w:color="auto" w:sz="4" w:space="0"/>
              <w:right w:val="single" w:color="auto" w:sz="4" w:space="0"/>
            </w:tcBorders>
            <w:noWrap/>
            <w:vAlign w:val="top"/>
          </w:tcPr>
          <w:p>
            <w:pPr>
              <w:pStyle w:val="31"/>
              <w:spacing w:before="1" w:beforeAutospacing="0" w:after="0" w:afterAutospacing="0"/>
              <w:ind w:left="107"/>
            </w:pPr>
            <w:r>
              <w:rPr>
                <w:rFonts w:hint="eastAsia"/>
                <w:sz w:val="18"/>
                <w:szCs w:val="18"/>
              </w:rPr>
              <w:t>百日安全检查派出人次≥40</w:t>
            </w:r>
            <w:r>
              <w:rPr>
                <w:rFonts w:hint="eastAsia"/>
                <w:sz w:val="18"/>
                <w:szCs w:val="18"/>
                <w:lang w:eastAsia="zh-CN"/>
              </w:rPr>
              <w:t>人次</w:t>
            </w:r>
          </w:p>
        </w:tc>
        <w:tc>
          <w:tcPr>
            <w:tcW w:w="1100" w:type="pct"/>
            <w:tcBorders>
              <w:top w:val="single" w:color="auto" w:sz="4" w:space="0"/>
              <w:left w:val="single" w:color="auto" w:sz="4" w:space="0"/>
              <w:bottom w:val="single" w:color="auto" w:sz="4" w:space="0"/>
              <w:right w:val="single" w:color="auto" w:sz="4" w:space="0"/>
            </w:tcBorders>
            <w:noWrap/>
            <w:vAlign w:val="top"/>
          </w:tcPr>
          <w:p>
            <w:pPr>
              <w:pStyle w:val="31"/>
              <w:spacing w:before="1" w:beforeAutospacing="0" w:after="0" w:afterAutospacing="0"/>
              <w:ind w:left="107"/>
              <w:rPr>
                <w:rFonts w:hint="default"/>
                <w:sz w:val="18"/>
                <w:szCs w:val="18"/>
                <w:lang w:val="en-US" w:eastAsia="zh-CN"/>
              </w:rPr>
            </w:pPr>
            <w:r>
              <w:rPr>
                <w:rFonts w:hint="eastAsia"/>
                <w:sz w:val="18"/>
                <w:szCs w:val="18"/>
                <w:lang w:eastAsia="zh-CN"/>
              </w:rPr>
              <w:t>派出人次</w:t>
            </w:r>
            <w:r>
              <w:rPr>
                <w:rFonts w:hint="eastAsia"/>
                <w:sz w:val="18"/>
                <w:szCs w:val="18"/>
                <w:lang w:val="en-US" w:eastAsia="zh-CN"/>
              </w:rPr>
              <w:t>50次</w:t>
            </w:r>
          </w:p>
        </w:tc>
        <w:tc>
          <w:tcPr>
            <w:tcW w:w="955" w:type="pct"/>
            <w:gridSpan w:val="2"/>
            <w:tcBorders>
              <w:top w:val="single" w:color="auto" w:sz="4" w:space="0"/>
              <w:left w:val="single" w:color="auto" w:sz="4" w:space="0"/>
              <w:bottom w:val="single" w:color="auto" w:sz="4" w:space="0"/>
              <w:right w:val="single" w:color="auto" w:sz="4" w:space="0"/>
            </w:tcBorders>
            <w:noWrap/>
            <w:vAlign w:val="top"/>
          </w:tcPr>
          <w:p>
            <w:pPr>
              <w:pStyle w:val="31"/>
              <w:spacing w:before="0" w:beforeAutospacing="0" w:after="0" w:afterAutospacing="0"/>
              <w:rPr>
                <w:rFonts w:hint="eastAsia"/>
              </w:rPr>
            </w:pPr>
            <w:r>
              <w:rPr>
                <w:rFonts w:hint="eastAsia"/>
                <w:sz w:val="18"/>
                <w:szCs w:val="18"/>
              </w:rPr>
              <w:t>超额完成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4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02"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color w:val="000000"/>
                <w:kern w:val="0"/>
                <w:sz w:val="18"/>
                <w:szCs w:val="18"/>
              </w:rPr>
            </w:pPr>
            <w:r>
              <w:rPr>
                <w:rFonts w:hint="eastAsia" w:ascii="宋体" w:hAnsi="宋体"/>
                <w:color w:val="000000"/>
                <w:kern w:val="0"/>
                <w:sz w:val="18"/>
                <w:szCs w:val="18"/>
              </w:rPr>
              <w:t>指标</w:t>
            </w:r>
            <w:r>
              <w:rPr>
                <w:rFonts w:hint="eastAsia" w:ascii="宋体" w:hAnsi="宋体"/>
                <w:color w:val="000000"/>
                <w:kern w:val="0"/>
                <w:sz w:val="18"/>
                <w:szCs w:val="18"/>
                <w:lang w:val="en-US" w:eastAsia="zh-CN"/>
              </w:rPr>
              <w:t>2</w:t>
            </w:r>
            <w:r>
              <w:rPr>
                <w:rFonts w:hint="eastAsia" w:ascii="宋体" w:hAnsi="宋体"/>
                <w:color w:val="000000"/>
                <w:kern w:val="0"/>
                <w:sz w:val="18"/>
                <w:szCs w:val="18"/>
              </w:rPr>
              <w:t>:</w:t>
            </w:r>
          </w:p>
        </w:tc>
        <w:tc>
          <w:tcPr>
            <w:tcW w:w="848" w:type="pct"/>
            <w:tcBorders>
              <w:top w:val="single" w:color="auto" w:sz="4" w:space="0"/>
              <w:left w:val="single" w:color="auto" w:sz="4" w:space="0"/>
              <w:bottom w:val="single" w:color="auto" w:sz="4" w:space="0"/>
              <w:right w:val="single" w:color="auto" w:sz="4" w:space="0"/>
            </w:tcBorders>
            <w:noWrap/>
            <w:vAlign w:val="top"/>
          </w:tcPr>
          <w:p>
            <w:pPr>
              <w:pStyle w:val="31"/>
              <w:spacing w:before="1" w:beforeAutospacing="0" w:after="0" w:afterAutospacing="0"/>
              <w:ind w:left="107"/>
              <w:rPr>
                <w:rFonts w:hint="eastAsia"/>
                <w:sz w:val="18"/>
                <w:szCs w:val="18"/>
              </w:rPr>
            </w:pPr>
            <w:r>
              <w:rPr>
                <w:rFonts w:hint="eastAsia"/>
                <w:sz w:val="18"/>
                <w:szCs w:val="18"/>
              </w:rPr>
              <w:t>覆盖渡口数量＝13个</w:t>
            </w:r>
          </w:p>
        </w:tc>
        <w:tc>
          <w:tcPr>
            <w:tcW w:w="1100" w:type="pct"/>
            <w:tcBorders>
              <w:top w:val="single" w:color="auto" w:sz="4" w:space="0"/>
              <w:left w:val="single" w:color="auto" w:sz="4" w:space="0"/>
              <w:bottom w:val="single" w:color="auto" w:sz="4" w:space="0"/>
              <w:right w:val="single" w:color="auto" w:sz="4" w:space="0"/>
            </w:tcBorders>
            <w:noWrap/>
            <w:vAlign w:val="top"/>
          </w:tcPr>
          <w:p>
            <w:pPr>
              <w:pStyle w:val="31"/>
              <w:spacing w:before="1" w:beforeAutospacing="0" w:after="0" w:afterAutospacing="0"/>
              <w:ind w:left="107"/>
              <w:rPr>
                <w:rFonts w:hint="eastAsia"/>
                <w:sz w:val="18"/>
                <w:szCs w:val="18"/>
              </w:rPr>
            </w:pPr>
            <w:r>
              <w:rPr>
                <w:rFonts w:hint="eastAsia"/>
                <w:sz w:val="18"/>
                <w:szCs w:val="18"/>
              </w:rPr>
              <w:t>覆盖渡口数量＝13个</w:t>
            </w:r>
          </w:p>
        </w:tc>
        <w:tc>
          <w:tcPr>
            <w:tcW w:w="955" w:type="pct"/>
            <w:gridSpan w:val="2"/>
            <w:tcBorders>
              <w:top w:val="single" w:color="auto" w:sz="4" w:space="0"/>
              <w:left w:val="single" w:color="auto" w:sz="4" w:space="0"/>
              <w:bottom w:val="single" w:color="auto" w:sz="4" w:space="0"/>
              <w:right w:val="single" w:color="auto" w:sz="4" w:space="0"/>
            </w:tcBorders>
            <w:noWrap/>
            <w:vAlign w:val="top"/>
          </w:tcPr>
          <w:p>
            <w:pPr>
              <w:pStyle w:val="31"/>
              <w:spacing w:before="1" w:beforeAutospacing="0" w:after="0" w:afterAutospacing="0"/>
              <w:ind w:left="107"/>
              <w:rPr>
                <w:rFonts w:hint="eastAsia"/>
                <w:sz w:val="18"/>
                <w:szCs w:val="18"/>
              </w:rPr>
            </w:pPr>
            <w:r>
              <w:rPr>
                <w:rFonts w:hint="eastAsia"/>
                <w:sz w:val="18"/>
                <w:szCs w:val="18"/>
              </w:rPr>
              <w:t>不存在重大偏差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4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02"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color w:val="000000"/>
                <w:kern w:val="0"/>
                <w:sz w:val="18"/>
                <w:szCs w:val="18"/>
              </w:rPr>
            </w:pPr>
            <w:r>
              <w:rPr>
                <w:rFonts w:hint="eastAsia" w:ascii="宋体" w:hAnsi="宋体"/>
                <w:color w:val="000000"/>
                <w:kern w:val="0"/>
                <w:sz w:val="18"/>
                <w:szCs w:val="18"/>
              </w:rPr>
              <w:t>指标</w:t>
            </w:r>
            <w:r>
              <w:rPr>
                <w:rFonts w:hint="eastAsia" w:ascii="宋体" w:hAnsi="宋体"/>
                <w:color w:val="000000"/>
                <w:kern w:val="0"/>
                <w:sz w:val="18"/>
                <w:szCs w:val="18"/>
                <w:lang w:val="en-US" w:eastAsia="zh-CN"/>
              </w:rPr>
              <w:t>3</w:t>
            </w:r>
            <w:r>
              <w:rPr>
                <w:rFonts w:hint="eastAsia" w:ascii="宋体" w:hAnsi="宋体"/>
                <w:color w:val="000000"/>
                <w:kern w:val="0"/>
                <w:sz w:val="18"/>
                <w:szCs w:val="18"/>
              </w:rPr>
              <w:t>:</w:t>
            </w:r>
          </w:p>
        </w:tc>
        <w:tc>
          <w:tcPr>
            <w:tcW w:w="848" w:type="pct"/>
            <w:tcBorders>
              <w:top w:val="single" w:color="auto" w:sz="4" w:space="0"/>
              <w:left w:val="single" w:color="auto" w:sz="4" w:space="0"/>
              <w:bottom w:val="single" w:color="auto" w:sz="4" w:space="0"/>
              <w:right w:val="single" w:color="auto" w:sz="4" w:space="0"/>
            </w:tcBorders>
            <w:noWrap/>
            <w:vAlign w:val="top"/>
          </w:tcPr>
          <w:p>
            <w:pPr>
              <w:pStyle w:val="16"/>
              <w:bidi w:val="0"/>
              <w:ind w:left="0" w:leftChars="0" w:firstLine="0" w:firstLineChars="0"/>
              <w:rPr>
                <w:rFonts w:hint="eastAsia"/>
              </w:rPr>
            </w:pPr>
            <w:r>
              <w:rPr>
                <w:rFonts w:hint="eastAsia"/>
                <w:color w:val="auto"/>
                <w:kern w:val="2"/>
                <w:sz w:val="18"/>
                <w:szCs w:val="18"/>
                <w:lang w:val="en-US" w:eastAsia="zh-CN" w:bidi="ar-SA"/>
              </w:rPr>
              <w:t>覆盖渡船数量＝13艘</w:t>
            </w:r>
          </w:p>
        </w:tc>
        <w:tc>
          <w:tcPr>
            <w:tcW w:w="1100" w:type="pct"/>
            <w:tcBorders>
              <w:top w:val="single" w:color="auto" w:sz="4" w:space="0"/>
              <w:left w:val="single" w:color="auto" w:sz="4" w:space="0"/>
              <w:bottom w:val="single" w:color="auto" w:sz="4" w:space="0"/>
              <w:right w:val="single" w:color="auto" w:sz="4" w:space="0"/>
            </w:tcBorders>
            <w:noWrap/>
            <w:vAlign w:val="top"/>
          </w:tcPr>
          <w:p>
            <w:pPr>
              <w:pStyle w:val="31"/>
              <w:spacing w:before="1" w:beforeAutospacing="0" w:after="0" w:afterAutospacing="0"/>
              <w:ind w:left="107"/>
              <w:rPr>
                <w:rFonts w:hint="eastAsia"/>
                <w:sz w:val="18"/>
                <w:szCs w:val="18"/>
              </w:rPr>
            </w:pPr>
            <w:r>
              <w:rPr>
                <w:rFonts w:hint="eastAsia"/>
                <w:color w:val="auto"/>
                <w:kern w:val="2"/>
                <w:sz w:val="18"/>
                <w:szCs w:val="18"/>
                <w:lang w:val="en-US" w:eastAsia="zh-CN" w:bidi="ar-SA"/>
              </w:rPr>
              <w:t>覆盖渡船数量＝13艘</w:t>
            </w:r>
          </w:p>
        </w:tc>
        <w:tc>
          <w:tcPr>
            <w:tcW w:w="955" w:type="pct"/>
            <w:gridSpan w:val="2"/>
            <w:tcBorders>
              <w:top w:val="single" w:color="auto" w:sz="4" w:space="0"/>
              <w:left w:val="single" w:color="auto" w:sz="4" w:space="0"/>
              <w:bottom w:val="single" w:color="auto" w:sz="4" w:space="0"/>
              <w:right w:val="single" w:color="auto" w:sz="4" w:space="0"/>
            </w:tcBorders>
            <w:noWrap/>
            <w:vAlign w:val="top"/>
          </w:tcPr>
          <w:p>
            <w:pPr>
              <w:pStyle w:val="31"/>
              <w:spacing w:before="1" w:beforeAutospacing="0" w:after="0" w:afterAutospacing="0"/>
              <w:ind w:left="107" w:leftChars="0"/>
              <w:rPr>
                <w:rFonts w:hint="eastAsia"/>
                <w:kern w:val="2"/>
                <w:sz w:val="18"/>
                <w:szCs w:val="18"/>
                <w:lang w:val="en-US" w:eastAsia="zh-CN" w:bidi="ar-SA"/>
              </w:rPr>
            </w:pPr>
            <w:r>
              <w:rPr>
                <w:rFonts w:hint="eastAsia"/>
                <w:sz w:val="18"/>
                <w:szCs w:val="18"/>
              </w:rPr>
              <w:t>不存在重大偏差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4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02"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color w:val="000000"/>
                <w:kern w:val="0"/>
                <w:sz w:val="18"/>
                <w:szCs w:val="18"/>
              </w:rPr>
            </w:pPr>
            <w:r>
              <w:rPr>
                <w:rFonts w:hint="eastAsia" w:ascii="宋体" w:hAnsi="宋体"/>
                <w:color w:val="000000"/>
                <w:kern w:val="0"/>
                <w:sz w:val="18"/>
                <w:szCs w:val="18"/>
              </w:rPr>
              <w:t>指标</w:t>
            </w:r>
            <w:r>
              <w:rPr>
                <w:rFonts w:hint="eastAsia" w:ascii="宋体" w:hAnsi="宋体"/>
                <w:color w:val="000000"/>
                <w:kern w:val="0"/>
                <w:sz w:val="18"/>
                <w:szCs w:val="18"/>
                <w:lang w:val="en-US" w:eastAsia="zh-CN"/>
              </w:rPr>
              <w:t>4</w:t>
            </w:r>
            <w:r>
              <w:rPr>
                <w:rFonts w:hint="eastAsia" w:ascii="宋体" w:hAnsi="宋体"/>
                <w:color w:val="000000"/>
                <w:kern w:val="0"/>
                <w:sz w:val="18"/>
                <w:szCs w:val="18"/>
              </w:rPr>
              <w:t>:</w:t>
            </w:r>
          </w:p>
        </w:tc>
        <w:tc>
          <w:tcPr>
            <w:tcW w:w="848" w:type="pct"/>
            <w:tcBorders>
              <w:top w:val="single" w:color="auto" w:sz="4" w:space="0"/>
              <w:left w:val="single" w:color="auto" w:sz="4" w:space="0"/>
              <w:bottom w:val="single" w:color="auto" w:sz="4" w:space="0"/>
              <w:right w:val="single" w:color="auto" w:sz="4" w:space="0"/>
            </w:tcBorders>
            <w:noWrap/>
            <w:vAlign w:val="top"/>
          </w:tcPr>
          <w:p>
            <w:pPr>
              <w:pStyle w:val="31"/>
              <w:spacing w:before="1" w:beforeAutospacing="0" w:after="0" w:afterAutospacing="0"/>
              <w:ind w:left="107"/>
              <w:rPr>
                <w:rFonts w:hint="eastAsia"/>
                <w:sz w:val="18"/>
                <w:szCs w:val="18"/>
              </w:rPr>
            </w:pPr>
            <w:r>
              <w:rPr>
                <w:rFonts w:hint="eastAsia"/>
                <w:sz w:val="18"/>
                <w:szCs w:val="18"/>
              </w:rPr>
              <w:t>节前安全检查派遣人次≥50人次</w:t>
            </w:r>
          </w:p>
        </w:tc>
        <w:tc>
          <w:tcPr>
            <w:tcW w:w="1100" w:type="pct"/>
            <w:tcBorders>
              <w:top w:val="single" w:color="auto" w:sz="4" w:space="0"/>
              <w:left w:val="single" w:color="auto" w:sz="4" w:space="0"/>
              <w:bottom w:val="single" w:color="auto" w:sz="4" w:space="0"/>
              <w:right w:val="single" w:color="auto" w:sz="4" w:space="0"/>
            </w:tcBorders>
            <w:noWrap/>
            <w:vAlign w:val="top"/>
          </w:tcPr>
          <w:p>
            <w:pPr>
              <w:pStyle w:val="31"/>
              <w:spacing w:before="1" w:beforeAutospacing="0" w:after="0" w:afterAutospacing="0"/>
              <w:ind w:left="107"/>
              <w:rPr>
                <w:rFonts w:hint="default" w:eastAsia="宋体"/>
                <w:sz w:val="18"/>
                <w:szCs w:val="18"/>
                <w:lang w:val="en-US" w:eastAsia="zh-CN"/>
              </w:rPr>
            </w:pPr>
            <w:r>
              <w:rPr>
                <w:rFonts w:hint="eastAsia"/>
                <w:sz w:val="18"/>
                <w:szCs w:val="18"/>
                <w:lang w:eastAsia="zh-CN"/>
              </w:rPr>
              <w:t>检查次数</w:t>
            </w:r>
            <w:r>
              <w:rPr>
                <w:rFonts w:hint="eastAsia"/>
                <w:sz w:val="18"/>
                <w:szCs w:val="18"/>
                <w:lang w:val="en-US" w:eastAsia="zh-CN"/>
              </w:rPr>
              <w:t>55次</w:t>
            </w:r>
          </w:p>
        </w:tc>
        <w:tc>
          <w:tcPr>
            <w:tcW w:w="955" w:type="pct"/>
            <w:gridSpan w:val="2"/>
            <w:tcBorders>
              <w:top w:val="single" w:color="auto" w:sz="4" w:space="0"/>
              <w:left w:val="single" w:color="auto" w:sz="4" w:space="0"/>
              <w:bottom w:val="single" w:color="auto" w:sz="4" w:space="0"/>
              <w:right w:val="single" w:color="auto" w:sz="4" w:space="0"/>
            </w:tcBorders>
            <w:noWrap/>
            <w:vAlign w:val="top"/>
          </w:tcPr>
          <w:p>
            <w:pPr>
              <w:pStyle w:val="31"/>
              <w:spacing w:before="1" w:beforeAutospacing="0" w:after="0" w:afterAutospacing="0"/>
              <w:ind w:left="107"/>
              <w:rPr>
                <w:rFonts w:hint="eastAsia"/>
                <w:sz w:val="18"/>
                <w:szCs w:val="18"/>
              </w:rPr>
            </w:pPr>
            <w:r>
              <w:rPr>
                <w:rFonts w:hint="eastAsia"/>
                <w:sz w:val="18"/>
                <w:szCs w:val="18"/>
              </w:rPr>
              <w:t>不存在重大偏差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4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02"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hint="eastAsia" w:ascii="宋体" w:hAnsi="宋体"/>
                <w:color w:val="000000"/>
                <w:kern w:val="0"/>
                <w:sz w:val="18"/>
                <w:szCs w:val="18"/>
                <w:lang w:val="en-US" w:eastAsia="zh-CN"/>
              </w:rPr>
              <w:t>5</w:t>
            </w:r>
            <w:r>
              <w:rPr>
                <w:rFonts w:hint="eastAsia" w:ascii="宋体" w:hAnsi="宋体"/>
                <w:color w:val="000000"/>
                <w:kern w:val="0"/>
                <w:sz w:val="18"/>
                <w:szCs w:val="18"/>
              </w:rPr>
              <w:t>:</w:t>
            </w:r>
          </w:p>
        </w:tc>
        <w:tc>
          <w:tcPr>
            <w:tcW w:w="848" w:type="pct"/>
            <w:tcBorders>
              <w:top w:val="single" w:color="auto" w:sz="4" w:space="0"/>
              <w:left w:val="single" w:color="auto" w:sz="4" w:space="0"/>
              <w:bottom w:val="single" w:color="auto" w:sz="4" w:space="0"/>
              <w:right w:val="single" w:color="auto" w:sz="4" w:space="0"/>
            </w:tcBorders>
            <w:noWrap/>
            <w:vAlign w:val="top"/>
          </w:tcPr>
          <w:p>
            <w:pPr>
              <w:pStyle w:val="31"/>
              <w:spacing w:before="1" w:beforeAutospacing="0" w:after="0" w:afterAutospacing="0"/>
              <w:ind w:left="107"/>
              <w:rPr>
                <w:rFonts w:hint="eastAsia"/>
                <w:sz w:val="18"/>
                <w:szCs w:val="18"/>
              </w:rPr>
            </w:pPr>
            <w:r>
              <w:rPr>
                <w:rFonts w:hint="eastAsia"/>
                <w:sz w:val="18"/>
                <w:szCs w:val="18"/>
              </w:rPr>
              <w:t>节日现场监控及巡查派遣人次≥60人次</w:t>
            </w:r>
          </w:p>
        </w:tc>
        <w:tc>
          <w:tcPr>
            <w:tcW w:w="1100" w:type="pct"/>
            <w:tcBorders>
              <w:top w:val="single" w:color="auto" w:sz="4" w:space="0"/>
              <w:left w:val="single" w:color="auto" w:sz="4" w:space="0"/>
              <w:bottom w:val="single" w:color="auto" w:sz="4" w:space="0"/>
              <w:right w:val="single" w:color="auto" w:sz="4" w:space="0"/>
            </w:tcBorders>
            <w:noWrap/>
            <w:vAlign w:val="top"/>
          </w:tcPr>
          <w:p>
            <w:pPr>
              <w:pStyle w:val="31"/>
              <w:spacing w:before="1" w:beforeAutospacing="0" w:after="0" w:afterAutospacing="0"/>
              <w:ind w:left="107"/>
              <w:rPr>
                <w:rFonts w:hint="default" w:eastAsia="宋体"/>
                <w:sz w:val="18"/>
                <w:szCs w:val="18"/>
                <w:lang w:val="en-US" w:eastAsia="zh-CN"/>
              </w:rPr>
            </w:pPr>
            <w:r>
              <w:rPr>
                <w:rFonts w:hint="eastAsia"/>
                <w:sz w:val="18"/>
                <w:szCs w:val="18"/>
              </w:rPr>
              <w:t>节日现场监控及巡查派遣人次</w:t>
            </w:r>
            <w:r>
              <w:rPr>
                <w:rFonts w:hint="eastAsia"/>
                <w:sz w:val="18"/>
                <w:szCs w:val="18"/>
                <w:lang w:val="en-US" w:eastAsia="zh-CN"/>
              </w:rPr>
              <w:t>70次</w:t>
            </w:r>
          </w:p>
        </w:tc>
        <w:tc>
          <w:tcPr>
            <w:tcW w:w="955" w:type="pct"/>
            <w:gridSpan w:val="2"/>
            <w:tcBorders>
              <w:top w:val="single" w:color="auto" w:sz="4" w:space="0"/>
              <w:left w:val="single" w:color="auto" w:sz="4" w:space="0"/>
              <w:bottom w:val="single" w:color="auto" w:sz="4" w:space="0"/>
              <w:right w:val="single" w:color="auto" w:sz="4" w:space="0"/>
            </w:tcBorders>
            <w:noWrap/>
            <w:vAlign w:val="top"/>
          </w:tcPr>
          <w:p>
            <w:pPr>
              <w:pStyle w:val="31"/>
              <w:spacing w:before="1" w:beforeAutospacing="0" w:after="0" w:afterAutospacing="0"/>
              <w:ind w:left="107"/>
              <w:rPr>
                <w:rFonts w:hint="eastAsia"/>
                <w:sz w:val="18"/>
                <w:szCs w:val="18"/>
              </w:rPr>
            </w:pPr>
            <w:r>
              <w:rPr>
                <w:rFonts w:hint="eastAsia"/>
                <w:sz w:val="18"/>
                <w:szCs w:val="18"/>
              </w:rPr>
              <w:t>不存在重大偏差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4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0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质量</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指标</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指标1:</w:t>
            </w:r>
          </w:p>
        </w:tc>
        <w:tc>
          <w:tcPr>
            <w:tcW w:w="848" w:type="pct"/>
            <w:tcBorders>
              <w:top w:val="single" w:color="auto" w:sz="4" w:space="0"/>
              <w:left w:val="single" w:color="auto" w:sz="4" w:space="0"/>
              <w:bottom w:val="single" w:color="auto" w:sz="4" w:space="0"/>
              <w:right w:val="single" w:color="auto" w:sz="4" w:space="0"/>
            </w:tcBorders>
            <w:noWrap/>
            <w:vAlign w:val="top"/>
          </w:tcPr>
          <w:p>
            <w:pPr>
              <w:pStyle w:val="31"/>
              <w:spacing w:before="0" w:beforeAutospacing="0" w:after="0" w:afterAutospacing="0"/>
            </w:pPr>
            <w:r>
              <w:rPr>
                <w:rFonts w:hint="eastAsia"/>
                <w:sz w:val="18"/>
                <w:szCs w:val="18"/>
              </w:rPr>
              <w:t>渡船隐患排查整治完成率＝</w:t>
            </w:r>
            <w:r>
              <w:rPr>
                <w:rFonts w:hint="eastAsia"/>
                <w:sz w:val="18"/>
                <w:szCs w:val="18"/>
                <w:lang w:val="en-US" w:eastAsia="zh-CN"/>
              </w:rPr>
              <w:t>100%</w:t>
            </w:r>
          </w:p>
        </w:tc>
        <w:tc>
          <w:tcPr>
            <w:tcW w:w="1100" w:type="pct"/>
            <w:tcBorders>
              <w:top w:val="single" w:color="auto" w:sz="4" w:space="0"/>
              <w:left w:val="single" w:color="auto" w:sz="4" w:space="0"/>
              <w:bottom w:val="single" w:color="auto" w:sz="4" w:space="0"/>
              <w:right w:val="single" w:color="auto" w:sz="4" w:space="0"/>
            </w:tcBorders>
            <w:noWrap/>
            <w:vAlign w:val="top"/>
          </w:tcPr>
          <w:p>
            <w:pPr>
              <w:pStyle w:val="31"/>
              <w:spacing w:before="1" w:beforeAutospacing="0" w:after="0" w:afterAutospacing="0"/>
              <w:ind w:left="107"/>
              <w:rPr>
                <w:rFonts w:hint="eastAsia"/>
                <w:sz w:val="18"/>
                <w:szCs w:val="18"/>
              </w:rPr>
            </w:pPr>
            <w:r>
              <w:rPr>
                <w:rFonts w:hint="eastAsia"/>
                <w:sz w:val="18"/>
                <w:szCs w:val="18"/>
              </w:rPr>
              <w:t>渡船隐患排查整治完成率＝</w:t>
            </w:r>
            <w:r>
              <w:rPr>
                <w:rFonts w:hint="eastAsia"/>
                <w:sz w:val="18"/>
                <w:szCs w:val="18"/>
                <w:lang w:val="en-US" w:eastAsia="zh-CN"/>
              </w:rPr>
              <w:t>100%</w:t>
            </w:r>
          </w:p>
        </w:tc>
        <w:tc>
          <w:tcPr>
            <w:tcW w:w="955" w:type="pct"/>
            <w:gridSpan w:val="2"/>
            <w:tcBorders>
              <w:top w:val="single" w:color="auto" w:sz="4" w:space="0"/>
              <w:left w:val="single" w:color="auto" w:sz="4" w:space="0"/>
              <w:bottom w:val="single" w:color="auto" w:sz="4" w:space="0"/>
              <w:right w:val="single" w:color="auto" w:sz="4" w:space="0"/>
            </w:tcBorders>
            <w:noWrap/>
            <w:vAlign w:val="top"/>
          </w:tcPr>
          <w:p>
            <w:pPr>
              <w:pStyle w:val="31"/>
              <w:spacing w:before="0" w:beforeAutospacing="0" w:after="0" w:afterAutospacing="0"/>
            </w:pPr>
            <w:r>
              <w:rPr>
                <w:rFonts w:hint="eastAsia"/>
                <w:sz w:val="18"/>
                <w:szCs w:val="18"/>
              </w:rPr>
              <w:t>不存在重大偏差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4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0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质量</w:t>
            </w:r>
          </w:p>
          <w:p>
            <w:pPr>
              <w:widowControl/>
              <w:spacing w:line="240" w:lineRule="exact"/>
              <w:jc w:val="center"/>
              <w:rPr>
                <w:rFonts w:hint="eastAsia" w:ascii="宋体" w:hAnsi="宋体"/>
                <w:color w:val="000000"/>
                <w:kern w:val="0"/>
                <w:sz w:val="18"/>
                <w:szCs w:val="18"/>
              </w:rPr>
            </w:pPr>
            <w:r>
              <w:rPr>
                <w:rFonts w:hint="eastAsia" w:ascii="宋体" w:hAnsi="宋体"/>
                <w:color w:val="000000"/>
                <w:kern w:val="0"/>
                <w:sz w:val="18"/>
                <w:szCs w:val="18"/>
              </w:rPr>
              <w:t>指标</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color w:val="000000"/>
                <w:kern w:val="0"/>
                <w:sz w:val="18"/>
                <w:szCs w:val="18"/>
              </w:rPr>
            </w:pPr>
            <w:r>
              <w:rPr>
                <w:rFonts w:hint="eastAsia" w:ascii="宋体" w:hAnsi="宋体"/>
                <w:color w:val="000000"/>
                <w:kern w:val="0"/>
                <w:sz w:val="18"/>
                <w:szCs w:val="18"/>
              </w:rPr>
              <w:t>指标1:</w:t>
            </w:r>
          </w:p>
        </w:tc>
        <w:tc>
          <w:tcPr>
            <w:tcW w:w="848" w:type="pct"/>
            <w:tcBorders>
              <w:top w:val="single" w:color="auto" w:sz="4" w:space="0"/>
              <w:left w:val="single" w:color="auto" w:sz="4" w:space="0"/>
              <w:bottom w:val="single" w:color="auto" w:sz="4" w:space="0"/>
              <w:right w:val="single" w:color="auto" w:sz="4" w:space="0"/>
            </w:tcBorders>
            <w:noWrap/>
            <w:vAlign w:val="top"/>
          </w:tcPr>
          <w:p>
            <w:pPr>
              <w:pStyle w:val="31"/>
              <w:spacing w:before="1" w:beforeAutospacing="0" w:after="0" w:afterAutospacing="0"/>
              <w:ind w:left="107"/>
              <w:rPr>
                <w:rFonts w:hint="default" w:eastAsia="宋体"/>
                <w:sz w:val="18"/>
                <w:szCs w:val="18"/>
                <w:lang w:val="en-US" w:eastAsia="zh-CN"/>
              </w:rPr>
            </w:pPr>
            <w:r>
              <w:rPr>
                <w:rFonts w:hint="eastAsia"/>
                <w:sz w:val="18"/>
                <w:szCs w:val="18"/>
              </w:rPr>
              <w:t>检查次数达标率＝</w:t>
            </w:r>
            <w:r>
              <w:rPr>
                <w:rFonts w:hint="eastAsia"/>
                <w:sz w:val="18"/>
                <w:szCs w:val="18"/>
                <w:lang w:val="en-US" w:eastAsia="zh-CN"/>
              </w:rPr>
              <w:t>100%</w:t>
            </w:r>
          </w:p>
        </w:tc>
        <w:tc>
          <w:tcPr>
            <w:tcW w:w="1100" w:type="pct"/>
            <w:tcBorders>
              <w:top w:val="single" w:color="auto" w:sz="4" w:space="0"/>
              <w:left w:val="single" w:color="auto" w:sz="4" w:space="0"/>
              <w:bottom w:val="single" w:color="auto" w:sz="4" w:space="0"/>
              <w:right w:val="single" w:color="auto" w:sz="4" w:space="0"/>
            </w:tcBorders>
            <w:noWrap/>
            <w:vAlign w:val="top"/>
          </w:tcPr>
          <w:p>
            <w:pPr>
              <w:pStyle w:val="31"/>
              <w:spacing w:before="1" w:beforeAutospacing="0" w:after="0" w:afterAutospacing="0"/>
              <w:ind w:left="107"/>
              <w:rPr>
                <w:rFonts w:hint="eastAsia"/>
                <w:sz w:val="18"/>
                <w:szCs w:val="18"/>
              </w:rPr>
            </w:pPr>
            <w:r>
              <w:rPr>
                <w:rFonts w:hint="eastAsia"/>
                <w:sz w:val="18"/>
                <w:szCs w:val="18"/>
              </w:rPr>
              <w:t>检查次数达标率＝</w:t>
            </w:r>
            <w:r>
              <w:rPr>
                <w:rFonts w:hint="eastAsia"/>
                <w:sz w:val="18"/>
                <w:szCs w:val="18"/>
                <w:lang w:val="en-US" w:eastAsia="zh-CN"/>
              </w:rPr>
              <w:t>100%</w:t>
            </w:r>
          </w:p>
        </w:tc>
        <w:tc>
          <w:tcPr>
            <w:tcW w:w="955" w:type="pct"/>
            <w:gridSpan w:val="2"/>
            <w:tcBorders>
              <w:top w:val="single" w:color="auto" w:sz="4" w:space="0"/>
              <w:left w:val="single" w:color="auto" w:sz="4" w:space="0"/>
              <w:bottom w:val="single" w:color="auto" w:sz="4" w:space="0"/>
              <w:right w:val="single" w:color="auto" w:sz="4" w:space="0"/>
            </w:tcBorders>
            <w:noWrap/>
            <w:vAlign w:val="top"/>
          </w:tcPr>
          <w:p>
            <w:pPr>
              <w:pStyle w:val="31"/>
              <w:spacing w:before="0" w:beforeAutospacing="0" w:after="0" w:afterAutospacing="0"/>
              <w:rPr>
                <w:rFonts w:hint="eastAsia"/>
                <w:sz w:val="18"/>
                <w:szCs w:val="18"/>
              </w:rPr>
            </w:pPr>
            <w:r>
              <w:rPr>
                <w:rFonts w:hint="eastAsia"/>
                <w:sz w:val="18"/>
                <w:szCs w:val="18"/>
              </w:rPr>
              <w:t>不存在重大偏差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4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0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质量</w:t>
            </w:r>
          </w:p>
          <w:p>
            <w:pPr>
              <w:widowControl/>
              <w:spacing w:line="240" w:lineRule="exact"/>
              <w:jc w:val="center"/>
              <w:rPr>
                <w:rFonts w:hint="eastAsia" w:ascii="宋体" w:hAnsi="宋体"/>
                <w:color w:val="000000"/>
                <w:kern w:val="0"/>
                <w:sz w:val="18"/>
                <w:szCs w:val="18"/>
              </w:rPr>
            </w:pPr>
            <w:r>
              <w:rPr>
                <w:rFonts w:hint="eastAsia" w:ascii="宋体" w:hAnsi="宋体"/>
                <w:color w:val="000000"/>
                <w:kern w:val="0"/>
                <w:sz w:val="18"/>
                <w:szCs w:val="18"/>
              </w:rPr>
              <w:t>指标</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color w:val="000000"/>
                <w:kern w:val="0"/>
                <w:sz w:val="18"/>
                <w:szCs w:val="18"/>
              </w:rPr>
            </w:pPr>
            <w:r>
              <w:rPr>
                <w:rFonts w:hint="eastAsia" w:ascii="宋体" w:hAnsi="宋体"/>
                <w:color w:val="000000"/>
                <w:kern w:val="0"/>
                <w:sz w:val="18"/>
                <w:szCs w:val="18"/>
              </w:rPr>
              <w:t>指标</w:t>
            </w:r>
            <w:r>
              <w:rPr>
                <w:rFonts w:hint="eastAsia" w:ascii="宋体" w:hAnsi="宋体"/>
                <w:color w:val="000000"/>
                <w:kern w:val="0"/>
                <w:sz w:val="18"/>
                <w:szCs w:val="18"/>
                <w:lang w:val="en-US" w:eastAsia="zh-CN"/>
              </w:rPr>
              <w:t>2</w:t>
            </w:r>
            <w:r>
              <w:rPr>
                <w:rFonts w:hint="eastAsia" w:ascii="宋体" w:hAnsi="宋体"/>
                <w:color w:val="000000"/>
                <w:kern w:val="0"/>
                <w:sz w:val="18"/>
                <w:szCs w:val="18"/>
              </w:rPr>
              <w:t>:</w:t>
            </w:r>
          </w:p>
        </w:tc>
        <w:tc>
          <w:tcPr>
            <w:tcW w:w="848" w:type="pct"/>
            <w:tcBorders>
              <w:top w:val="single" w:color="auto" w:sz="4" w:space="0"/>
              <w:left w:val="single" w:color="auto" w:sz="4" w:space="0"/>
              <w:bottom w:val="single" w:color="auto" w:sz="4" w:space="0"/>
              <w:right w:val="single" w:color="auto" w:sz="4" w:space="0"/>
            </w:tcBorders>
            <w:noWrap/>
            <w:vAlign w:val="top"/>
          </w:tcPr>
          <w:p>
            <w:pPr>
              <w:pStyle w:val="31"/>
              <w:spacing w:before="1" w:beforeAutospacing="0" w:after="0" w:afterAutospacing="0"/>
              <w:ind w:left="107"/>
              <w:rPr>
                <w:rFonts w:hint="eastAsia"/>
                <w:sz w:val="18"/>
                <w:szCs w:val="18"/>
              </w:rPr>
            </w:pPr>
            <w:r>
              <w:rPr>
                <w:rFonts w:hint="eastAsia"/>
                <w:sz w:val="18"/>
                <w:szCs w:val="18"/>
              </w:rPr>
              <w:t>检查派遣人数出勤率＝</w:t>
            </w:r>
            <w:r>
              <w:rPr>
                <w:rFonts w:hint="eastAsia"/>
                <w:sz w:val="18"/>
                <w:szCs w:val="18"/>
                <w:lang w:val="en-US" w:eastAsia="zh-CN"/>
              </w:rPr>
              <w:t>100%</w:t>
            </w:r>
          </w:p>
        </w:tc>
        <w:tc>
          <w:tcPr>
            <w:tcW w:w="1100" w:type="pct"/>
            <w:tcBorders>
              <w:top w:val="single" w:color="auto" w:sz="4" w:space="0"/>
              <w:left w:val="single" w:color="auto" w:sz="4" w:space="0"/>
              <w:bottom w:val="single" w:color="auto" w:sz="4" w:space="0"/>
              <w:right w:val="single" w:color="auto" w:sz="4" w:space="0"/>
            </w:tcBorders>
            <w:noWrap/>
            <w:vAlign w:val="top"/>
          </w:tcPr>
          <w:p>
            <w:pPr>
              <w:pStyle w:val="31"/>
              <w:spacing w:before="1" w:beforeAutospacing="0" w:after="0" w:afterAutospacing="0"/>
              <w:ind w:left="107"/>
              <w:rPr>
                <w:rFonts w:hint="eastAsia"/>
                <w:sz w:val="18"/>
                <w:szCs w:val="18"/>
              </w:rPr>
            </w:pPr>
            <w:r>
              <w:rPr>
                <w:rFonts w:hint="eastAsia"/>
                <w:sz w:val="18"/>
                <w:szCs w:val="18"/>
              </w:rPr>
              <w:t>检查派遣人数出勤率＝</w:t>
            </w:r>
            <w:r>
              <w:rPr>
                <w:rFonts w:hint="eastAsia"/>
                <w:sz w:val="18"/>
                <w:szCs w:val="18"/>
                <w:lang w:val="en-US" w:eastAsia="zh-CN"/>
              </w:rPr>
              <w:t>100%</w:t>
            </w:r>
          </w:p>
        </w:tc>
        <w:tc>
          <w:tcPr>
            <w:tcW w:w="955" w:type="pct"/>
            <w:gridSpan w:val="2"/>
            <w:tcBorders>
              <w:top w:val="single" w:color="auto" w:sz="4" w:space="0"/>
              <w:left w:val="single" w:color="auto" w:sz="4" w:space="0"/>
              <w:bottom w:val="single" w:color="auto" w:sz="4" w:space="0"/>
              <w:right w:val="single" w:color="auto" w:sz="4" w:space="0"/>
            </w:tcBorders>
            <w:noWrap/>
            <w:vAlign w:val="top"/>
          </w:tcPr>
          <w:p>
            <w:pPr>
              <w:pStyle w:val="31"/>
              <w:spacing w:before="0" w:beforeAutospacing="0" w:after="0" w:afterAutospacing="0"/>
              <w:rPr>
                <w:rFonts w:hint="eastAsia"/>
                <w:sz w:val="18"/>
                <w:szCs w:val="18"/>
              </w:rPr>
            </w:pPr>
            <w:r>
              <w:rPr>
                <w:rFonts w:hint="eastAsia"/>
                <w:sz w:val="18"/>
                <w:szCs w:val="18"/>
              </w:rPr>
              <w:t>不存在重大偏差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4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0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时效</w:t>
            </w:r>
          </w:p>
          <w:p>
            <w:pPr>
              <w:widowControl/>
              <w:spacing w:line="240" w:lineRule="exact"/>
              <w:jc w:val="center"/>
              <w:rPr>
                <w:rFonts w:hint="eastAsia" w:ascii="宋体" w:hAnsi="宋体"/>
                <w:color w:val="000000"/>
                <w:kern w:val="0"/>
                <w:sz w:val="18"/>
                <w:szCs w:val="18"/>
              </w:rPr>
            </w:pPr>
            <w:r>
              <w:rPr>
                <w:rFonts w:hint="eastAsia" w:ascii="宋体" w:hAnsi="宋体"/>
                <w:color w:val="000000"/>
                <w:kern w:val="0"/>
                <w:sz w:val="18"/>
                <w:szCs w:val="18"/>
              </w:rPr>
              <w:t>指标</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color w:val="000000"/>
                <w:kern w:val="0"/>
                <w:sz w:val="18"/>
                <w:szCs w:val="18"/>
              </w:rPr>
            </w:pPr>
            <w:r>
              <w:rPr>
                <w:rFonts w:hint="eastAsia" w:ascii="宋体" w:hAnsi="宋体"/>
                <w:color w:val="000000"/>
                <w:kern w:val="0"/>
                <w:sz w:val="18"/>
                <w:szCs w:val="18"/>
              </w:rPr>
              <w:t>指标</w:t>
            </w:r>
            <w:r>
              <w:rPr>
                <w:rFonts w:hint="eastAsia" w:ascii="宋体" w:hAnsi="宋体"/>
                <w:color w:val="000000"/>
                <w:kern w:val="0"/>
                <w:sz w:val="18"/>
                <w:szCs w:val="18"/>
                <w:lang w:val="en-US" w:eastAsia="zh-CN"/>
              </w:rPr>
              <w:t>1</w:t>
            </w:r>
            <w:r>
              <w:rPr>
                <w:rFonts w:hint="eastAsia" w:ascii="宋体" w:hAnsi="宋体"/>
                <w:color w:val="000000"/>
                <w:kern w:val="0"/>
                <w:sz w:val="18"/>
                <w:szCs w:val="18"/>
              </w:rPr>
              <w:t>:</w:t>
            </w:r>
          </w:p>
        </w:tc>
        <w:tc>
          <w:tcPr>
            <w:tcW w:w="848" w:type="pct"/>
            <w:tcBorders>
              <w:top w:val="single" w:color="auto" w:sz="4" w:space="0"/>
              <w:left w:val="single" w:color="auto" w:sz="4" w:space="0"/>
              <w:bottom w:val="single" w:color="auto" w:sz="4" w:space="0"/>
              <w:right w:val="single" w:color="auto" w:sz="4" w:space="0"/>
            </w:tcBorders>
            <w:noWrap/>
            <w:vAlign w:val="top"/>
          </w:tcPr>
          <w:p>
            <w:pPr>
              <w:pStyle w:val="31"/>
              <w:spacing w:before="1" w:beforeAutospacing="0" w:after="0" w:afterAutospacing="0"/>
              <w:ind w:left="107"/>
              <w:rPr>
                <w:rFonts w:hint="eastAsia"/>
                <w:sz w:val="18"/>
                <w:szCs w:val="18"/>
              </w:rPr>
            </w:pPr>
            <w:r>
              <w:rPr>
                <w:rFonts w:hint="eastAsia"/>
                <w:sz w:val="18"/>
                <w:szCs w:val="18"/>
              </w:rPr>
              <w:t>渡口渡船监控及检查及时率＝</w:t>
            </w:r>
            <w:r>
              <w:rPr>
                <w:rFonts w:hint="eastAsia"/>
                <w:sz w:val="18"/>
                <w:szCs w:val="18"/>
                <w:lang w:val="en-US" w:eastAsia="zh-CN"/>
              </w:rPr>
              <w:t>100%</w:t>
            </w:r>
          </w:p>
        </w:tc>
        <w:tc>
          <w:tcPr>
            <w:tcW w:w="1100" w:type="pct"/>
            <w:tcBorders>
              <w:top w:val="single" w:color="auto" w:sz="4" w:space="0"/>
              <w:left w:val="single" w:color="auto" w:sz="4" w:space="0"/>
              <w:bottom w:val="single" w:color="auto" w:sz="4" w:space="0"/>
              <w:right w:val="single" w:color="auto" w:sz="4" w:space="0"/>
            </w:tcBorders>
            <w:noWrap/>
            <w:vAlign w:val="top"/>
          </w:tcPr>
          <w:p>
            <w:pPr>
              <w:pStyle w:val="31"/>
              <w:spacing w:before="1" w:beforeAutospacing="0" w:after="0" w:afterAutospacing="0"/>
              <w:ind w:left="107"/>
              <w:rPr>
                <w:rFonts w:hint="eastAsia"/>
                <w:sz w:val="18"/>
                <w:szCs w:val="18"/>
              </w:rPr>
            </w:pPr>
            <w:r>
              <w:rPr>
                <w:rFonts w:hint="eastAsia"/>
                <w:sz w:val="18"/>
                <w:szCs w:val="18"/>
              </w:rPr>
              <w:t>渡口渡船监控及检查及时率＝</w:t>
            </w:r>
            <w:r>
              <w:rPr>
                <w:rFonts w:hint="eastAsia"/>
                <w:sz w:val="18"/>
                <w:szCs w:val="18"/>
                <w:lang w:val="en-US" w:eastAsia="zh-CN"/>
              </w:rPr>
              <w:t>100%</w:t>
            </w:r>
          </w:p>
        </w:tc>
        <w:tc>
          <w:tcPr>
            <w:tcW w:w="955" w:type="pct"/>
            <w:gridSpan w:val="2"/>
            <w:tcBorders>
              <w:top w:val="single" w:color="auto" w:sz="4" w:space="0"/>
              <w:left w:val="single" w:color="auto" w:sz="4" w:space="0"/>
              <w:bottom w:val="single" w:color="auto" w:sz="4" w:space="0"/>
              <w:right w:val="single" w:color="auto" w:sz="4" w:space="0"/>
            </w:tcBorders>
            <w:noWrap/>
            <w:vAlign w:val="top"/>
          </w:tcPr>
          <w:p>
            <w:pPr>
              <w:pStyle w:val="31"/>
              <w:spacing w:before="0" w:beforeAutospacing="0" w:after="0" w:afterAutospacing="0"/>
              <w:rPr>
                <w:rFonts w:hint="eastAsia"/>
                <w:sz w:val="18"/>
                <w:szCs w:val="18"/>
              </w:rPr>
            </w:pPr>
            <w:r>
              <w:rPr>
                <w:rFonts w:hint="eastAsia"/>
                <w:sz w:val="18"/>
                <w:szCs w:val="18"/>
              </w:rPr>
              <w:t>不存在重大偏差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4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0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时效</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指标</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hint="eastAsia" w:ascii="宋体" w:hAnsi="宋体"/>
                <w:color w:val="000000"/>
                <w:kern w:val="0"/>
                <w:sz w:val="18"/>
                <w:szCs w:val="18"/>
                <w:lang w:val="en-US" w:eastAsia="zh-CN"/>
              </w:rPr>
              <w:t>2</w:t>
            </w:r>
            <w:r>
              <w:rPr>
                <w:rFonts w:hint="eastAsia" w:ascii="宋体" w:hAnsi="宋体"/>
                <w:color w:val="000000"/>
                <w:kern w:val="0"/>
                <w:sz w:val="18"/>
                <w:szCs w:val="18"/>
              </w:rPr>
              <w:t>:</w:t>
            </w:r>
          </w:p>
        </w:tc>
        <w:tc>
          <w:tcPr>
            <w:tcW w:w="848" w:type="pct"/>
            <w:tcBorders>
              <w:top w:val="single" w:color="auto" w:sz="4" w:space="0"/>
              <w:left w:val="single" w:color="auto" w:sz="4" w:space="0"/>
              <w:bottom w:val="single" w:color="auto" w:sz="4" w:space="0"/>
              <w:right w:val="single" w:color="auto" w:sz="4" w:space="0"/>
            </w:tcBorders>
            <w:noWrap/>
            <w:vAlign w:val="top"/>
          </w:tcPr>
          <w:p>
            <w:pPr>
              <w:pStyle w:val="31"/>
              <w:spacing w:before="1" w:beforeAutospacing="0" w:after="0" w:afterAutospacing="0"/>
              <w:ind w:left="107"/>
              <w:rPr>
                <w:rFonts w:hint="eastAsia"/>
              </w:rPr>
            </w:pPr>
            <w:r>
              <w:rPr>
                <w:rFonts w:hint="eastAsia"/>
                <w:sz w:val="18"/>
                <w:szCs w:val="18"/>
              </w:rPr>
              <w:t>安全生产月安全宣传教育及时率＝</w:t>
            </w:r>
            <w:r>
              <w:rPr>
                <w:rFonts w:hint="eastAsia"/>
                <w:sz w:val="18"/>
                <w:szCs w:val="18"/>
                <w:lang w:val="en-US" w:eastAsia="zh-CN"/>
              </w:rPr>
              <w:t>100%</w:t>
            </w:r>
          </w:p>
        </w:tc>
        <w:tc>
          <w:tcPr>
            <w:tcW w:w="1100" w:type="pct"/>
            <w:tcBorders>
              <w:top w:val="single" w:color="auto" w:sz="4" w:space="0"/>
              <w:left w:val="single" w:color="auto" w:sz="4" w:space="0"/>
              <w:bottom w:val="single" w:color="auto" w:sz="4" w:space="0"/>
              <w:right w:val="single" w:color="auto" w:sz="4" w:space="0"/>
            </w:tcBorders>
            <w:noWrap/>
            <w:vAlign w:val="top"/>
          </w:tcPr>
          <w:p>
            <w:pPr>
              <w:pStyle w:val="31"/>
              <w:spacing w:before="1" w:beforeAutospacing="0" w:after="0" w:afterAutospacing="0"/>
              <w:ind w:left="107"/>
              <w:rPr>
                <w:rFonts w:hint="eastAsia"/>
                <w:sz w:val="18"/>
                <w:szCs w:val="18"/>
              </w:rPr>
            </w:pPr>
            <w:r>
              <w:rPr>
                <w:rFonts w:hint="eastAsia"/>
                <w:sz w:val="18"/>
                <w:szCs w:val="18"/>
              </w:rPr>
              <w:t>安全生产月安全宣传教育及时率＝</w:t>
            </w:r>
            <w:r>
              <w:rPr>
                <w:rFonts w:hint="eastAsia"/>
                <w:sz w:val="18"/>
                <w:szCs w:val="18"/>
                <w:lang w:val="en-US" w:eastAsia="zh-CN"/>
              </w:rPr>
              <w:t>100%</w:t>
            </w:r>
          </w:p>
        </w:tc>
        <w:tc>
          <w:tcPr>
            <w:tcW w:w="955" w:type="pct"/>
            <w:gridSpan w:val="2"/>
            <w:tcBorders>
              <w:top w:val="single" w:color="auto" w:sz="4" w:space="0"/>
              <w:left w:val="single" w:color="auto" w:sz="4" w:space="0"/>
              <w:bottom w:val="single" w:color="auto" w:sz="4" w:space="0"/>
              <w:right w:val="single" w:color="auto" w:sz="4" w:space="0"/>
            </w:tcBorders>
            <w:noWrap/>
            <w:vAlign w:val="top"/>
          </w:tcPr>
          <w:p>
            <w:pPr>
              <w:pStyle w:val="31"/>
              <w:spacing w:before="0" w:beforeAutospacing="0" w:after="0" w:afterAutospacing="0"/>
            </w:pPr>
            <w:r>
              <w:rPr>
                <w:rFonts w:hint="eastAsia"/>
                <w:sz w:val="18"/>
                <w:szCs w:val="18"/>
              </w:rPr>
              <w:t>不存在重大偏差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4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0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成本</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指标</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指标1:</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kern w:val="2"/>
                <w:sz w:val="18"/>
                <w:szCs w:val="18"/>
                <w:lang w:val="en-US" w:eastAsia="zh-CN" w:bidi="ar-SA"/>
              </w:rPr>
            </w:pPr>
            <w:r>
              <w:rPr>
                <w:rFonts w:hint="eastAsia"/>
                <w:kern w:val="2"/>
                <w:sz w:val="18"/>
                <w:szCs w:val="18"/>
                <w:lang w:val="en-US" w:eastAsia="zh-CN" w:bidi="ar-SA"/>
              </w:rPr>
              <w:t>现场监控工作经费总成本控制数≤30000元</w:t>
            </w:r>
          </w:p>
        </w:tc>
        <w:tc>
          <w:tcPr>
            <w:tcW w:w="110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kern w:val="2"/>
                <w:sz w:val="18"/>
                <w:szCs w:val="18"/>
                <w:lang w:val="en-US" w:eastAsia="zh-CN" w:bidi="ar-SA"/>
              </w:rPr>
            </w:pPr>
            <w:r>
              <w:rPr>
                <w:rFonts w:hint="eastAsia"/>
                <w:kern w:val="2"/>
                <w:sz w:val="18"/>
                <w:szCs w:val="18"/>
                <w:lang w:val="en-US" w:eastAsia="zh-CN" w:bidi="ar-SA"/>
              </w:rPr>
              <w:t>实际发生金额为0元</w:t>
            </w:r>
          </w:p>
        </w:tc>
        <w:tc>
          <w:tcPr>
            <w:tcW w:w="95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kern w:val="2"/>
                <w:sz w:val="18"/>
                <w:szCs w:val="18"/>
                <w:lang w:val="en-US" w:eastAsia="zh-CN" w:bidi="ar-SA"/>
              </w:rPr>
            </w:pPr>
            <w:r>
              <w:rPr>
                <w:rFonts w:hint="eastAsia"/>
                <w:kern w:val="2"/>
                <w:sz w:val="18"/>
                <w:szCs w:val="18"/>
                <w:lang w:val="en-US" w:eastAsia="zh-CN" w:bidi="ar-SA"/>
              </w:rPr>
              <w:t>　无资金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4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0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成本</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指标</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hint="eastAsia" w:ascii="宋体" w:hAnsi="宋体"/>
                <w:color w:val="000000"/>
                <w:kern w:val="0"/>
                <w:sz w:val="18"/>
                <w:szCs w:val="18"/>
                <w:lang w:val="en-US" w:eastAsia="zh-CN"/>
              </w:rPr>
              <w:t>2</w:t>
            </w:r>
            <w:r>
              <w:rPr>
                <w:rFonts w:hint="eastAsia" w:ascii="宋体" w:hAnsi="宋体"/>
                <w:color w:val="000000"/>
                <w:kern w:val="0"/>
                <w:sz w:val="18"/>
                <w:szCs w:val="18"/>
              </w:rPr>
              <w:t>:</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kern w:val="2"/>
                <w:sz w:val="18"/>
                <w:szCs w:val="18"/>
                <w:lang w:val="en-US" w:eastAsia="zh-CN" w:bidi="ar-SA"/>
              </w:rPr>
            </w:pPr>
            <w:r>
              <w:rPr>
                <w:rFonts w:hint="eastAsia"/>
                <w:kern w:val="2"/>
                <w:sz w:val="18"/>
                <w:szCs w:val="18"/>
                <w:lang w:val="en-US" w:eastAsia="zh-CN" w:bidi="ar-SA"/>
              </w:rPr>
              <w:t>　百日安全检查工作经费总成本≤30000元</w:t>
            </w:r>
          </w:p>
        </w:tc>
        <w:tc>
          <w:tcPr>
            <w:tcW w:w="110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kern w:val="2"/>
                <w:sz w:val="18"/>
                <w:szCs w:val="18"/>
                <w:lang w:val="en-US" w:eastAsia="zh-CN" w:bidi="ar-SA"/>
              </w:rPr>
            </w:pPr>
            <w:r>
              <w:rPr>
                <w:rFonts w:hint="eastAsia"/>
                <w:kern w:val="2"/>
                <w:sz w:val="18"/>
                <w:szCs w:val="18"/>
                <w:lang w:val="en-US" w:eastAsia="zh-CN" w:bidi="ar-SA"/>
              </w:rPr>
              <w:t>实际成本金额为0元</w:t>
            </w:r>
          </w:p>
        </w:tc>
        <w:tc>
          <w:tcPr>
            <w:tcW w:w="95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kern w:val="2"/>
                <w:sz w:val="18"/>
                <w:szCs w:val="18"/>
                <w:lang w:val="en-US" w:eastAsia="zh-CN" w:bidi="ar-SA"/>
              </w:rPr>
            </w:pPr>
            <w:r>
              <w:rPr>
                <w:rFonts w:hint="eastAsia"/>
                <w:kern w:val="2"/>
                <w:sz w:val="18"/>
                <w:szCs w:val="18"/>
                <w:lang w:val="en-US" w:eastAsia="zh-CN" w:bidi="ar-SA"/>
              </w:rPr>
              <w:t>　无资金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年度绩效指标</w:t>
            </w:r>
          </w:p>
        </w:tc>
        <w:tc>
          <w:tcPr>
            <w:tcW w:w="457"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项目</w:t>
            </w:r>
          </w:p>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效益</w:t>
            </w:r>
          </w:p>
        </w:tc>
        <w:tc>
          <w:tcPr>
            <w:tcW w:w="60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center"/>
              <w:rPr>
                <w:rFonts w:ascii="宋体" w:hAnsi="宋体"/>
                <w:color w:val="000000"/>
                <w:kern w:val="0"/>
                <w:sz w:val="18"/>
                <w:szCs w:val="18"/>
              </w:rPr>
            </w:pPr>
            <w:r>
              <w:rPr>
                <w:rFonts w:hint="eastAsia" w:ascii="宋体" w:hAnsi="宋体"/>
                <w:color w:val="000000"/>
                <w:kern w:val="0"/>
                <w:sz w:val="18"/>
                <w:szCs w:val="18"/>
              </w:rPr>
              <w:t>经济效益指标</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指标1:</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kern w:val="2"/>
                <w:sz w:val="18"/>
                <w:szCs w:val="18"/>
                <w:lang w:val="en-US" w:eastAsia="zh-CN" w:bidi="ar-SA"/>
              </w:rPr>
            </w:pPr>
            <w:r>
              <w:rPr>
                <w:rFonts w:hint="eastAsia"/>
                <w:kern w:val="2"/>
                <w:sz w:val="18"/>
                <w:szCs w:val="18"/>
                <w:lang w:val="en-US" w:eastAsia="zh-CN" w:bidi="ar-SA"/>
              </w:rPr>
              <w:t>　不适用</w:t>
            </w:r>
          </w:p>
        </w:tc>
        <w:tc>
          <w:tcPr>
            <w:tcW w:w="110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kern w:val="2"/>
                <w:sz w:val="18"/>
                <w:szCs w:val="18"/>
                <w:lang w:val="en-US" w:eastAsia="zh-CN" w:bidi="ar-SA"/>
              </w:rPr>
            </w:pPr>
            <w:r>
              <w:rPr>
                <w:rFonts w:hint="eastAsia"/>
                <w:kern w:val="2"/>
                <w:sz w:val="18"/>
                <w:szCs w:val="18"/>
                <w:lang w:val="en-US" w:eastAsia="zh-CN" w:bidi="ar-SA"/>
              </w:rPr>
              <w:t>　</w:t>
            </w:r>
          </w:p>
        </w:tc>
        <w:tc>
          <w:tcPr>
            <w:tcW w:w="95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kern w:val="2"/>
                <w:sz w:val="18"/>
                <w:szCs w:val="18"/>
                <w:lang w:val="en-US" w:eastAsia="zh-CN" w:bidi="ar-SA"/>
              </w:rPr>
            </w:pPr>
            <w:r>
              <w:rPr>
                <w:rFonts w:hint="eastAsia"/>
                <w:kern w:val="2"/>
                <w:sz w:val="18"/>
                <w:szCs w:val="18"/>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4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02"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center"/>
              <w:rPr>
                <w:rFonts w:ascii="宋体" w:hAnsi="宋体"/>
                <w:color w:val="000000"/>
                <w:kern w:val="0"/>
                <w:sz w:val="18"/>
                <w:szCs w:val="18"/>
              </w:rPr>
            </w:pPr>
            <w:r>
              <w:rPr>
                <w:rFonts w:hint="eastAsia" w:ascii="宋体" w:hAnsi="宋体"/>
                <w:color w:val="000000"/>
                <w:kern w:val="0"/>
                <w:sz w:val="18"/>
                <w:szCs w:val="18"/>
              </w:rPr>
              <w:t>社会效益指标</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指标1:</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kern w:val="2"/>
                <w:sz w:val="18"/>
                <w:szCs w:val="18"/>
                <w:lang w:val="en-US" w:eastAsia="zh-CN" w:bidi="ar-SA"/>
              </w:rPr>
            </w:pPr>
            <w:r>
              <w:rPr>
                <w:rFonts w:hint="eastAsia"/>
                <w:kern w:val="2"/>
                <w:sz w:val="18"/>
                <w:szCs w:val="18"/>
                <w:lang w:val="en-US" w:eastAsia="zh-CN" w:bidi="ar-SA"/>
              </w:rPr>
              <w:t>渡口、渡船运行正常率</w:t>
            </w:r>
            <w:r>
              <w:rPr>
                <w:rFonts w:hint="eastAsia"/>
                <w:sz w:val="18"/>
                <w:szCs w:val="18"/>
              </w:rPr>
              <w:t>＝</w:t>
            </w:r>
            <w:r>
              <w:rPr>
                <w:rFonts w:hint="eastAsia"/>
                <w:sz w:val="18"/>
                <w:szCs w:val="18"/>
                <w:lang w:val="en-US" w:eastAsia="zh-CN"/>
              </w:rPr>
              <w:t>100%</w:t>
            </w:r>
            <w:r>
              <w:rPr>
                <w:rFonts w:hint="eastAsia"/>
                <w:kern w:val="2"/>
                <w:sz w:val="18"/>
                <w:szCs w:val="18"/>
                <w:lang w:val="en-US" w:eastAsia="zh-CN" w:bidi="ar-SA"/>
              </w:rPr>
              <w:t>　</w:t>
            </w:r>
          </w:p>
        </w:tc>
        <w:tc>
          <w:tcPr>
            <w:tcW w:w="110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kern w:val="2"/>
                <w:sz w:val="18"/>
                <w:szCs w:val="18"/>
                <w:lang w:val="en-US" w:eastAsia="zh-CN" w:bidi="ar-SA"/>
              </w:rPr>
            </w:pPr>
            <w:r>
              <w:rPr>
                <w:rFonts w:hint="eastAsia"/>
                <w:kern w:val="2"/>
                <w:sz w:val="18"/>
                <w:szCs w:val="18"/>
                <w:lang w:val="en-US" w:eastAsia="zh-CN" w:bidi="ar-SA"/>
              </w:rPr>
              <w:t>渡口、渡船运行正常率</w:t>
            </w:r>
            <w:r>
              <w:rPr>
                <w:rFonts w:hint="eastAsia"/>
                <w:sz w:val="18"/>
                <w:szCs w:val="18"/>
              </w:rPr>
              <w:t>＝</w:t>
            </w:r>
            <w:r>
              <w:rPr>
                <w:rFonts w:hint="eastAsia"/>
                <w:sz w:val="18"/>
                <w:szCs w:val="18"/>
                <w:lang w:val="en-US" w:eastAsia="zh-CN"/>
              </w:rPr>
              <w:t>100%</w:t>
            </w:r>
          </w:p>
        </w:tc>
        <w:tc>
          <w:tcPr>
            <w:tcW w:w="95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kern w:val="2"/>
                <w:sz w:val="18"/>
                <w:szCs w:val="18"/>
                <w:lang w:val="en-US" w:eastAsia="zh-CN" w:bidi="ar-SA"/>
              </w:rPr>
            </w:pPr>
            <w:r>
              <w:rPr>
                <w:rFonts w:hint="eastAsia" w:ascii="宋体" w:hAnsi="宋体"/>
                <w:color w:val="000000"/>
                <w:kern w:val="0"/>
                <w:sz w:val="18"/>
                <w:szCs w:val="18"/>
              </w:rPr>
              <w:t>不存在重大偏差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4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02"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olor w:val="000000"/>
                <w:kern w:val="0"/>
                <w:sz w:val="18"/>
                <w:szCs w:val="18"/>
              </w:rPr>
            </w:pP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color w:val="000000"/>
                <w:kern w:val="0"/>
                <w:sz w:val="18"/>
                <w:szCs w:val="18"/>
              </w:rPr>
            </w:pPr>
            <w:r>
              <w:rPr>
                <w:rFonts w:hint="eastAsia" w:ascii="宋体" w:hAnsi="宋体"/>
                <w:color w:val="000000"/>
                <w:kern w:val="0"/>
                <w:sz w:val="18"/>
                <w:szCs w:val="18"/>
              </w:rPr>
              <w:t>指标</w:t>
            </w:r>
            <w:r>
              <w:rPr>
                <w:rFonts w:hint="eastAsia" w:ascii="宋体" w:hAnsi="宋体"/>
                <w:color w:val="000000"/>
                <w:kern w:val="0"/>
                <w:sz w:val="18"/>
                <w:szCs w:val="18"/>
                <w:lang w:val="en-US" w:eastAsia="zh-CN"/>
              </w:rPr>
              <w:t>2</w:t>
            </w:r>
            <w:r>
              <w:rPr>
                <w:rFonts w:hint="eastAsia" w:ascii="宋体" w:hAnsi="宋体"/>
                <w:color w:val="000000"/>
                <w:kern w:val="0"/>
                <w:sz w:val="18"/>
                <w:szCs w:val="18"/>
              </w:rPr>
              <w:t>:</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color w:val="000000"/>
                <w:kern w:val="0"/>
                <w:sz w:val="18"/>
                <w:szCs w:val="18"/>
              </w:rPr>
            </w:pPr>
            <w:r>
              <w:rPr>
                <w:rFonts w:hint="eastAsia" w:ascii="宋体" w:hAnsi="宋体"/>
                <w:color w:val="000000"/>
                <w:kern w:val="0"/>
                <w:sz w:val="18"/>
                <w:szCs w:val="18"/>
              </w:rPr>
              <w:t>渡口监控覆盖率</w:t>
            </w:r>
            <w:r>
              <w:rPr>
                <w:rFonts w:hint="eastAsia"/>
                <w:sz w:val="18"/>
                <w:szCs w:val="18"/>
              </w:rPr>
              <w:t>＝</w:t>
            </w:r>
            <w:r>
              <w:rPr>
                <w:rFonts w:hint="eastAsia"/>
                <w:sz w:val="18"/>
                <w:szCs w:val="18"/>
                <w:lang w:val="en-US" w:eastAsia="zh-CN"/>
              </w:rPr>
              <w:t>100%</w:t>
            </w:r>
          </w:p>
        </w:tc>
        <w:tc>
          <w:tcPr>
            <w:tcW w:w="110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kern w:val="2"/>
                <w:sz w:val="18"/>
                <w:szCs w:val="18"/>
                <w:lang w:val="en-US" w:eastAsia="zh-CN" w:bidi="ar-SA"/>
              </w:rPr>
            </w:pPr>
            <w:r>
              <w:rPr>
                <w:rFonts w:hint="eastAsia" w:ascii="宋体" w:hAnsi="宋体"/>
                <w:color w:val="000000"/>
                <w:kern w:val="0"/>
                <w:sz w:val="18"/>
                <w:szCs w:val="18"/>
              </w:rPr>
              <w:t>渡口监控覆盖率</w:t>
            </w:r>
            <w:r>
              <w:rPr>
                <w:rFonts w:hint="eastAsia"/>
                <w:sz w:val="18"/>
                <w:szCs w:val="18"/>
              </w:rPr>
              <w:t>＝</w:t>
            </w:r>
            <w:r>
              <w:rPr>
                <w:rFonts w:hint="eastAsia"/>
                <w:sz w:val="18"/>
                <w:szCs w:val="18"/>
                <w:lang w:val="en-US" w:eastAsia="zh-CN"/>
              </w:rPr>
              <w:t>100%</w:t>
            </w:r>
          </w:p>
        </w:tc>
        <w:tc>
          <w:tcPr>
            <w:tcW w:w="95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color w:val="000000"/>
                <w:kern w:val="0"/>
                <w:sz w:val="18"/>
                <w:szCs w:val="18"/>
              </w:rPr>
            </w:pPr>
            <w:r>
              <w:rPr>
                <w:rFonts w:hint="eastAsia" w:ascii="宋体" w:hAnsi="宋体"/>
                <w:color w:val="000000"/>
                <w:kern w:val="0"/>
                <w:sz w:val="18"/>
                <w:szCs w:val="18"/>
              </w:rPr>
              <w:t>不存在重大偏差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4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02"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olor w:val="000000"/>
                <w:kern w:val="0"/>
                <w:sz w:val="18"/>
                <w:szCs w:val="18"/>
              </w:rPr>
            </w:pP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hint="eastAsia" w:ascii="宋体" w:hAnsi="宋体"/>
                <w:color w:val="000000"/>
                <w:kern w:val="0"/>
                <w:sz w:val="18"/>
                <w:szCs w:val="18"/>
                <w:lang w:val="en-US" w:eastAsia="zh-CN"/>
              </w:rPr>
              <w:t>3</w:t>
            </w:r>
            <w:r>
              <w:rPr>
                <w:rFonts w:hint="eastAsia" w:ascii="宋体" w:hAnsi="宋体"/>
                <w:color w:val="000000"/>
                <w:kern w:val="0"/>
                <w:sz w:val="18"/>
                <w:szCs w:val="18"/>
              </w:rPr>
              <w:t>:</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航道通行正常率</w:t>
            </w:r>
            <w:r>
              <w:rPr>
                <w:rFonts w:hint="eastAsia"/>
                <w:sz w:val="18"/>
                <w:szCs w:val="18"/>
              </w:rPr>
              <w:t>＝</w:t>
            </w:r>
            <w:r>
              <w:rPr>
                <w:rFonts w:hint="eastAsia"/>
                <w:sz w:val="18"/>
                <w:szCs w:val="18"/>
                <w:lang w:val="en-US" w:eastAsia="zh-CN"/>
              </w:rPr>
              <w:t>100%</w:t>
            </w:r>
          </w:p>
        </w:tc>
        <w:tc>
          <w:tcPr>
            <w:tcW w:w="110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kern w:val="2"/>
                <w:sz w:val="18"/>
                <w:szCs w:val="18"/>
                <w:lang w:val="en-US" w:eastAsia="zh-CN" w:bidi="ar-SA"/>
              </w:rPr>
            </w:pPr>
            <w:r>
              <w:rPr>
                <w:rFonts w:hint="eastAsia" w:ascii="宋体" w:hAnsi="宋体"/>
                <w:color w:val="000000"/>
                <w:kern w:val="0"/>
                <w:sz w:val="18"/>
                <w:szCs w:val="18"/>
              </w:rPr>
              <w:t>航道通行正常率</w:t>
            </w:r>
            <w:r>
              <w:rPr>
                <w:rFonts w:hint="eastAsia"/>
                <w:sz w:val="18"/>
                <w:szCs w:val="18"/>
              </w:rPr>
              <w:t>＝</w:t>
            </w:r>
            <w:r>
              <w:rPr>
                <w:rFonts w:hint="eastAsia"/>
                <w:sz w:val="18"/>
                <w:szCs w:val="18"/>
                <w:lang w:val="en-US" w:eastAsia="zh-CN"/>
              </w:rPr>
              <w:t>100%</w:t>
            </w:r>
            <w:r>
              <w:rPr>
                <w:rFonts w:hint="eastAsia"/>
                <w:kern w:val="2"/>
                <w:sz w:val="18"/>
                <w:szCs w:val="18"/>
                <w:lang w:val="en-US" w:eastAsia="zh-CN" w:bidi="ar-SA"/>
              </w:rPr>
              <w:t>　</w:t>
            </w:r>
          </w:p>
        </w:tc>
        <w:tc>
          <w:tcPr>
            <w:tcW w:w="95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不存在重大偏差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4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0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center"/>
              <w:rPr>
                <w:rFonts w:ascii="宋体" w:hAnsi="宋体"/>
                <w:color w:val="000000"/>
                <w:kern w:val="0"/>
                <w:sz w:val="18"/>
                <w:szCs w:val="18"/>
              </w:rPr>
            </w:pPr>
            <w:r>
              <w:rPr>
                <w:rFonts w:hint="eastAsia" w:ascii="宋体" w:hAnsi="宋体"/>
                <w:color w:val="000000"/>
                <w:kern w:val="0"/>
                <w:sz w:val="18"/>
                <w:szCs w:val="18"/>
              </w:rPr>
              <w:t>生态效益指标</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指标1:</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kern w:val="2"/>
                <w:sz w:val="18"/>
                <w:szCs w:val="18"/>
                <w:lang w:val="en-US" w:eastAsia="zh-CN" w:bidi="ar-SA"/>
              </w:rPr>
              <w:t>　不适用</w:t>
            </w:r>
          </w:p>
        </w:tc>
        <w:tc>
          <w:tcPr>
            <w:tcW w:w="110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kern w:val="2"/>
                <w:sz w:val="18"/>
                <w:szCs w:val="18"/>
                <w:lang w:val="en-US" w:eastAsia="zh-CN" w:bidi="ar-SA"/>
              </w:rPr>
            </w:pPr>
            <w:r>
              <w:rPr>
                <w:rFonts w:hint="eastAsia"/>
                <w:kern w:val="2"/>
                <w:sz w:val="18"/>
                <w:szCs w:val="18"/>
                <w:lang w:val="en-US" w:eastAsia="zh-CN" w:bidi="ar-SA"/>
              </w:rPr>
              <w:t>　</w:t>
            </w:r>
          </w:p>
        </w:tc>
        <w:tc>
          <w:tcPr>
            <w:tcW w:w="95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4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60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center"/>
              <w:rPr>
                <w:rFonts w:ascii="宋体" w:hAnsi="宋体"/>
                <w:color w:val="000000"/>
                <w:kern w:val="0"/>
                <w:sz w:val="18"/>
                <w:szCs w:val="18"/>
              </w:rPr>
            </w:pPr>
            <w:r>
              <w:rPr>
                <w:rFonts w:hint="eastAsia" w:ascii="宋体" w:hAnsi="宋体"/>
                <w:color w:val="000000"/>
                <w:kern w:val="0"/>
                <w:sz w:val="18"/>
                <w:szCs w:val="18"/>
              </w:rPr>
              <w:t>可持续影响指标</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指标1:</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sz w:val="18"/>
                <w:szCs w:val="18"/>
              </w:rPr>
              <w:t>内部运行机制健全性定性好坏</w:t>
            </w:r>
          </w:p>
        </w:tc>
        <w:tc>
          <w:tcPr>
            <w:tcW w:w="110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olor w:val="000000"/>
                <w:kern w:val="0"/>
                <w:sz w:val="18"/>
                <w:szCs w:val="18"/>
                <w:lang w:eastAsia="zh-CN"/>
              </w:rPr>
            </w:pPr>
            <w:r>
              <w:rPr>
                <w:rFonts w:hint="eastAsia" w:ascii="宋体" w:hAnsi="宋体"/>
                <w:color w:val="000000"/>
                <w:kern w:val="0"/>
                <w:sz w:val="18"/>
                <w:szCs w:val="18"/>
              </w:rPr>
              <w:t>　</w:t>
            </w:r>
            <w:r>
              <w:rPr>
                <w:rFonts w:hint="eastAsia" w:ascii="宋体" w:hAnsi="宋体"/>
                <w:color w:val="000000"/>
                <w:kern w:val="0"/>
                <w:sz w:val="18"/>
                <w:szCs w:val="18"/>
                <w:lang w:eastAsia="zh-CN"/>
              </w:rPr>
              <w:t>好</w:t>
            </w:r>
          </w:p>
        </w:tc>
        <w:tc>
          <w:tcPr>
            <w:tcW w:w="95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不存在重大偏差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6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olor w:val="000000"/>
                <w:kern w:val="0"/>
                <w:sz w:val="18"/>
                <w:szCs w:val="18"/>
              </w:rPr>
            </w:pPr>
          </w:p>
        </w:tc>
        <w:tc>
          <w:tcPr>
            <w:tcW w:w="45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满意度</w:t>
            </w:r>
          </w:p>
          <w:p>
            <w:pPr>
              <w:widowControl/>
              <w:spacing w:line="240" w:lineRule="exact"/>
              <w:ind w:left="0" w:leftChars="0" w:firstLine="0" w:firstLineChars="0"/>
              <w:jc w:val="both"/>
              <w:rPr>
                <w:rFonts w:ascii="宋体" w:hAnsi="宋体"/>
                <w:color w:val="000000"/>
                <w:kern w:val="0"/>
                <w:sz w:val="18"/>
                <w:szCs w:val="18"/>
              </w:rPr>
            </w:pPr>
            <w:r>
              <w:rPr>
                <w:rFonts w:hint="eastAsia" w:ascii="宋体" w:hAnsi="宋体"/>
                <w:color w:val="000000"/>
                <w:kern w:val="0"/>
                <w:sz w:val="18"/>
                <w:szCs w:val="18"/>
              </w:rPr>
              <w:t>指标</w:t>
            </w:r>
          </w:p>
        </w:tc>
        <w:tc>
          <w:tcPr>
            <w:tcW w:w="60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ind w:left="0" w:leftChars="0" w:firstLine="0" w:firstLineChars="0"/>
              <w:jc w:val="center"/>
              <w:rPr>
                <w:rFonts w:ascii="宋体" w:hAnsi="宋体"/>
                <w:color w:val="000000"/>
                <w:kern w:val="0"/>
                <w:sz w:val="18"/>
                <w:szCs w:val="18"/>
              </w:rPr>
            </w:pPr>
            <w:r>
              <w:rPr>
                <w:rFonts w:hint="eastAsia" w:ascii="宋体" w:hAnsi="宋体"/>
                <w:color w:val="000000"/>
                <w:kern w:val="0"/>
                <w:sz w:val="18"/>
                <w:szCs w:val="18"/>
              </w:rPr>
              <w:t>满意度指标</w:t>
            </w:r>
          </w:p>
        </w:tc>
        <w:tc>
          <w:tcPr>
            <w:tcW w:w="67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指标1:</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渡口渡船从业人员满意度≥</w:t>
            </w:r>
            <w:r>
              <w:rPr>
                <w:rFonts w:hint="eastAsia" w:ascii="宋体" w:hAnsi="宋体"/>
                <w:color w:val="000000"/>
                <w:kern w:val="0"/>
                <w:sz w:val="18"/>
                <w:szCs w:val="18"/>
                <w:lang w:val="en-US" w:eastAsia="zh-CN"/>
              </w:rPr>
              <w:t>80%</w:t>
            </w:r>
            <w:r>
              <w:rPr>
                <w:rFonts w:hint="eastAsia" w:ascii="宋体" w:hAnsi="宋体"/>
                <w:color w:val="000000"/>
                <w:kern w:val="0"/>
                <w:sz w:val="18"/>
                <w:szCs w:val="18"/>
              </w:rPr>
              <w:t>　</w:t>
            </w:r>
          </w:p>
        </w:tc>
        <w:tc>
          <w:tcPr>
            <w:tcW w:w="110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　</w:t>
            </w:r>
            <w:r>
              <w:rPr>
                <w:rFonts w:hint="eastAsia" w:ascii="宋体" w:hAnsi="宋体"/>
                <w:color w:val="000000"/>
                <w:kern w:val="0"/>
                <w:sz w:val="18"/>
                <w:szCs w:val="18"/>
                <w:lang w:eastAsia="zh-CN"/>
              </w:rPr>
              <w:t>满意度为</w:t>
            </w:r>
            <w:r>
              <w:rPr>
                <w:rFonts w:hint="eastAsia" w:ascii="宋体" w:hAnsi="宋体"/>
                <w:color w:val="000000"/>
                <w:kern w:val="0"/>
                <w:sz w:val="18"/>
                <w:szCs w:val="18"/>
                <w:lang w:val="en-US" w:eastAsia="zh-CN"/>
              </w:rPr>
              <w:t>85%</w:t>
            </w:r>
          </w:p>
        </w:tc>
        <w:tc>
          <w:tcPr>
            <w:tcW w:w="95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color w:val="000000"/>
                <w:kern w:val="0"/>
                <w:sz w:val="18"/>
                <w:szCs w:val="18"/>
              </w:rPr>
            </w:pPr>
            <w:r>
              <w:rPr>
                <w:rFonts w:hint="eastAsia" w:ascii="宋体" w:hAnsi="宋体"/>
                <w:color w:val="000000"/>
                <w:kern w:val="0"/>
                <w:sz w:val="18"/>
                <w:szCs w:val="18"/>
              </w:rPr>
              <w:t>不存在重大偏差</w:t>
            </w:r>
          </w:p>
        </w:tc>
      </w:tr>
    </w:tbl>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ind w:left="0" w:leftChars="0" w:firstLine="0" w:firstLineChars="0"/>
        <w:rPr>
          <w:rFonts w:hint="eastAsia" w:ascii="黑体" w:hAnsi="黑体" w:eastAsia="黑体"/>
          <w:color w:val="000000"/>
          <w:sz w:val="44"/>
          <w:szCs w:val="44"/>
          <w:lang w:eastAsia="zh-CN"/>
        </w:rPr>
      </w:pPr>
    </w:p>
    <w:p>
      <w:pPr>
        <w:rPr>
          <w:rFonts w:hint="eastAsia" w:ascii="黑体" w:hAnsi="黑体" w:eastAsia="黑体"/>
          <w:color w:val="000000"/>
          <w:sz w:val="44"/>
          <w:szCs w:val="44"/>
        </w:rPr>
      </w:pPr>
    </w:p>
    <w:p>
      <w:pPr>
        <w:pStyle w:val="2"/>
        <w:ind w:left="0" w:leftChars="0" w:firstLine="0" w:firstLineChars="0"/>
        <w:rPr>
          <w:rFonts w:hint="eastAsia" w:ascii="黑体" w:hAnsi="黑体" w:eastAsia="黑体"/>
          <w:color w:val="000000"/>
          <w:sz w:val="44"/>
          <w:szCs w:val="44"/>
        </w:rPr>
      </w:pPr>
    </w:p>
    <w:p>
      <w:pPr>
        <w:pStyle w:val="3"/>
        <w:bidi w:val="0"/>
        <w:rPr>
          <w:rStyle w:val="25"/>
          <w:rFonts w:ascii="黑体" w:hAnsi="黑体" w:eastAsia="黑体"/>
          <w:b w:val="0"/>
          <w:bCs/>
        </w:rPr>
      </w:pPr>
      <w:bookmarkStart w:id="113" w:name="_Toc17189"/>
      <w:bookmarkStart w:id="114" w:name="_Toc17513"/>
      <w:bookmarkStart w:id="115" w:name="_Toc13258"/>
      <w:r>
        <w:rPr>
          <w:rStyle w:val="25"/>
          <w:rFonts w:hint="eastAsia" w:ascii="黑体" w:hAnsi="黑体" w:eastAsia="黑体"/>
          <w:b w:val="0"/>
          <w:bCs/>
        </w:rPr>
        <w:t>第五部分 附表</w:t>
      </w:r>
      <w:bookmarkEnd w:id="98"/>
      <w:bookmarkEnd w:id="112"/>
      <w:bookmarkEnd w:id="113"/>
      <w:bookmarkEnd w:id="114"/>
      <w:bookmarkEnd w:id="115"/>
    </w:p>
    <w:p>
      <w:pPr>
        <w:pStyle w:val="4"/>
        <w:bidi w:val="0"/>
      </w:pPr>
      <w:bookmarkStart w:id="116" w:name="_Toc6778"/>
      <w:bookmarkStart w:id="117" w:name="_Toc18975"/>
      <w:bookmarkStart w:id="118" w:name="_Toc13751"/>
      <w:r>
        <w:rPr>
          <w:rFonts w:hint="eastAsia"/>
        </w:rPr>
        <w:t>一、收入支出决算总表</w:t>
      </w:r>
      <w:bookmarkEnd w:id="116"/>
      <w:bookmarkEnd w:id="117"/>
      <w:bookmarkEnd w:id="118"/>
    </w:p>
    <w:p>
      <w:pPr>
        <w:pStyle w:val="4"/>
        <w:bidi w:val="0"/>
      </w:pPr>
      <w:bookmarkStart w:id="119" w:name="_Toc32083"/>
      <w:bookmarkStart w:id="120" w:name="_Toc11976"/>
      <w:bookmarkStart w:id="121" w:name="_Toc143"/>
      <w:r>
        <w:rPr>
          <w:rFonts w:hint="eastAsia"/>
        </w:rPr>
        <w:t>二、收入决算表</w:t>
      </w:r>
      <w:bookmarkEnd w:id="119"/>
      <w:bookmarkEnd w:id="120"/>
      <w:bookmarkEnd w:id="121"/>
    </w:p>
    <w:p>
      <w:pPr>
        <w:pStyle w:val="4"/>
        <w:bidi w:val="0"/>
      </w:pPr>
      <w:bookmarkStart w:id="122" w:name="_Toc14034"/>
      <w:bookmarkStart w:id="123" w:name="_Toc32590"/>
      <w:bookmarkStart w:id="124" w:name="_Toc8714"/>
      <w:r>
        <w:rPr>
          <w:rFonts w:hint="eastAsia"/>
        </w:rPr>
        <w:t>三、支出决算表</w:t>
      </w:r>
      <w:bookmarkEnd w:id="122"/>
      <w:bookmarkEnd w:id="123"/>
      <w:bookmarkEnd w:id="124"/>
    </w:p>
    <w:p>
      <w:pPr>
        <w:pStyle w:val="4"/>
        <w:bidi w:val="0"/>
      </w:pPr>
      <w:bookmarkStart w:id="125" w:name="_Toc12274"/>
      <w:bookmarkStart w:id="126" w:name="_Toc12953"/>
      <w:bookmarkStart w:id="127" w:name="_Toc14974"/>
      <w:r>
        <w:rPr>
          <w:rFonts w:hint="eastAsia"/>
        </w:rPr>
        <w:t>四、财政拨款收入支出决算总表</w:t>
      </w:r>
      <w:bookmarkEnd w:id="125"/>
      <w:bookmarkEnd w:id="126"/>
      <w:bookmarkEnd w:id="127"/>
    </w:p>
    <w:p>
      <w:pPr>
        <w:pStyle w:val="4"/>
        <w:bidi w:val="0"/>
      </w:pPr>
      <w:bookmarkStart w:id="128" w:name="_Toc661"/>
      <w:bookmarkStart w:id="129" w:name="_Toc14055"/>
      <w:bookmarkStart w:id="130" w:name="_Toc12712"/>
      <w:r>
        <w:rPr>
          <w:rFonts w:hint="eastAsia"/>
        </w:rPr>
        <w:t>五、财政拨款支出决算明细表</w:t>
      </w:r>
      <w:bookmarkEnd w:id="128"/>
      <w:bookmarkEnd w:id="129"/>
      <w:bookmarkEnd w:id="130"/>
    </w:p>
    <w:p>
      <w:pPr>
        <w:pStyle w:val="4"/>
        <w:bidi w:val="0"/>
      </w:pPr>
      <w:bookmarkStart w:id="131" w:name="_Toc24960"/>
      <w:bookmarkStart w:id="132" w:name="_Toc9486"/>
      <w:bookmarkStart w:id="133" w:name="_Toc2998"/>
      <w:r>
        <w:rPr>
          <w:rFonts w:hint="eastAsia"/>
        </w:rPr>
        <w:t>六、一般公共预算财政拨款支出决算表</w:t>
      </w:r>
      <w:bookmarkEnd w:id="131"/>
      <w:bookmarkEnd w:id="132"/>
      <w:bookmarkEnd w:id="133"/>
    </w:p>
    <w:p>
      <w:pPr>
        <w:pStyle w:val="4"/>
        <w:bidi w:val="0"/>
      </w:pPr>
      <w:bookmarkStart w:id="134" w:name="_Toc8449"/>
      <w:bookmarkStart w:id="135" w:name="_Toc12511"/>
      <w:bookmarkStart w:id="136" w:name="_Toc8190"/>
      <w:r>
        <w:rPr>
          <w:rFonts w:hint="eastAsia"/>
        </w:rPr>
        <w:t>七、一般公共预算财政拨款支出决算明细表</w:t>
      </w:r>
      <w:bookmarkEnd w:id="134"/>
      <w:bookmarkEnd w:id="135"/>
      <w:bookmarkEnd w:id="136"/>
    </w:p>
    <w:p>
      <w:pPr>
        <w:pStyle w:val="4"/>
        <w:bidi w:val="0"/>
      </w:pPr>
      <w:bookmarkStart w:id="137" w:name="_Toc18771"/>
      <w:bookmarkStart w:id="138" w:name="_Toc15177"/>
      <w:bookmarkStart w:id="139" w:name="_Toc29590"/>
      <w:r>
        <w:rPr>
          <w:rFonts w:hint="eastAsia"/>
        </w:rPr>
        <w:t>八、一般公共预算财政拨款基本支出决算表</w:t>
      </w:r>
      <w:bookmarkEnd w:id="137"/>
      <w:bookmarkEnd w:id="138"/>
      <w:bookmarkEnd w:id="139"/>
    </w:p>
    <w:p>
      <w:pPr>
        <w:pStyle w:val="4"/>
        <w:bidi w:val="0"/>
      </w:pPr>
      <w:bookmarkStart w:id="140" w:name="_Toc22889"/>
      <w:bookmarkStart w:id="141" w:name="_Toc11717"/>
      <w:bookmarkStart w:id="142" w:name="_Toc17008"/>
      <w:bookmarkStart w:id="143" w:name="_Toc15396627"/>
      <w:r>
        <w:rPr>
          <w:rFonts w:hint="eastAsia"/>
        </w:rPr>
        <w:t>九、一般公共预算财政拨款项目支出决算表</w:t>
      </w:r>
      <w:bookmarkEnd w:id="140"/>
      <w:bookmarkEnd w:id="141"/>
      <w:bookmarkEnd w:id="142"/>
      <w:bookmarkEnd w:id="143"/>
      <w:bookmarkStart w:id="160" w:name="_GoBack"/>
      <w:bookmarkEnd w:id="160"/>
    </w:p>
    <w:p>
      <w:pPr>
        <w:pStyle w:val="4"/>
        <w:bidi w:val="0"/>
      </w:pPr>
      <w:bookmarkStart w:id="144" w:name="_Toc15396628"/>
      <w:bookmarkStart w:id="145" w:name="_Toc27934"/>
      <w:bookmarkStart w:id="146" w:name="_Toc31170"/>
      <w:bookmarkStart w:id="147" w:name="_Toc1488"/>
      <w:r>
        <w:rPr>
          <w:rFonts w:hint="eastAsia"/>
        </w:rPr>
        <w:t>十、</w:t>
      </w:r>
      <w:bookmarkEnd w:id="144"/>
      <w:r>
        <w:rPr>
          <w:rFonts w:hint="eastAsia"/>
        </w:rPr>
        <w:t>政府性基金预算财政拨款收入支出决算表</w:t>
      </w:r>
      <w:bookmarkEnd w:id="145"/>
      <w:bookmarkEnd w:id="146"/>
      <w:bookmarkEnd w:id="147"/>
    </w:p>
    <w:p>
      <w:pPr>
        <w:pStyle w:val="4"/>
        <w:bidi w:val="0"/>
        <w:rPr>
          <w:rFonts w:ascii="仿宋" w:hAnsi="仿宋" w:eastAsia="仿宋"/>
        </w:rPr>
      </w:pPr>
      <w:bookmarkStart w:id="148" w:name="_Toc15396629"/>
      <w:bookmarkStart w:id="149" w:name="_Toc6624"/>
      <w:bookmarkStart w:id="150" w:name="_Toc21171"/>
      <w:bookmarkStart w:id="151" w:name="_Toc17201"/>
      <w:r>
        <w:rPr>
          <w:rFonts w:hint="eastAsia"/>
        </w:rPr>
        <w:t>十一、</w:t>
      </w:r>
      <w:bookmarkEnd w:id="148"/>
      <w:r>
        <w:rPr>
          <w:rFonts w:hint="eastAsia"/>
        </w:rPr>
        <w:t>国有资本经营预算财政拨款收入支出决算表</w:t>
      </w:r>
      <w:bookmarkEnd w:id="149"/>
      <w:bookmarkEnd w:id="150"/>
      <w:bookmarkEnd w:id="151"/>
    </w:p>
    <w:p>
      <w:pPr>
        <w:pStyle w:val="4"/>
        <w:bidi w:val="0"/>
        <w:rPr>
          <w:rFonts w:hint="eastAsia" w:ascii="仿宋" w:hAnsi="仿宋" w:eastAsia="仿宋"/>
          <w:b w:val="0"/>
        </w:rPr>
      </w:pPr>
      <w:bookmarkStart w:id="152" w:name="_Toc15396630"/>
      <w:bookmarkStart w:id="153" w:name="_Toc14859"/>
      <w:bookmarkStart w:id="154" w:name="_Toc4663"/>
      <w:bookmarkStart w:id="155" w:name="_Toc32383"/>
      <w:r>
        <w:rPr>
          <w:rFonts w:hint="eastAsia"/>
        </w:rPr>
        <w:t>十二、</w:t>
      </w:r>
      <w:bookmarkEnd w:id="152"/>
      <w:bookmarkStart w:id="156" w:name="_Toc15396631"/>
      <w:r>
        <w:rPr>
          <w:rFonts w:hint="eastAsia"/>
        </w:rPr>
        <w:t>国有资本经营预算财政拨款支出决算表</w:t>
      </w:r>
      <w:bookmarkEnd w:id="153"/>
      <w:bookmarkEnd w:id="154"/>
      <w:bookmarkEnd w:id="155"/>
    </w:p>
    <w:p>
      <w:pPr>
        <w:pStyle w:val="4"/>
        <w:bidi w:val="0"/>
        <w:rPr>
          <w:rStyle w:val="26"/>
          <w:rFonts w:hint="eastAsia" w:ascii="仿宋" w:hAnsi="仿宋" w:eastAsia="仿宋"/>
          <w:b w:val="0"/>
          <w:bCs w:val="0"/>
        </w:rPr>
      </w:pPr>
      <w:bookmarkStart w:id="157" w:name="_Toc12363"/>
      <w:bookmarkStart w:id="158" w:name="_Toc179"/>
      <w:bookmarkStart w:id="159" w:name="_Toc8428"/>
      <w:r>
        <w:rPr>
          <w:rFonts w:hint="eastAsia"/>
        </w:rPr>
        <w:t>十三、</w:t>
      </w:r>
      <w:bookmarkEnd w:id="156"/>
      <w:r>
        <w:rPr>
          <w:rFonts w:hint="eastAsia"/>
        </w:rPr>
        <w:t>财政拨款“三公”经费支出决算表</w:t>
      </w:r>
      <w:bookmarkEnd w:id="157"/>
      <w:bookmarkEnd w:id="158"/>
      <w:bookmarkEnd w:id="159"/>
    </w:p>
    <w:p>
      <w:pPr>
        <w:pStyle w:val="4"/>
        <w:rPr>
          <w:rFonts w:ascii="仿宋" w:hAnsi="仿宋" w:eastAsia="仿宋"/>
          <w:color w:val="000000" w:themeColor="text1"/>
          <w:highlight w:val="yellow"/>
          <w14:textFill>
            <w14:solidFill>
              <w14:schemeClr w14:val="tx1"/>
            </w14:solidFill>
          </w14:textFill>
        </w:rPr>
      </w:pPr>
    </w:p>
    <w:sectPr>
      <w:footerReference r:id="rId7" w:type="first"/>
      <w:headerReference r:id="rId5" w:type="default"/>
      <w:footerReference r:id="rId6" w:type="default"/>
      <w:pgSz w:w="11906" w:h="16838"/>
      <w:pgMar w:top="1440" w:right="1800" w:bottom="1440" w:left="1800"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21" w:lineRule="exact"/>
      <w:ind w:left="20"/>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azvg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2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RrO+D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22</w:t>
                    </w:r>
                    <w:r>
                      <w:fldChar w:fldCharType="end"/>
                    </w:r>
                  </w:p>
                </w:txbxContent>
              </v:textbox>
            </v:shape>
          </w:pict>
        </mc:Fallback>
      </mc:AlternateContent>
    </w: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53340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4.2pt;height:144pt;width:144pt;mso-position-horizontal:center;mso-position-horizontal-relative:margin;mso-wrap-style:none;z-index:251659264;mso-width-relative:page;mso-height-relative:page;" filled="f" stroked="f" coordsize="21600,21600" o:gfxdata="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7sYotMAAAAGAQAADwAAAAAAAAABACAAAAAiAAAAZHJzL2Rvd25yZXYueG1sUEsBAhQA&#10;FAAAAAgAh07iQA8V5Q0wAgAAYwQAAA4AAAAAAAAAAQAgAAAAIgEAAGRycy9lMm9Eb2MueG1sUEsF&#10;BgAAAAAGAAYAWQEAAMQFA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5FtZAzAgAAYw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5FtZA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207A2E9"/>
    <w:multiLevelType w:val="singleLevel"/>
    <w:tmpl w:val="7207A2E9"/>
    <w:lvl w:ilvl="0" w:tentative="0">
      <w:start w:val="2"/>
      <w:numFmt w:val="chineseCounting"/>
      <w:suff w:val="nothing"/>
      <w:lvlText w:val="%1、"/>
      <w:lvlJc w:val="left"/>
      <w:rPr>
        <w:rFonts w:hint="eastAsia"/>
      </w:rPr>
    </w:lvl>
  </w:abstractNum>
  <w:abstractNum w:abstractNumId="4">
    <w:nsid w:val="7E2B1F8F"/>
    <w:multiLevelType w:val="singleLevel"/>
    <w:tmpl w:val="7E2B1F8F"/>
    <w:lvl w:ilvl="0" w:tentative="0">
      <w:start w:val="3"/>
      <w:numFmt w:val="decimal"/>
      <w:lvlText w:val="%1."/>
      <w:lvlJc w:val="left"/>
      <w:pPr>
        <w:tabs>
          <w:tab w:val="left" w:pos="312"/>
        </w:tabs>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yYTI4MTY4NGU1NzczNWQ4YTQyNDFlNGI0NTMzNjYifQ=="/>
  </w:docVars>
  <w:rsids>
    <w:rsidRoot w:val="00172A27"/>
    <w:rsid w:val="000222C6"/>
    <w:rsid w:val="0002549F"/>
    <w:rsid w:val="000315C8"/>
    <w:rsid w:val="0003385C"/>
    <w:rsid w:val="00046DB1"/>
    <w:rsid w:val="000574BE"/>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03AC"/>
    <w:rsid w:val="000E6613"/>
    <w:rsid w:val="000E7119"/>
    <w:rsid w:val="00114E9B"/>
    <w:rsid w:val="0014729F"/>
    <w:rsid w:val="00157BAB"/>
    <w:rsid w:val="0016008B"/>
    <w:rsid w:val="001654D1"/>
    <w:rsid w:val="00173124"/>
    <w:rsid w:val="0018106D"/>
    <w:rsid w:val="001844B5"/>
    <w:rsid w:val="001877A7"/>
    <w:rsid w:val="00191536"/>
    <w:rsid w:val="00196687"/>
    <w:rsid w:val="001A7127"/>
    <w:rsid w:val="001C0962"/>
    <w:rsid w:val="001D5B1A"/>
    <w:rsid w:val="001D7531"/>
    <w:rsid w:val="001E737D"/>
    <w:rsid w:val="001F0336"/>
    <w:rsid w:val="001F0592"/>
    <w:rsid w:val="001F7506"/>
    <w:rsid w:val="002006CD"/>
    <w:rsid w:val="00202B36"/>
    <w:rsid w:val="00204B7A"/>
    <w:rsid w:val="0021101A"/>
    <w:rsid w:val="00220536"/>
    <w:rsid w:val="002276A3"/>
    <w:rsid w:val="00227716"/>
    <w:rsid w:val="00235629"/>
    <w:rsid w:val="00243AD2"/>
    <w:rsid w:val="00260C38"/>
    <w:rsid w:val="002616C0"/>
    <w:rsid w:val="002662AA"/>
    <w:rsid w:val="00280496"/>
    <w:rsid w:val="0028444E"/>
    <w:rsid w:val="00295495"/>
    <w:rsid w:val="002A0578"/>
    <w:rsid w:val="002B2613"/>
    <w:rsid w:val="002C4E4C"/>
    <w:rsid w:val="002D1C95"/>
    <w:rsid w:val="002F1818"/>
    <w:rsid w:val="002F4289"/>
    <w:rsid w:val="002F567B"/>
    <w:rsid w:val="002F5725"/>
    <w:rsid w:val="003216A9"/>
    <w:rsid w:val="00330B5D"/>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50628"/>
    <w:rsid w:val="004529A8"/>
    <w:rsid w:val="00471401"/>
    <w:rsid w:val="00473F31"/>
    <w:rsid w:val="0048263A"/>
    <w:rsid w:val="00487E5D"/>
    <w:rsid w:val="004A711F"/>
    <w:rsid w:val="004B199D"/>
    <w:rsid w:val="004B4690"/>
    <w:rsid w:val="004E0A2D"/>
    <w:rsid w:val="004E206B"/>
    <w:rsid w:val="004E6DF7"/>
    <w:rsid w:val="004F0FBD"/>
    <w:rsid w:val="005056C1"/>
    <w:rsid w:val="00505A47"/>
    <w:rsid w:val="00512FDA"/>
    <w:rsid w:val="00520DA0"/>
    <w:rsid w:val="00544151"/>
    <w:rsid w:val="005443B4"/>
    <w:rsid w:val="005664BB"/>
    <w:rsid w:val="0057481D"/>
    <w:rsid w:val="00580237"/>
    <w:rsid w:val="0058030D"/>
    <w:rsid w:val="0058486E"/>
    <w:rsid w:val="005A1059"/>
    <w:rsid w:val="005A2A8F"/>
    <w:rsid w:val="005D1C8B"/>
    <w:rsid w:val="005D5CED"/>
    <w:rsid w:val="005D6EE8"/>
    <w:rsid w:val="005F1A4C"/>
    <w:rsid w:val="00605688"/>
    <w:rsid w:val="006070AF"/>
    <w:rsid w:val="00607E6C"/>
    <w:rsid w:val="006101B1"/>
    <w:rsid w:val="00614E44"/>
    <w:rsid w:val="00617ABD"/>
    <w:rsid w:val="00620798"/>
    <w:rsid w:val="00622830"/>
    <w:rsid w:val="00630AEF"/>
    <w:rsid w:val="006325F8"/>
    <w:rsid w:val="00634C9A"/>
    <w:rsid w:val="006440E4"/>
    <w:rsid w:val="0066343B"/>
    <w:rsid w:val="00663911"/>
    <w:rsid w:val="00664777"/>
    <w:rsid w:val="006748A4"/>
    <w:rsid w:val="00683C88"/>
    <w:rsid w:val="00683E73"/>
    <w:rsid w:val="00686AB7"/>
    <w:rsid w:val="0069427B"/>
    <w:rsid w:val="00695B65"/>
    <w:rsid w:val="006A3141"/>
    <w:rsid w:val="006A5E34"/>
    <w:rsid w:val="006B2422"/>
    <w:rsid w:val="006B2B9A"/>
    <w:rsid w:val="006B4535"/>
    <w:rsid w:val="006C1937"/>
    <w:rsid w:val="006D5A04"/>
    <w:rsid w:val="006F020C"/>
    <w:rsid w:val="00706242"/>
    <w:rsid w:val="007127B7"/>
    <w:rsid w:val="007416B6"/>
    <w:rsid w:val="00746F48"/>
    <w:rsid w:val="0075404D"/>
    <w:rsid w:val="0076182A"/>
    <w:rsid w:val="00767B7E"/>
    <w:rsid w:val="007770C3"/>
    <w:rsid w:val="00784D24"/>
    <w:rsid w:val="00785FBA"/>
    <w:rsid w:val="00786E4A"/>
    <w:rsid w:val="007875EB"/>
    <w:rsid w:val="0079426B"/>
    <w:rsid w:val="007A7DBD"/>
    <w:rsid w:val="007D312A"/>
    <w:rsid w:val="007D3F19"/>
    <w:rsid w:val="007E23B0"/>
    <w:rsid w:val="007E6A10"/>
    <w:rsid w:val="007F1991"/>
    <w:rsid w:val="007F2C2F"/>
    <w:rsid w:val="007F55FC"/>
    <w:rsid w:val="007F5665"/>
    <w:rsid w:val="00800112"/>
    <w:rsid w:val="00804059"/>
    <w:rsid w:val="008076A0"/>
    <w:rsid w:val="008253BB"/>
    <w:rsid w:val="0083706E"/>
    <w:rsid w:val="00837782"/>
    <w:rsid w:val="0084151F"/>
    <w:rsid w:val="008423A5"/>
    <w:rsid w:val="00850625"/>
    <w:rsid w:val="00853718"/>
    <w:rsid w:val="0085441A"/>
    <w:rsid w:val="00855221"/>
    <w:rsid w:val="00860645"/>
    <w:rsid w:val="00863CC6"/>
    <w:rsid w:val="00871F71"/>
    <w:rsid w:val="00885AF4"/>
    <w:rsid w:val="008939CD"/>
    <w:rsid w:val="00895F8D"/>
    <w:rsid w:val="008B768C"/>
    <w:rsid w:val="008C4CF1"/>
    <w:rsid w:val="008C4DB1"/>
    <w:rsid w:val="008C4EAF"/>
    <w:rsid w:val="008C5176"/>
    <w:rsid w:val="008C7FD0"/>
    <w:rsid w:val="008E1DE7"/>
    <w:rsid w:val="008E707C"/>
    <w:rsid w:val="00900B08"/>
    <w:rsid w:val="00902155"/>
    <w:rsid w:val="00902FA3"/>
    <w:rsid w:val="00923564"/>
    <w:rsid w:val="0092392E"/>
    <w:rsid w:val="009315F9"/>
    <w:rsid w:val="00935EF8"/>
    <w:rsid w:val="00946945"/>
    <w:rsid w:val="00947BE4"/>
    <w:rsid w:val="00951248"/>
    <w:rsid w:val="0095152F"/>
    <w:rsid w:val="00954C49"/>
    <w:rsid w:val="009650C2"/>
    <w:rsid w:val="0097099F"/>
    <w:rsid w:val="00971997"/>
    <w:rsid w:val="00971FFC"/>
    <w:rsid w:val="0098660A"/>
    <w:rsid w:val="009931C3"/>
    <w:rsid w:val="009B2C43"/>
    <w:rsid w:val="009B4EAE"/>
    <w:rsid w:val="009B7573"/>
    <w:rsid w:val="009C22F4"/>
    <w:rsid w:val="009C2E98"/>
    <w:rsid w:val="009D2677"/>
    <w:rsid w:val="009D3447"/>
    <w:rsid w:val="009D4711"/>
    <w:rsid w:val="009F1185"/>
    <w:rsid w:val="009F18CD"/>
    <w:rsid w:val="009F2A13"/>
    <w:rsid w:val="009F6375"/>
    <w:rsid w:val="00A04EB0"/>
    <w:rsid w:val="00A12D5C"/>
    <w:rsid w:val="00A13CC1"/>
    <w:rsid w:val="00A16847"/>
    <w:rsid w:val="00A237D8"/>
    <w:rsid w:val="00A268C4"/>
    <w:rsid w:val="00A307CD"/>
    <w:rsid w:val="00A40A00"/>
    <w:rsid w:val="00A4142F"/>
    <w:rsid w:val="00A56DF2"/>
    <w:rsid w:val="00A67AB5"/>
    <w:rsid w:val="00A718D3"/>
    <w:rsid w:val="00A91760"/>
    <w:rsid w:val="00A93B00"/>
    <w:rsid w:val="00A93C21"/>
    <w:rsid w:val="00AB6512"/>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E6E64"/>
    <w:rsid w:val="00BF1C05"/>
    <w:rsid w:val="00BF5BD6"/>
    <w:rsid w:val="00C03E31"/>
    <w:rsid w:val="00C10220"/>
    <w:rsid w:val="00C33E72"/>
    <w:rsid w:val="00C354B2"/>
    <w:rsid w:val="00C35554"/>
    <w:rsid w:val="00C42709"/>
    <w:rsid w:val="00C533CC"/>
    <w:rsid w:val="00C568AA"/>
    <w:rsid w:val="00C5751C"/>
    <w:rsid w:val="00C61BFC"/>
    <w:rsid w:val="00C62B85"/>
    <w:rsid w:val="00C65438"/>
    <w:rsid w:val="00C91CBB"/>
    <w:rsid w:val="00C92CA5"/>
    <w:rsid w:val="00CC09B6"/>
    <w:rsid w:val="00CC666F"/>
    <w:rsid w:val="00CD1E3F"/>
    <w:rsid w:val="00CD6D27"/>
    <w:rsid w:val="00CE44F6"/>
    <w:rsid w:val="00CE49DA"/>
    <w:rsid w:val="00CE7B61"/>
    <w:rsid w:val="00D00095"/>
    <w:rsid w:val="00D20620"/>
    <w:rsid w:val="00D26091"/>
    <w:rsid w:val="00D33621"/>
    <w:rsid w:val="00D34E7C"/>
    <w:rsid w:val="00D35489"/>
    <w:rsid w:val="00D51276"/>
    <w:rsid w:val="00D7035F"/>
    <w:rsid w:val="00DA65AC"/>
    <w:rsid w:val="00DB1913"/>
    <w:rsid w:val="00DB283C"/>
    <w:rsid w:val="00DC410D"/>
    <w:rsid w:val="00DC68CA"/>
    <w:rsid w:val="00DC7CBA"/>
    <w:rsid w:val="00DD73B7"/>
    <w:rsid w:val="00DD7A1D"/>
    <w:rsid w:val="00DF28BC"/>
    <w:rsid w:val="00DF34B9"/>
    <w:rsid w:val="00E01053"/>
    <w:rsid w:val="00E07ACF"/>
    <w:rsid w:val="00E212F1"/>
    <w:rsid w:val="00E331A1"/>
    <w:rsid w:val="00E33202"/>
    <w:rsid w:val="00E336A9"/>
    <w:rsid w:val="00E50624"/>
    <w:rsid w:val="00E568DF"/>
    <w:rsid w:val="00E64269"/>
    <w:rsid w:val="00E82267"/>
    <w:rsid w:val="00E9005E"/>
    <w:rsid w:val="00EA010F"/>
    <w:rsid w:val="00EB14C2"/>
    <w:rsid w:val="00EB1BDB"/>
    <w:rsid w:val="00ED1B63"/>
    <w:rsid w:val="00ED3C1F"/>
    <w:rsid w:val="00ED4085"/>
    <w:rsid w:val="00ED420E"/>
    <w:rsid w:val="00ED7CE3"/>
    <w:rsid w:val="00EE2F57"/>
    <w:rsid w:val="00EF4C34"/>
    <w:rsid w:val="00EF77C6"/>
    <w:rsid w:val="00F05438"/>
    <w:rsid w:val="00F0548C"/>
    <w:rsid w:val="00F1361C"/>
    <w:rsid w:val="00F160C7"/>
    <w:rsid w:val="00F36D8F"/>
    <w:rsid w:val="00F417B1"/>
    <w:rsid w:val="00F44F78"/>
    <w:rsid w:val="00F602DF"/>
    <w:rsid w:val="00F81FD9"/>
    <w:rsid w:val="00F841AA"/>
    <w:rsid w:val="00FA23E8"/>
    <w:rsid w:val="00FB0559"/>
    <w:rsid w:val="00FC744A"/>
    <w:rsid w:val="00FD3CC1"/>
    <w:rsid w:val="00FF1E02"/>
    <w:rsid w:val="00FF30B4"/>
    <w:rsid w:val="012515C4"/>
    <w:rsid w:val="0179251F"/>
    <w:rsid w:val="01AD28ED"/>
    <w:rsid w:val="02B1090F"/>
    <w:rsid w:val="030812E2"/>
    <w:rsid w:val="030D2310"/>
    <w:rsid w:val="03A86C35"/>
    <w:rsid w:val="03B40211"/>
    <w:rsid w:val="03D261CD"/>
    <w:rsid w:val="044E063A"/>
    <w:rsid w:val="046E7730"/>
    <w:rsid w:val="04FA6940"/>
    <w:rsid w:val="051C21EB"/>
    <w:rsid w:val="05394B77"/>
    <w:rsid w:val="05BB4D9D"/>
    <w:rsid w:val="0615060C"/>
    <w:rsid w:val="06264865"/>
    <w:rsid w:val="06701456"/>
    <w:rsid w:val="067D6841"/>
    <w:rsid w:val="071A0547"/>
    <w:rsid w:val="072B7208"/>
    <w:rsid w:val="077900FA"/>
    <w:rsid w:val="0A5F2606"/>
    <w:rsid w:val="0A7C0731"/>
    <w:rsid w:val="0AE94F48"/>
    <w:rsid w:val="0B90280A"/>
    <w:rsid w:val="0BCA056A"/>
    <w:rsid w:val="0BD63080"/>
    <w:rsid w:val="0BDE0CED"/>
    <w:rsid w:val="0C7A7898"/>
    <w:rsid w:val="0CF92A3E"/>
    <w:rsid w:val="0D334218"/>
    <w:rsid w:val="0D6925AE"/>
    <w:rsid w:val="0D7A2F08"/>
    <w:rsid w:val="0DEB1483"/>
    <w:rsid w:val="0EAA2294"/>
    <w:rsid w:val="0F307ACB"/>
    <w:rsid w:val="0F584C32"/>
    <w:rsid w:val="0F7041E8"/>
    <w:rsid w:val="10036425"/>
    <w:rsid w:val="1023418B"/>
    <w:rsid w:val="10C055FF"/>
    <w:rsid w:val="10F468BD"/>
    <w:rsid w:val="11040F19"/>
    <w:rsid w:val="11657C51"/>
    <w:rsid w:val="11795FEA"/>
    <w:rsid w:val="11DA29FB"/>
    <w:rsid w:val="12FB3F33"/>
    <w:rsid w:val="132073AE"/>
    <w:rsid w:val="13496B4C"/>
    <w:rsid w:val="13666699"/>
    <w:rsid w:val="13A740BB"/>
    <w:rsid w:val="13F6049A"/>
    <w:rsid w:val="14067CFB"/>
    <w:rsid w:val="14121DCA"/>
    <w:rsid w:val="1425251C"/>
    <w:rsid w:val="144E1CA3"/>
    <w:rsid w:val="14A708A7"/>
    <w:rsid w:val="14C26E4C"/>
    <w:rsid w:val="157A35C1"/>
    <w:rsid w:val="158C6313"/>
    <w:rsid w:val="16BB723D"/>
    <w:rsid w:val="174C6395"/>
    <w:rsid w:val="17507CE4"/>
    <w:rsid w:val="17964141"/>
    <w:rsid w:val="181D17A0"/>
    <w:rsid w:val="185935FD"/>
    <w:rsid w:val="18711AD0"/>
    <w:rsid w:val="18A26261"/>
    <w:rsid w:val="19632FCB"/>
    <w:rsid w:val="1A0A21F5"/>
    <w:rsid w:val="1A3D3083"/>
    <w:rsid w:val="1A7A5A84"/>
    <w:rsid w:val="1AD11435"/>
    <w:rsid w:val="1AF80F53"/>
    <w:rsid w:val="1C72007E"/>
    <w:rsid w:val="1C753610"/>
    <w:rsid w:val="1CAE7876"/>
    <w:rsid w:val="1CB5090F"/>
    <w:rsid w:val="1D577D79"/>
    <w:rsid w:val="1E796654"/>
    <w:rsid w:val="1E94348E"/>
    <w:rsid w:val="1F1F3A88"/>
    <w:rsid w:val="1F505806"/>
    <w:rsid w:val="1F5E5F75"/>
    <w:rsid w:val="1F7E0F2D"/>
    <w:rsid w:val="20234AC9"/>
    <w:rsid w:val="202F346E"/>
    <w:rsid w:val="206A3EA7"/>
    <w:rsid w:val="20F84509"/>
    <w:rsid w:val="21DD0674"/>
    <w:rsid w:val="23CE11F0"/>
    <w:rsid w:val="23E46C65"/>
    <w:rsid w:val="240371BF"/>
    <w:rsid w:val="242515DF"/>
    <w:rsid w:val="24425708"/>
    <w:rsid w:val="246A41DE"/>
    <w:rsid w:val="24F521A8"/>
    <w:rsid w:val="255D4103"/>
    <w:rsid w:val="258D2B2F"/>
    <w:rsid w:val="26041034"/>
    <w:rsid w:val="270C37C3"/>
    <w:rsid w:val="27856069"/>
    <w:rsid w:val="27D41F51"/>
    <w:rsid w:val="28A65A70"/>
    <w:rsid w:val="28B10F71"/>
    <w:rsid w:val="28F811E9"/>
    <w:rsid w:val="29115E06"/>
    <w:rsid w:val="2919717A"/>
    <w:rsid w:val="294D01DA"/>
    <w:rsid w:val="29E21D21"/>
    <w:rsid w:val="29FD04D3"/>
    <w:rsid w:val="2A0949B8"/>
    <w:rsid w:val="2A39786B"/>
    <w:rsid w:val="2AE2401A"/>
    <w:rsid w:val="2B876854"/>
    <w:rsid w:val="2C153CEE"/>
    <w:rsid w:val="2C961E0B"/>
    <w:rsid w:val="2CE61358"/>
    <w:rsid w:val="2D663D3F"/>
    <w:rsid w:val="2D711DBE"/>
    <w:rsid w:val="2DAA0D5B"/>
    <w:rsid w:val="2E9A03C0"/>
    <w:rsid w:val="2F190C3C"/>
    <w:rsid w:val="2FDA476F"/>
    <w:rsid w:val="30B77247"/>
    <w:rsid w:val="30D95C1C"/>
    <w:rsid w:val="30F2543E"/>
    <w:rsid w:val="31626610"/>
    <w:rsid w:val="31687E86"/>
    <w:rsid w:val="31995E77"/>
    <w:rsid w:val="319F7F4E"/>
    <w:rsid w:val="31B97755"/>
    <w:rsid w:val="32747550"/>
    <w:rsid w:val="32AC55BF"/>
    <w:rsid w:val="332A424B"/>
    <w:rsid w:val="33AC3D88"/>
    <w:rsid w:val="34A22D99"/>
    <w:rsid w:val="36747D1C"/>
    <w:rsid w:val="36831A08"/>
    <w:rsid w:val="36883480"/>
    <w:rsid w:val="36A5476B"/>
    <w:rsid w:val="36D05F12"/>
    <w:rsid w:val="376B3354"/>
    <w:rsid w:val="37B674A8"/>
    <w:rsid w:val="3845504C"/>
    <w:rsid w:val="38824575"/>
    <w:rsid w:val="38C547D3"/>
    <w:rsid w:val="38F372D7"/>
    <w:rsid w:val="39625193"/>
    <w:rsid w:val="396C0E56"/>
    <w:rsid w:val="39B527DE"/>
    <w:rsid w:val="39BD1052"/>
    <w:rsid w:val="39D30B18"/>
    <w:rsid w:val="39D35663"/>
    <w:rsid w:val="3A4303EE"/>
    <w:rsid w:val="3A974D2F"/>
    <w:rsid w:val="3AA50933"/>
    <w:rsid w:val="3AB07F42"/>
    <w:rsid w:val="3AED1E53"/>
    <w:rsid w:val="3B762FCD"/>
    <w:rsid w:val="3B7A783B"/>
    <w:rsid w:val="3C1F4887"/>
    <w:rsid w:val="3C976E2A"/>
    <w:rsid w:val="3CD64F45"/>
    <w:rsid w:val="3E091356"/>
    <w:rsid w:val="3E9113BD"/>
    <w:rsid w:val="3EC210E4"/>
    <w:rsid w:val="3F513430"/>
    <w:rsid w:val="40B65D9D"/>
    <w:rsid w:val="40EE0255"/>
    <w:rsid w:val="410704AA"/>
    <w:rsid w:val="413F3146"/>
    <w:rsid w:val="41994793"/>
    <w:rsid w:val="419E5845"/>
    <w:rsid w:val="42C64864"/>
    <w:rsid w:val="43AC30B5"/>
    <w:rsid w:val="442E5552"/>
    <w:rsid w:val="44312AF9"/>
    <w:rsid w:val="445779B4"/>
    <w:rsid w:val="447339C1"/>
    <w:rsid w:val="44A54D88"/>
    <w:rsid w:val="458D02EB"/>
    <w:rsid w:val="45955CEE"/>
    <w:rsid w:val="45E5196B"/>
    <w:rsid w:val="463A3035"/>
    <w:rsid w:val="46782929"/>
    <w:rsid w:val="46B376A5"/>
    <w:rsid w:val="47F61266"/>
    <w:rsid w:val="47FE05D7"/>
    <w:rsid w:val="481F26EC"/>
    <w:rsid w:val="48420C37"/>
    <w:rsid w:val="48DD6F8C"/>
    <w:rsid w:val="49290A51"/>
    <w:rsid w:val="49CF51F6"/>
    <w:rsid w:val="4A1D7A31"/>
    <w:rsid w:val="4A1F009B"/>
    <w:rsid w:val="4A4C7608"/>
    <w:rsid w:val="4A75075A"/>
    <w:rsid w:val="4A7A3B2D"/>
    <w:rsid w:val="4B38317B"/>
    <w:rsid w:val="4B6202EC"/>
    <w:rsid w:val="4C280903"/>
    <w:rsid w:val="4C417F01"/>
    <w:rsid w:val="4C7E7798"/>
    <w:rsid w:val="4D1E25F9"/>
    <w:rsid w:val="4DB766CD"/>
    <w:rsid w:val="4E175233"/>
    <w:rsid w:val="4E4E642D"/>
    <w:rsid w:val="4EFB1495"/>
    <w:rsid w:val="4F053D79"/>
    <w:rsid w:val="4FA9467F"/>
    <w:rsid w:val="506B77A8"/>
    <w:rsid w:val="50BD5E1E"/>
    <w:rsid w:val="51522FB2"/>
    <w:rsid w:val="5185780B"/>
    <w:rsid w:val="51C26BF5"/>
    <w:rsid w:val="53367F96"/>
    <w:rsid w:val="534C21A8"/>
    <w:rsid w:val="53780771"/>
    <w:rsid w:val="537D3F15"/>
    <w:rsid w:val="53A51A58"/>
    <w:rsid w:val="53F00E4B"/>
    <w:rsid w:val="544A700C"/>
    <w:rsid w:val="552C72F8"/>
    <w:rsid w:val="553E398D"/>
    <w:rsid w:val="55583F96"/>
    <w:rsid w:val="55CB540B"/>
    <w:rsid w:val="57203AC6"/>
    <w:rsid w:val="590E560F"/>
    <w:rsid w:val="591C4539"/>
    <w:rsid w:val="59396835"/>
    <w:rsid w:val="59A3044D"/>
    <w:rsid w:val="5A0E2970"/>
    <w:rsid w:val="5A0F163F"/>
    <w:rsid w:val="5A22360A"/>
    <w:rsid w:val="5A4833D6"/>
    <w:rsid w:val="5A487B1C"/>
    <w:rsid w:val="5AF6334F"/>
    <w:rsid w:val="5B461090"/>
    <w:rsid w:val="5B4C62B6"/>
    <w:rsid w:val="5B4D4C0B"/>
    <w:rsid w:val="5BB4249E"/>
    <w:rsid w:val="5BB618EA"/>
    <w:rsid w:val="5CB6799B"/>
    <w:rsid w:val="5D9E7F99"/>
    <w:rsid w:val="5F3758C0"/>
    <w:rsid w:val="5F3C2EF7"/>
    <w:rsid w:val="5F9404C0"/>
    <w:rsid w:val="5FAC4E59"/>
    <w:rsid w:val="5FBC5DC5"/>
    <w:rsid w:val="5FBE7FA0"/>
    <w:rsid w:val="5FF659B5"/>
    <w:rsid w:val="602161C1"/>
    <w:rsid w:val="6027180C"/>
    <w:rsid w:val="602A7277"/>
    <w:rsid w:val="60894650"/>
    <w:rsid w:val="609267D4"/>
    <w:rsid w:val="60E457DF"/>
    <w:rsid w:val="60FF039E"/>
    <w:rsid w:val="622E7C1C"/>
    <w:rsid w:val="62C01E15"/>
    <w:rsid w:val="630F451E"/>
    <w:rsid w:val="632B2458"/>
    <w:rsid w:val="63334E8E"/>
    <w:rsid w:val="63374BB2"/>
    <w:rsid w:val="633837B8"/>
    <w:rsid w:val="635601DF"/>
    <w:rsid w:val="63BB3391"/>
    <w:rsid w:val="63D70F74"/>
    <w:rsid w:val="640F2823"/>
    <w:rsid w:val="641B48FA"/>
    <w:rsid w:val="64D041E1"/>
    <w:rsid w:val="64DA07F8"/>
    <w:rsid w:val="655574A3"/>
    <w:rsid w:val="66044022"/>
    <w:rsid w:val="66104412"/>
    <w:rsid w:val="66777CEB"/>
    <w:rsid w:val="670260C4"/>
    <w:rsid w:val="67B37AAD"/>
    <w:rsid w:val="68512825"/>
    <w:rsid w:val="68FC5484"/>
    <w:rsid w:val="6A18009C"/>
    <w:rsid w:val="6B032AFA"/>
    <w:rsid w:val="6B5C41B7"/>
    <w:rsid w:val="6B605C9B"/>
    <w:rsid w:val="6BA0659B"/>
    <w:rsid w:val="6BCB0A8F"/>
    <w:rsid w:val="6C7F4402"/>
    <w:rsid w:val="6C996902"/>
    <w:rsid w:val="6CA607CB"/>
    <w:rsid w:val="6CBD4F2A"/>
    <w:rsid w:val="6CEB5F3B"/>
    <w:rsid w:val="6CEE5756"/>
    <w:rsid w:val="6D8819DC"/>
    <w:rsid w:val="6DBA0AB2"/>
    <w:rsid w:val="6DEE183F"/>
    <w:rsid w:val="6E697924"/>
    <w:rsid w:val="6EF86A6E"/>
    <w:rsid w:val="70173316"/>
    <w:rsid w:val="711C0FCD"/>
    <w:rsid w:val="71490656"/>
    <w:rsid w:val="715B31E4"/>
    <w:rsid w:val="72406F18"/>
    <w:rsid w:val="73102258"/>
    <w:rsid w:val="731E2732"/>
    <w:rsid w:val="734578F1"/>
    <w:rsid w:val="735B11A6"/>
    <w:rsid w:val="73CC2DA1"/>
    <w:rsid w:val="740D2D0D"/>
    <w:rsid w:val="7411423D"/>
    <w:rsid w:val="742D73E8"/>
    <w:rsid w:val="75614781"/>
    <w:rsid w:val="75FD7AC5"/>
    <w:rsid w:val="764502E1"/>
    <w:rsid w:val="76630E86"/>
    <w:rsid w:val="76D0106B"/>
    <w:rsid w:val="78693EBB"/>
    <w:rsid w:val="786A41B8"/>
    <w:rsid w:val="78AD7DA7"/>
    <w:rsid w:val="78FB5541"/>
    <w:rsid w:val="79100C8B"/>
    <w:rsid w:val="7965350E"/>
    <w:rsid w:val="79844724"/>
    <w:rsid w:val="79A41261"/>
    <w:rsid w:val="79E17106"/>
    <w:rsid w:val="7A00109A"/>
    <w:rsid w:val="7A533D19"/>
    <w:rsid w:val="7B607818"/>
    <w:rsid w:val="7B872C74"/>
    <w:rsid w:val="7CC3397C"/>
    <w:rsid w:val="7D2F0766"/>
    <w:rsid w:val="7D5C03F1"/>
    <w:rsid w:val="7D7437BE"/>
    <w:rsid w:val="7DDC31A5"/>
    <w:rsid w:val="7E0A5672"/>
    <w:rsid w:val="7E1D6AED"/>
    <w:rsid w:val="7EB16AAB"/>
    <w:rsid w:val="7F0B7D7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1440" w:firstLineChars="200"/>
      <w:jc w:val="both"/>
    </w:pPr>
    <w:rPr>
      <w:rFonts w:ascii="Times New Roman" w:hAnsi="Times New Roman" w:eastAsia="仿宋" w:cs="Times New Roman"/>
      <w:kern w:val="2"/>
      <w:sz w:val="32"/>
      <w:szCs w:val="24"/>
      <w:lang w:val="en-US" w:eastAsia="zh-CN" w:bidi="ar-SA"/>
    </w:rPr>
  </w:style>
  <w:style w:type="paragraph" w:styleId="3">
    <w:name w:val="heading 1"/>
    <w:basedOn w:val="1"/>
    <w:next w:val="1"/>
    <w:link w:val="25"/>
    <w:qFormat/>
    <w:uiPriority w:val="9"/>
    <w:pPr>
      <w:keepNext/>
      <w:keepLines/>
      <w:spacing w:before="340" w:after="330" w:line="578" w:lineRule="auto"/>
      <w:jc w:val="center"/>
      <w:outlineLvl w:val="0"/>
    </w:pPr>
    <w:rPr>
      <w:rFonts w:eastAsia="宋体"/>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eastAsia="宋体" w:asciiTheme="majorAscii" w:hAnsiTheme="majorAscii" w:cstheme="majorBidi"/>
      <w:b/>
      <w:bCs/>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paragraph" w:customStyle="1" w:styleId="16">
    <w:name w:val="正文-公1"/>
    <w:basedOn w:val="1"/>
    <w:qFormat/>
    <w:uiPriority w:val="0"/>
    <w:pPr>
      <w:ind w:firstLine="200" w:firstLineChars="200"/>
    </w:pPr>
    <w:rPr>
      <w:color w:val="000000"/>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3"/>
    <w:qFormat/>
    <w:uiPriority w:val="9"/>
    <w:rPr>
      <w:rFonts w:ascii="Times New Roman" w:hAnsi="Times New Roman" w:eastAsia="宋体"/>
      <w:b/>
      <w:bCs/>
      <w:kern w:val="44"/>
      <w:sz w:val="44"/>
      <w:szCs w:val="44"/>
    </w:rPr>
  </w:style>
  <w:style w:type="character" w:customStyle="1" w:styleId="26">
    <w:name w:val="标题 2 Char"/>
    <w:basedOn w:val="13"/>
    <w:link w:val="4"/>
    <w:qFormat/>
    <w:uiPriority w:val="9"/>
    <w:rPr>
      <w:rFonts w:eastAsia="宋体" w:asciiTheme="majorAscii" w:hAnsiTheme="majorAscii"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5"/>
    <w:qFormat/>
    <w:uiPriority w:val="9"/>
    <w:rPr>
      <w:rFonts w:ascii="Times New Roman" w:hAnsi="Times New Roman"/>
      <w:b/>
      <w:bCs/>
      <w:kern w:val="2"/>
      <w:sz w:val="32"/>
      <w:szCs w:val="32"/>
    </w:rPr>
  </w:style>
  <w:style w:type="paragraph" w:customStyle="1" w:styleId="30">
    <w:name w:val="Table Paragraph"/>
    <w:basedOn w:val="1"/>
    <w:qFormat/>
    <w:uiPriority w:val="1"/>
  </w:style>
  <w:style w:type="paragraph" w:customStyle="1" w:styleId="31">
    <w:name w:val="paragraph"/>
    <w:basedOn w:val="1"/>
    <w:qFormat/>
    <w:uiPriority w:val="0"/>
    <w:pPr>
      <w:widowControl/>
      <w:autoSpaceDE/>
      <w:autoSpaceDN/>
      <w:spacing w:before="100" w:beforeAutospacing="1" w:after="100" w:afterAutospacing="1"/>
    </w:pPr>
    <w:rPr>
      <w:sz w:val="24"/>
      <w:szCs w:val="24"/>
      <w:lang w:val="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C90E84-69D9-47AF-915E-F68C5DB1EDD8}">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70</Pages>
  <Words>21060</Words>
  <Characters>22588</Characters>
  <Lines>90</Lines>
  <Paragraphs>25</Paragraphs>
  <TotalTime>15</TotalTime>
  <ScaleCrop>false</ScaleCrop>
  <LinksUpToDate>false</LinksUpToDate>
  <CharactersWithSpaces>25243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2019-08-19T00:45:00Z</dcterms:created>
  <dc:creator>张彬茜</dc:creator>
  <cp:lastModifiedBy>隔壁小王</cp:lastModifiedBy>
  <cp:lastPrinted>2019-08-01T00:48:00Z</cp:lastPrinted>
  <dcterms:modified xsi:type="dcterms:W3CDTF">2023-08-24T03:00:36Z</dcterms:modified>
  <dc:title>四川省***</dc:title>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03E1C014EF37418F9B8F71307432822F</vt:lpwstr>
  </property>
</Properties>
</file>