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auto"/>
          <w:sz w:val="72"/>
          <w:szCs w:val="72"/>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pStyle w:val="7"/>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84"/>
          <w:szCs w:val="84"/>
          <w:highlight w:val="none"/>
        </w:rPr>
      </w:pPr>
      <w:bookmarkStart w:id="1" w:name="_Toc15377425"/>
      <w:bookmarkStart w:id="2" w:name="_Toc15396597"/>
      <w:bookmarkStart w:id="3" w:name="_Toc15377193"/>
      <w:bookmarkStart w:id="4" w:name="_Toc15396475"/>
      <w:bookmarkStart w:id="5" w:name="_Toc15378441"/>
      <w:r>
        <w:rPr>
          <w:rFonts w:hint="eastAsia" w:ascii="方正小标宋简体" w:hAnsi="方正小标宋简体" w:eastAsia="方正小标宋简体" w:cs="方正小标宋简体"/>
          <w:color w:val="auto"/>
          <w:sz w:val="84"/>
          <w:szCs w:val="84"/>
          <w:highlight w:val="none"/>
        </w:rPr>
        <w:t>20</w:t>
      </w:r>
      <w:r>
        <w:rPr>
          <w:rFonts w:hint="eastAsia" w:ascii="方正小标宋简体" w:hAnsi="方正小标宋简体" w:eastAsia="方正小标宋简体" w:cs="方正小标宋简体"/>
          <w:color w:val="auto"/>
          <w:sz w:val="84"/>
          <w:szCs w:val="84"/>
          <w:highlight w:val="none"/>
          <w:lang w:val="en-US" w:eastAsia="zh-CN"/>
        </w:rPr>
        <w:t>22</w:t>
      </w:r>
      <w:r>
        <w:rPr>
          <w:rFonts w:hint="eastAsia" w:ascii="方正小标宋简体" w:hAnsi="方正小标宋简体" w:eastAsia="方正小标宋简体" w:cs="方正小标宋简体"/>
          <w:color w:val="auto"/>
          <w:sz w:val="84"/>
          <w:szCs w:val="84"/>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194"/>
      <w:bookmarkStart w:id="8" w:name="_Toc15306268"/>
      <w:bookmarkStart w:id="9" w:name="_Toc15396476"/>
      <w:bookmarkStart w:id="10" w:name="_Toc15377426"/>
      <w:bookmarkStart w:id="11" w:name="_Toc15396598"/>
      <w:r>
        <w:rPr>
          <w:rFonts w:hint="eastAsia" w:ascii="方正小标宋简体" w:hAnsi="方正小标宋简体" w:eastAsia="方正小标宋简体" w:cs="方正小标宋简体"/>
          <w:color w:val="auto"/>
          <w:sz w:val="72"/>
          <w:szCs w:val="72"/>
          <w:highlight w:val="none"/>
          <w:lang w:eastAsia="zh-CN"/>
        </w:rPr>
        <w:t>资阳市雁江区农村合作经济经营管理局单位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8</w:t>
      </w:r>
      <w:r>
        <w:rPr>
          <w:rFonts w:hint="eastAsia"/>
          <w:color w:val="auto"/>
          <w:highlight w:val="none"/>
        </w:rPr>
        <w:t>月</w:t>
      </w:r>
      <w:r>
        <w:rPr>
          <w:rFonts w:hint="eastAsia"/>
          <w:color w:val="auto"/>
          <w:highlight w:val="none"/>
          <w:lang w:val="en-US" w:eastAsia="zh-CN"/>
        </w:rPr>
        <w:t xml:space="preserve"> 31</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p>
    <w:p>
      <w:pPr>
        <w:pStyle w:val="13"/>
        <w:adjustRightInd w:val="0"/>
        <w:snapToGrid w:val="0"/>
        <w:spacing w:line="440" w:lineRule="exact"/>
        <w:jc w:val="left"/>
        <w:rPr>
          <w:rFonts w:hint="default" w:ascii="宋体" w:hAnsi="宋体" w:eastAsia="宋体" w:cs="宋体"/>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p>
    <w:p>
      <w:pPr>
        <w:pStyle w:val="13"/>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5</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5</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5</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6</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7</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8</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11</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12</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13</w:t>
      </w:r>
    </w:p>
    <w:p>
      <w:pPr>
        <w:pStyle w:val="13"/>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九、国有资本经营预算支出决算情况说明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13</w:t>
      </w:r>
      <w:r>
        <w:rPr>
          <w:rFonts w:hint="eastAsia"/>
          <w:color w:val="auto"/>
          <w:sz w:val="24"/>
          <w:highlight w:val="none"/>
        </w:rPr>
        <w:t>十、其他重要事项的情况说明</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13</w:t>
      </w:r>
    </w:p>
    <w:p>
      <w:pPr>
        <w:pStyle w:val="12"/>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15</w:t>
      </w:r>
    </w:p>
    <w:p>
      <w:pPr>
        <w:pStyle w:val="12"/>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2"/>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19</w:t>
      </w:r>
    </w:p>
    <w:p>
      <w:pPr>
        <w:pStyle w:val="13"/>
        <w:adjustRightInd w:val="0"/>
        <w:snapToGrid w:val="0"/>
        <w:spacing w:line="440" w:lineRule="exact"/>
        <w:jc w:val="left"/>
        <w:rPr>
          <w:rFonts w:hint="default" w:ascii="宋体" w:hAnsi="宋体" w:eastAsia="宋体" w:cs="宋体"/>
          <w:color w:val="auto"/>
          <w:sz w:val="24"/>
          <w:highlight w:val="none"/>
          <w:lang w:val="en-US" w:eastAsia="zh-CN"/>
        </w:rPr>
      </w:pPr>
      <w:r>
        <w:rPr>
          <w:rFonts w:hint="eastAsia"/>
          <w:color w:val="auto"/>
          <w:sz w:val="24"/>
          <w:highlight w:val="none"/>
        </w:rPr>
        <w:t>一、收入支出决算总表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eastAsia" w:ascii="宋体" w:hAnsi="宋体" w:eastAsia="宋体" w:cs="宋体"/>
          <w:color w:val="auto"/>
          <w:sz w:val="24"/>
          <w:highlight w:val="none"/>
          <w:lang w:val="en-US" w:eastAsia="zh-CN"/>
        </w:rPr>
      </w:pPr>
      <w:r>
        <w:rPr>
          <w:rFonts w:hint="eastAsia"/>
          <w:color w:val="auto"/>
          <w:sz w:val="24"/>
          <w:highlight w:val="none"/>
        </w:rPr>
        <w:t>二、收入决算表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三、支出决算表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四、财政拨款收入支出决算总表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五、财政拨款支出决算明细表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六、一般公共预算财政拨款支出决算表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七、一般公共预算财政拨款支出决算明细表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九、一般公共预算财政拨款项目支出决算表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十、政府性基金预算财政拨款收入支出决算表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r>
        <w:rPr>
          <w:rFonts w:hint="eastAsia"/>
          <w:color w:val="auto"/>
          <w:sz w:val="24"/>
          <w:highlight w:val="none"/>
        </w:rPr>
        <w:t>十一、国有资本经营预算财政拨款收入支出决算表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pStyle w:val="13"/>
        <w:adjustRightInd w:val="0"/>
        <w:snapToGrid w:val="0"/>
        <w:spacing w:line="440" w:lineRule="exact"/>
        <w:jc w:val="left"/>
        <w:rPr>
          <w:rFonts w:hint="default"/>
          <w:color w:val="auto"/>
          <w:sz w:val="24"/>
          <w:highlight w:val="none"/>
          <w:lang w:val="en-US"/>
        </w:rPr>
      </w:pPr>
      <w:r>
        <w:rPr>
          <w:rFonts w:hint="eastAsia"/>
          <w:color w:val="auto"/>
          <w:sz w:val="24"/>
          <w:highlight w:val="none"/>
        </w:rPr>
        <w:t>十三、财政拨款“三公”经费支出决算表</w:t>
      </w:r>
      <w:bookmarkStart w:id="12" w:name="_Toc15377196"/>
      <w:bookmarkStart w:id="13" w:name="_Toc15396599"/>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19</w:t>
      </w:r>
    </w:p>
    <w:p>
      <w:pPr>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7"/>
        <w:rPr>
          <w:rFonts w:hint="eastAsia"/>
          <w:color w:val="auto"/>
          <w:sz w:val="24"/>
          <w:highlight w:val="none"/>
        </w:rPr>
      </w:pP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p>
    <w:p>
      <w:pPr>
        <w:pStyle w:val="4"/>
        <w:numPr>
          <w:ilvl w:val="0"/>
          <w:numId w:val="1"/>
        </w:numPr>
        <w:rPr>
          <w:rStyle w:val="27"/>
          <w:rFonts w:hint="eastAsia" w:ascii="黑体" w:hAnsi="黑体" w:eastAsia="黑体"/>
          <w:b w:val="0"/>
          <w:bCs w:val="0"/>
          <w:color w:val="auto"/>
          <w:highlight w:val="none"/>
          <w:lang w:val="en-US" w:eastAsia="zh-CN"/>
        </w:rPr>
      </w:pPr>
      <w:bookmarkStart w:id="14" w:name="_Toc15377197"/>
      <w:bookmarkStart w:id="15" w:name="_Toc15396600"/>
      <w:r>
        <w:rPr>
          <w:rStyle w:val="27"/>
          <w:rFonts w:hint="eastAsia" w:ascii="黑体" w:hAnsi="黑体" w:eastAsia="黑体"/>
          <w:b w:val="0"/>
          <w:bCs w:val="0"/>
          <w:color w:val="auto"/>
          <w:highlight w:val="none"/>
          <w:lang w:eastAsia="zh-CN"/>
        </w:rPr>
        <w:t>主要职责</w:t>
      </w:r>
    </w:p>
    <w:p>
      <w:pPr>
        <w:snapToGrid w:val="0"/>
        <w:spacing w:line="52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资阳市雁江区农村合作经济经营管理局是贯彻执行农村基本经营制度，实施农村土地承包管理、农民负担监督管理、农村集体财务和资产管理“三大管理”；指导农业产业化经营、指导新型农业经营主体发展、健全农业社会化服务体系的“三项指导”和农村经济统计“一个基础”职能。</w:t>
      </w:r>
    </w:p>
    <w:p>
      <w:pPr>
        <w:pStyle w:val="4"/>
        <w:numPr>
          <w:ilvl w:val="0"/>
          <w:numId w:val="1"/>
        </w:numPr>
        <w:ind w:left="0" w:leftChars="0" w:firstLine="0" w:firstLineChars="0"/>
        <w:rPr>
          <w:rStyle w:val="27"/>
          <w:rFonts w:hint="eastAsia" w:ascii="黑体" w:hAnsi="黑体" w:eastAsia="黑体"/>
          <w:b w:val="0"/>
          <w:bCs w:val="0"/>
          <w:color w:val="auto"/>
          <w:highlight w:val="none"/>
          <w:lang w:val="en-US" w:eastAsia="zh-CN"/>
        </w:rPr>
      </w:pPr>
      <w:r>
        <w:rPr>
          <w:rStyle w:val="27"/>
          <w:rFonts w:hint="eastAsia" w:ascii="黑体" w:hAnsi="黑体" w:eastAsia="黑体"/>
          <w:b w:val="0"/>
          <w:bCs w:val="0"/>
          <w:color w:val="auto"/>
          <w:highlight w:val="none"/>
          <w:lang w:val="en-US" w:eastAsia="zh-CN"/>
        </w:rPr>
        <w:t>机构设置</w:t>
      </w:r>
    </w:p>
    <w:p>
      <w:pPr>
        <w:snapToGrid w:val="0"/>
        <w:spacing w:line="52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资阳市雁江区农村合作经济经营管理局属参照公务员法管理的事业编制单位，现属雁江区农业农村局代管单位。局机关内部设置五股二室，即：办公室、计财股、统计信息股、农经审计股、</w:t>
      </w:r>
      <w:r>
        <w:rPr>
          <w:rFonts w:hint="eastAsia" w:ascii="仿宋" w:hAnsi="仿宋" w:eastAsia="仿宋"/>
          <w:color w:val="auto"/>
          <w:sz w:val="32"/>
          <w:szCs w:val="32"/>
          <w:highlight w:val="none"/>
          <w:lang w:eastAsia="zh-CN"/>
        </w:rPr>
        <w:t>资产管理</w:t>
      </w:r>
      <w:bookmarkStart w:id="67" w:name="_GoBack"/>
      <w:bookmarkEnd w:id="67"/>
      <w:r>
        <w:rPr>
          <w:rFonts w:hint="eastAsia" w:ascii="仿宋" w:hAnsi="仿宋" w:eastAsia="仿宋"/>
          <w:color w:val="auto"/>
          <w:sz w:val="32"/>
          <w:szCs w:val="32"/>
          <w:highlight w:val="none"/>
        </w:rPr>
        <w:t>股、政策法规股、宅基地管理服务股。人员</w:t>
      </w:r>
      <w:r>
        <w:rPr>
          <w:rFonts w:hint="eastAsia" w:ascii="仿宋" w:hAnsi="仿宋" w:eastAsia="仿宋"/>
          <w:color w:val="auto"/>
          <w:sz w:val="32"/>
          <w:szCs w:val="32"/>
          <w:highlight w:val="none"/>
          <w:lang w:val="en-US"/>
        </w:rPr>
        <w:t>概况</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截至202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年12月31日，区农经局人员编制17</w:t>
      </w:r>
      <w:r>
        <w:rPr>
          <w:rFonts w:hint="eastAsia" w:ascii="仿宋" w:hAnsi="仿宋" w:eastAsia="仿宋"/>
          <w:color w:val="auto"/>
          <w:sz w:val="32"/>
          <w:szCs w:val="32"/>
          <w:highlight w:val="none"/>
          <w:lang w:eastAsia="zh-Hans"/>
        </w:rPr>
        <w:t>人</w:t>
      </w:r>
      <w:r>
        <w:rPr>
          <w:rFonts w:hint="eastAsia" w:ascii="仿宋" w:hAnsi="仿宋" w:eastAsia="仿宋"/>
          <w:color w:val="auto"/>
          <w:sz w:val="32"/>
          <w:szCs w:val="32"/>
          <w:highlight w:val="none"/>
        </w:rPr>
        <w:t>，实有职工</w:t>
      </w:r>
      <w:r>
        <w:rPr>
          <w:rFonts w:hint="eastAsia" w:ascii="仿宋" w:hAnsi="仿宋" w:eastAsia="仿宋"/>
          <w:color w:val="auto"/>
          <w:sz w:val="32"/>
          <w:szCs w:val="32"/>
          <w:highlight w:val="none"/>
          <w:lang w:val="en-US" w:eastAsia="zh-CN"/>
        </w:rPr>
        <w:t>14</w:t>
      </w:r>
      <w:r>
        <w:rPr>
          <w:rFonts w:hint="eastAsia" w:ascii="仿宋" w:hAnsi="仿宋" w:eastAsia="仿宋"/>
          <w:color w:val="auto"/>
          <w:sz w:val="32"/>
          <w:szCs w:val="32"/>
          <w:highlight w:val="none"/>
        </w:rPr>
        <w:t>人，均为事业编制，无聘用人员。</w:t>
      </w:r>
    </w:p>
    <w:p>
      <w:pPr>
        <w:numPr>
          <w:ilvl w:val="0"/>
          <w:numId w:val="0"/>
        </w:numPr>
        <w:ind w:leftChars="0"/>
        <w:rPr>
          <w:rFonts w:hint="default"/>
          <w:lang w:val="en-US" w:eastAsia="zh-CN"/>
        </w:rPr>
      </w:pPr>
    </w:p>
    <w:bookmarkEnd w:id="14"/>
    <w:bookmarkEnd w:id="15"/>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6"/>
      <w:bookmarkEnd w:id="17"/>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18"/>
      <w:bookmarkEnd w:id="19"/>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481.61</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479.71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rPr>
        <w:t>项目</w:t>
      </w:r>
      <w:r>
        <w:rPr>
          <w:rFonts w:hint="eastAsia" w:ascii="仿宋_GB2312" w:hAnsi="仿宋" w:eastAsia="仿宋_GB2312"/>
          <w:sz w:val="32"/>
          <w:szCs w:val="32"/>
          <w:lang w:eastAsia="zh-CN"/>
        </w:rPr>
        <w:t>费用减少，</w:t>
      </w:r>
      <w:r>
        <w:rPr>
          <w:rFonts w:hint="eastAsia" w:ascii="仿宋_GB2312" w:hAnsi="仿宋" w:eastAsia="仿宋_GB2312"/>
          <w:sz w:val="32"/>
          <w:szCs w:val="32"/>
        </w:rPr>
        <w:t>拨付往年完工未拨付的项目资金</w:t>
      </w:r>
      <w:r>
        <w:rPr>
          <w:rFonts w:hint="eastAsia" w:ascii="仿宋_GB2312" w:hAnsi="仿宋" w:eastAsia="仿宋_GB2312"/>
          <w:sz w:val="32"/>
          <w:szCs w:val="32"/>
          <w:lang w:eastAsia="zh-CN"/>
        </w:rPr>
        <w:t>减少</w:t>
      </w:r>
      <w:r>
        <w:rPr>
          <w:rFonts w:hint="eastAsia" w:ascii="仿宋_GB2312" w:hAnsi="仿宋" w:eastAsia="仿宋_GB2312"/>
          <w:sz w:val="32"/>
          <w:szCs w:val="32"/>
        </w:rPr>
        <w:t>。</w:t>
      </w:r>
    </w:p>
    <w:p>
      <w:pPr>
        <w:pStyle w:val="2"/>
        <w:rPr>
          <w:rFonts w:hint="eastAsia" w:eastAsia="宋体"/>
          <w:lang w:eastAsia="zh-CN"/>
        </w:rPr>
      </w:pPr>
      <w:r>
        <w:rPr>
          <w:rFonts w:hint="eastAsia" w:eastAsia="宋体"/>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napToGrid w:val="0"/>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481.61</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481.61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ind w:left="0" w:leftChars="0" w:firstLine="0" w:firstLineChars="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481.61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415.45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86.26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66.16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13.74</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_GB2312" w:hAnsi="仿宋" w:eastAsia="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481.61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479.71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rPr>
        <w:t>项目</w:t>
      </w:r>
      <w:r>
        <w:rPr>
          <w:rFonts w:hint="eastAsia" w:ascii="仿宋_GB2312" w:hAnsi="仿宋" w:eastAsia="仿宋_GB2312"/>
          <w:sz w:val="32"/>
          <w:szCs w:val="32"/>
          <w:lang w:eastAsia="zh-CN"/>
        </w:rPr>
        <w:t>费用减少，</w:t>
      </w:r>
      <w:r>
        <w:rPr>
          <w:rFonts w:hint="eastAsia" w:ascii="仿宋_GB2312" w:hAnsi="仿宋" w:eastAsia="仿宋_GB2312"/>
          <w:sz w:val="32"/>
          <w:szCs w:val="32"/>
        </w:rPr>
        <w:t>拨付往年完工未拨付的项目资金</w:t>
      </w:r>
      <w:r>
        <w:rPr>
          <w:rFonts w:hint="eastAsia" w:ascii="仿宋_GB2312" w:hAnsi="仿宋" w:eastAsia="仿宋_GB2312"/>
          <w:sz w:val="32"/>
          <w:szCs w:val="32"/>
          <w:lang w:eastAsia="zh-CN"/>
        </w:rPr>
        <w:t>减少</w:t>
      </w:r>
      <w:r>
        <w:rPr>
          <w:rFonts w:hint="eastAsia" w:ascii="仿宋_GB2312" w:hAnsi="仿宋" w:eastAsia="仿宋_GB2312"/>
          <w:sz w:val="32"/>
          <w:szCs w:val="32"/>
        </w:rPr>
        <w:t>。</w:t>
      </w:r>
    </w:p>
    <w:p>
      <w:pPr>
        <w:pStyle w:val="2"/>
        <w:ind w:left="0" w:leftChars="0" w:firstLine="0" w:firstLineChars="0"/>
      </w:pPr>
      <w:r>
        <w:rPr>
          <w:rFonts w:hint="eastAsia" w:eastAsia="宋体"/>
          <w:lang w:eastAsia="zh-CN"/>
        </w:rPr>
        <w:drawing>
          <wp:inline distT="0" distB="0" distL="114300" distR="114300">
            <wp:extent cx="5307330" cy="4151630"/>
            <wp:effectExtent l="4445" t="4445" r="22225" b="158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pPr>
    </w:p>
    <w:p>
      <w:pPr>
        <w:spacing w:line="600" w:lineRule="exact"/>
        <w:ind w:firstLine="640" w:firstLineChars="200"/>
        <w:outlineLvl w:val="1"/>
        <w:rPr>
          <w:rStyle w:val="27"/>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_GB2312" w:hAnsi="仿宋" w:eastAsia="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481.61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479.71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rPr>
        <w:t>项目</w:t>
      </w:r>
      <w:r>
        <w:rPr>
          <w:rFonts w:hint="eastAsia" w:ascii="仿宋_GB2312" w:hAnsi="仿宋" w:eastAsia="仿宋_GB2312"/>
          <w:sz w:val="32"/>
          <w:szCs w:val="32"/>
          <w:lang w:eastAsia="zh-CN"/>
        </w:rPr>
        <w:t>费用减少，</w:t>
      </w:r>
      <w:r>
        <w:rPr>
          <w:rFonts w:hint="eastAsia" w:ascii="仿宋_GB2312" w:hAnsi="仿宋" w:eastAsia="仿宋_GB2312"/>
          <w:sz w:val="32"/>
          <w:szCs w:val="32"/>
        </w:rPr>
        <w:t>拨付往年</w:t>
      </w:r>
      <w:r>
        <w:rPr>
          <w:rFonts w:hint="eastAsia" w:ascii="仿宋_GB2312" w:hAnsi="仿宋" w:eastAsia="仿宋_GB2312"/>
          <w:sz w:val="32"/>
          <w:szCs w:val="32"/>
          <w:lang w:eastAsia="zh-CN"/>
        </w:rPr>
        <w:t>已</w:t>
      </w:r>
      <w:r>
        <w:rPr>
          <w:rFonts w:hint="eastAsia" w:ascii="仿宋_GB2312" w:hAnsi="仿宋" w:eastAsia="仿宋_GB2312"/>
          <w:sz w:val="32"/>
          <w:szCs w:val="32"/>
        </w:rPr>
        <w:t>完工未拨付的项目资金</w:t>
      </w:r>
      <w:r>
        <w:rPr>
          <w:rFonts w:hint="eastAsia" w:ascii="仿宋_GB2312" w:hAnsi="仿宋" w:eastAsia="仿宋_GB2312"/>
          <w:sz w:val="32"/>
          <w:szCs w:val="32"/>
          <w:lang w:eastAsia="zh-CN"/>
        </w:rPr>
        <w:t>减少</w:t>
      </w:r>
      <w:r>
        <w:rPr>
          <w:rFonts w:hint="eastAsia" w:ascii="仿宋_GB2312" w:hAnsi="仿宋" w:eastAsia="仿宋_GB2312"/>
          <w:sz w:val="32"/>
          <w:szCs w:val="32"/>
        </w:rPr>
        <w:t>。</w:t>
      </w:r>
    </w:p>
    <w:p>
      <w:pPr>
        <w:pStyle w:val="2"/>
        <w:rPr>
          <w:rFonts w:hint="eastAsia"/>
        </w:rPr>
      </w:pPr>
      <w:r>
        <w:rPr>
          <w:rFonts w:hint="eastAsia" w:ascii="仿宋" w:hAnsi="仿宋" w:eastAsia="仿宋"/>
          <w:color w:val="auto"/>
          <w:sz w:val="32"/>
          <w:szCs w:val="32"/>
          <w:highlight w:val="none"/>
          <w:lang w:eastAsia="zh-CN"/>
        </w:rPr>
        <w:drawing>
          <wp:inline distT="0" distB="0" distL="114300" distR="114300">
            <wp:extent cx="5051425" cy="3514725"/>
            <wp:effectExtent l="4445" t="4445" r="1143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2"/>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481.61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146.46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30.41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14.24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16.89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bCs/>
          <w:color w:val="auto"/>
          <w:sz w:val="32"/>
          <w:szCs w:val="32"/>
          <w:highlight w:val="none"/>
        </w:rPr>
        <w:t>农林水支出</w:t>
      </w:r>
      <w:r>
        <w:rPr>
          <w:rFonts w:hint="eastAsia" w:ascii="仿宋" w:hAnsi="仿宋" w:eastAsia="仿宋" w:cs="Times New Roman"/>
          <w:b/>
          <w:bCs/>
          <w:color w:val="auto"/>
          <w:sz w:val="32"/>
          <w:szCs w:val="32"/>
          <w:highlight w:val="none"/>
          <w:lang w:val="en-US" w:eastAsia="zh-CN"/>
        </w:rPr>
        <w:t>304.02</w:t>
      </w:r>
      <w:r>
        <w:rPr>
          <w:rFonts w:hint="eastAsia" w:ascii="仿宋" w:hAnsi="仿宋" w:eastAsia="仿宋" w:cs="Times New Roman"/>
          <w:b/>
          <w:bCs/>
          <w:color w:val="auto"/>
          <w:sz w:val="32"/>
          <w:szCs w:val="32"/>
          <w:highlight w:val="none"/>
        </w:rPr>
        <w:t>万元，占</w:t>
      </w:r>
      <w:r>
        <w:rPr>
          <w:rFonts w:hint="eastAsia" w:ascii="仿宋" w:hAnsi="仿宋" w:eastAsia="仿宋" w:cs="Times New Roman"/>
          <w:b/>
          <w:bCs/>
          <w:color w:val="auto"/>
          <w:sz w:val="32"/>
          <w:szCs w:val="32"/>
          <w:highlight w:val="none"/>
          <w:lang w:val="en-US" w:eastAsia="zh-CN"/>
        </w:rPr>
        <w:t>63.12</w:t>
      </w:r>
      <w:r>
        <w:rPr>
          <w:rFonts w:hint="eastAsia" w:ascii="仿宋" w:hAnsi="仿宋" w:eastAsia="仿宋" w:cs="Times New Roman"/>
          <w:b/>
          <w:bCs/>
          <w:color w:val="auto"/>
          <w:sz w:val="32"/>
          <w:szCs w:val="32"/>
          <w:highlight w:val="none"/>
        </w:rPr>
        <w:t>%</w:t>
      </w:r>
      <w:r>
        <w:rPr>
          <w:rFonts w:hint="eastAsia" w:ascii="仿宋" w:hAnsi="仿宋" w:eastAsia="仿宋" w:cs="Times New Roman"/>
          <w:b/>
          <w:bCs/>
          <w:color w:val="auto"/>
          <w:sz w:val="32"/>
          <w:szCs w:val="32"/>
          <w:highlight w:val="none"/>
          <w:lang w:eastAsia="zh-CN"/>
        </w:rPr>
        <w:t>。</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hint="eastAsia"/>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481.61万元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6"/>
          <w:rFonts w:ascii="仿宋" w:hAnsi="仿宋" w:eastAsia="仿宋" w:cstheme="minorBidi"/>
          <w:bCs/>
          <w:color w:val="auto"/>
          <w:sz w:val="32"/>
          <w:szCs w:val="32"/>
          <w:highlight w:val="none"/>
        </w:rPr>
        <w:t>1.</w:t>
      </w:r>
      <w:r>
        <w:rPr>
          <w:rStyle w:val="16"/>
          <w:rFonts w:hint="eastAsia" w:ascii="仿宋" w:hAnsi="仿宋" w:eastAsia="仿宋" w:cstheme="minorBidi"/>
          <w:bCs/>
          <w:color w:val="auto"/>
          <w:sz w:val="32"/>
          <w:szCs w:val="32"/>
          <w:highlight w:val="none"/>
        </w:rPr>
        <w:t xml:space="preserve"> </w:t>
      </w:r>
      <w:r>
        <w:rPr>
          <w:rStyle w:val="16"/>
          <w:rFonts w:ascii="仿宋" w:hAnsi="仿宋" w:eastAsia="仿宋" w:cstheme="minorBidi"/>
          <w:bCs/>
          <w:color w:val="auto"/>
          <w:sz w:val="32"/>
          <w:szCs w:val="32"/>
          <w:highlight w:val="none"/>
        </w:rPr>
        <w:t>一般公共服务（类）</w:t>
      </w:r>
      <w:r>
        <w:rPr>
          <w:rStyle w:val="16"/>
          <w:rFonts w:hint="eastAsia" w:ascii="仿宋" w:hAnsi="仿宋" w:eastAsia="仿宋" w:cstheme="minorBidi"/>
          <w:bCs/>
          <w:color w:val="auto"/>
          <w:sz w:val="32"/>
          <w:szCs w:val="32"/>
          <w:highlight w:val="none"/>
          <w:lang w:eastAsia="zh-CN"/>
        </w:rPr>
        <w:t>农业水支出</w:t>
      </w:r>
      <w:r>
        <w:rPr>
          <w:rStyle w:val="16"/>
          <w:rFonts w:ascii="仿宋" w:hAnsi="仿宋" w:eastAsia="仿宋" w:cstheme="minorBidi"/>
          <w:bCs/>
          <w:color w:val="auto"/>
          <w:sz w:val="32"/>
          <w:szCs w:val="32"/>
          <w:highlight w:val="none"/>
        </w:rPr>
        <w:t>（款）行政运行（项）</w:t>
      </w:r>
      <w:r>
        <w:rPr>
          <w:rStyle w:val="16"/>
          <w:rFonts w:hint="eastAsia" w:ascii="仿宋" w:hAnsi="仿宋" w:eastAsia="仿宋" w:cstheme="minorBidi"/>
          <w:bCs/>
          <w:color w:val="auto"/>
          <w:sz w:val="32"/>
          <w:szCs w:val="32"/>
          <w:highlight w:val="none"/>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237.87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103</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w:t>
      </w:r>
      <w:r>
        <w:rPr>
          <w:rStyle w:val="16"/>
          <w:rFonts w:hint="eastAsia" w:ascii="仿宋" w:hAnsi="仿宋" w:eastAsia="仿宋"/>
          <w:b w:val="0"/>
          <w:bCs/>
          <w:color w:val="auto"/>
          <w:sz w:val="32"/>
          <w:szCs w:val="32"/>
          <w:highlight w:val="none"/>
          <w:lang w:eastAsia="zh-CN"/>
        </w:rPr>
        <w:t>大</w:t>
      </w:r>
      <w:r>
        <w:rPr>
          <w:rStyle w:val="16"/>
          <w:rFonts w:hint="eastAsia" w:ascii="仿宋" w:hAnsi="仿宋" w:eastAsia="仿宋"/>
          <w:b w:val="0"/>
          <w:bCs/>
          <w:color w:val="auto"/>
          <w:sz w:val="32"/>
          <w:szCs w:val="32"/>
          <w:highlight w:val="none"/>
        </w:rPr>
        <w:t>于预算数。</w:t>
      </w:r>
    </w:p>
    <w:p>
      <w:pPr>
        <w:spacing w:line="600" w:lineRule="exact"/>
        <w:ind w:firstLine="643" w:firstLineChars="200"/>
        <w:rPr>
          <w:rStyle w:val="16"/>
          <w:rFonts w:ascii="仿宋" w:hAnsi="仿宋" w:eastAsia="仿宋" w:cstheme="minorBidi"/>
          <w:bCs/>
          <w:color w:val="auto"/>
          <w:sz w:val="32"/>
          <w:szCs w:val="32"/>
          <w:highlight w:val="none"/>
        </w:rPr>
      </w:pPr>
      <w:r>
        <w:rPr>
          <w:rStyle w:val="16"/>
          <w:rFonts w:hint="eastAsia" w:ascii="仿宋" w:hAnsi="仿宋" w:eastAsia="仿宋" w:cstheme="minorBidi"/>
          <w:bCs/>
          <w:color w:val="auto"/>
          <w:sz w:val="32"/>
          <w:szCs w:val="32"/>
          <w:highlight w:val="none"/>
          <w:lang w:val="en-US" w:eastAsia="zh-CN"/>
        </w:rPr>
        <w:t>2</w:t>
      </w:r>
      <w:r>
        <w:rPr>
          <w:rStyle w:val="16"/>
          <w:rFonts w:ascii="仿宋" w:hAnsi="仿宋" w:eastAsia="仿宋" w:cstheme="minorBidi"/>
          <w:bCs/>
          <w:color w:val="auto"/>
          <w:sz w:val="32"/>
          <w:szCs w:val="32"/>
          <w:highlight w:val="none"/>
        </w:rPr>
        <w:t>.</w:t>
      </w:r>
      <w:r>
        <w:rPr>
          <w:rStyle w:val="16"/>
          <w:rFonts w:hint="eastAsia" w:ascii="仿宋" w:hAnsi="仿宋" w:eastAsia="仿宋" w:cstheme="minorBidi"/>
          <w:bCs/>
          <w:color w:val="auto"/>
          <w:sz w:val="32"/>
          <w:szCs w:val="32"/>
          <w:highlight w:val="none"/>
        </w:rPr>
        <w:t xml:space="preserve"> </w:t>
      </w:r>
      <w:r>
        <w:rPr>
          <w:rStyle w:val="16"/>
          <w:rFonts w:ascii="仿宋" w:hAnsi="仿宋" w:eastAsia="仿宋" w:cstheme="minorBidi"/>
          <w:bCs/>
          <w:color w:val="auto"/>
          <w:sz w:val="32"/>
          <w:szCs w:val="32"/>
          <w:highlight w:val="none"/>
        </w:rPr>
        <w:t>社会保障和就业（类）行政事业单位</w:t>
      </w:r>
      <w:r>
        <w:rPr>
          <w:rStyle w:val="16"/>
          <w:rFonts w:hint="eastAsia" w:ascii="仿宋" w:hAnsi="仿宋" w:eastAsia="仿宋" w:cstheme="minorBidi"/>
          <w:bCs/>
          <w:color w:val="auto"/>
          <w:sz w:val="32"/>
          <w:szCs w:val="32"/>
          <w:highlight w:val="none"/>
        </w:rPr>
        <w:t>养老</w:t>
      </w:r>
      <w:r>
        <w:rPr>
          <w:rStyle w:val="16"/>
          <w:rFonts w:ascii="仿宋" w:hAnsi="仿宋" w:eastAsia="仿宋" w:cstheme="minorBidi"/>
          <w:bCs/>
          <w:color w:val="auto"/>
          <w:sz w:val="32"/>
          <w:szCs w:val="32"/>
          <w:highlight w:val="none"/>
        </w:rPr>
        <w:t>支出（款）</w:t>
      </w:r>
      <w:r>
        <w:rPr>
          <w:rStyle w:val="16"/>
          <w:rFonts w:hint="eastAsia" w:ascii="仿宋" w:hAnsi="仿宋" w:eastAsia="仿宋" w:cstheme="minorBidi"/>
          <w:bCs/>
          <w:color w:val="auto"/>
          <w:sz w:val="32"/>
          <w:szCs w:val="32"/>
          <w:highlight w:val="none"/>
        </w:rPr>
        <w:t>机关事业单位基本养老保险缴费支出</w:t>
      </w:r>
      <w:r>
        <w:rPr>
          <w:rStyle w:val="16"/>
          <w:rFonts w:ascii="仿宋" w:hAnsi="仿宋" w:eastAsia="仿宋" w:cstheme="minorBidi"/>
          <w:bCs/>
          <w:color w:val="auto"/>
          <w:sz w:val="32"/>
          <w:szCs w:val="32"/>
          <w:highlight w:val="none"/>
        </w:rPr>
        <w:t>（项）</w:t>
      </w:r>
      <w:r>
        <w:rPr>
          <w:rStyle w:val="16"/>
          <w:rFonts w:hint="eastAsia" w:ascii="仿宋" w:hAnsi="仿宋" w:eastAsia="仿宋" w:cstheme="minorBidi"/>
          <w:bCs/>
          <w:color w:val="auto"/>
          <w:sz w:val="32"/>
          <w:szCs w:val="32"/>
          <w:highlight w:val="none"/>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22.4</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111</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w:t>
      </w:r>
      <w:r>
        <w:rPr>
          <w:rStyle w:val="16"/>
          <w:rFonts w:hint="eastAsia" w:ascii="仿宋" w:hAnsi="仿宋" w:eastAsia="仿宋"/>
          <w:b w:val="0"/>
          <w:bCs/>
          <w:color w:val="auto"/>
          <w:sz w:val="32"/>
          <w:szCs w:val="32"/>
          <w:highlight w:val="none"/>
          <w:lang w:eastAsia="zh-CN"/>
        </w:rPr>
        <w:t>大</w:t>
      </w:r>
      <w:r>
        <w:rPr>
          <w:rStyle w:val="16"/>
          <w:rFonts w:hint="eastAsia" w:ascii="仿宋" w:hAnsi="仿宋" w:eastAsia="仿宋"/>
          <w:b w:val="0"/>
          <w:bCs/>
          <w:color w:val="auto"/>
          <w:sz w:val="32"/>
          <w:szCs w:val="32"/>
          <w:highlight w:val="none"/>
        </w:rPr>
        <w:t>于预算数的主要原因是</w:t>
      </w:r>
      <w:r>
        <w:rPr>
          <w:rStyle w:val="16"/>
          <w:rFonts w:hint="eastAsia" w:ascii="仿宋" w:hAnsi="仿宋" w:eastAsia="仿宋"/>
          <w:b w:val="0"/>
          <w:bCs/>
          <w:color w:val="auto"/>
          <w:sz w:val="32"/>
          <w:szCs w:val="32"/>
          <w:highlight w:val="none"/>
          <w:lang w:eastAsia="zh-CN"/>
        </w:rPr>
        <w:t>基本养老保险基数增加</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Times New Roman" w:hAnsi="Times New Roman" w:eastAsia="方正仿宋简体"/>
          <w:color w:val="auto"/>
          <w:sz w:val="33"/>
          <w:szCs w:val="33"/>
        </w:rPr>
      </w:pPr>
      <w:r>
        <w:rPr>
          <w:rStyle w:val="16"/>
          <w:rFonts w:hint="eastAsia" w:ascii="仿宋" w:hAnsi="仿宋" w:eastAsia="仿宋" w:cstheme="minorBidi"/>
          <w:bCs/>
          <w:color w:val="auto"/>
          <w:sz w:val="32"/>
          <w:szCs w:val="32"/>
          <w:highlight w:val="none"/>
          <w:lang w:val="en-US" w:eastAsia="zh-CN"/>
        </w:rPr>
        <w:t>3</w:t>
      </w:r>
      <w:r>
        <w:rPr>
          <w:rStyle w:val="16"/>
          <w:rFonts w:ascii="仿宋" w:hAnsi="仿宋" w:eastAsia="仿宋" w:cstheme="minorBidi"/>
          <w:bCs/>
          <w:color w:val="auto"/>
          <w:sz w:val="32"/>
          <w:szCs w:val="32"/>
          <w:highlight w:val="none"/>
        </w:rPr>
        <w:t>.</w:t>
      </w:r>
      <w:r>
        <w:rPr>
          <w:rStyle w:val="16"/>
          <w:rFonts w:hint="eastAsia" w:ascii="仿宋" w:hAnsi="仿宋" w:eastAsia="仿宋" w:cstheme="minorBidi"/>
          <w:bCs/>
          <w:color w:val="auto"/>
          <w:sz w:val="32"/>
          <w:szCs w:val="32"/>
          <w:highlight w:val="none"/>
        </w:rPr>
        <w:t xml:space="preserve"> </w:t>
      </w:r>
      <w:r>
        <w:rPr>
          <w:rStyle w:val="16"/>
          <w:rFonts w:ascii="仿宋" w:hAnsi="仿宋" w:eastAsia="仿宋" w:cstheme="minorBidi"/>
          <w:bCs/>
          <w:color w:val="auto"/>
          <w:sz w:val="32"/>
          <w:szCs w:val="32"/>
          <w:highlight w:val="none"/>
        </w:rPr>
        <w:t>社会保障和就业（类）行政事业单位</w:t>
      </w:r>
      <w:r>
        <w:rPr>
          <w:rStyle w:val="16"/>
          <w:rFonts w:hint="eastAsia" w:ascii="仿宋" w:hAnsi="仿宋" w:eastAsia="仿宋" w:cstheme="minorBidi"/>
          <w:bCs/>
          <w:color w:val="auto"/>
          <w:sz w:val="32"/>
          <w:szCs w:val="32"/>
          <w:highlight w:val="none"/>
        </w:rPr>
        <w:t>养老</w:t>
      </w:r>
      <w:r>
        <w:rPr>
          <w:rStyle w:val="16"/>
          <w:rFonts w:ascii="仿宋" w:hAnsi="仿宋" w:eastAsia="仿宋" w:cstheme="minorBidi"/>
          <w:bCs/>
          <w:color w:val="auto"/>
          <w:sz w:val="32"/>
          <w:szCs w:val="32"/>
          <w:highlight w:val="none"/>
        </w:rPr>
        <w:t>支出（款）</w:t>
      </w:r>
      <w:r>
        <w:rPr>
          <w:rStyle w:val="16"/>
          <w:rFonts w:hint="eastAsia" w:ascii="仿宋" w:hAnsi="仿宋" w:eastAsia="仿宋" w:cstheme="minorBidi"/>
          <w:bCs/>
          <w:color w:val="auto"/>
          <w:sz w:val="32"/>
          <w:szCs w:val="32"/>
          <w:highlight w:val="none"/>
        </w:rPr>
        <w:t>其他社会保障和就业支出</w:t>
      </w:r>
      <w:r>
        <w:rPr>
          <w:rStyle w:val="16"/>
          <w:rFonts w:ascii="仿宋" w:hAnsi="仿宋" w:eastAsia="仿宋" w:cstheme="minorBidi"/>
          <w:bCs/>
          <w:color w:val="auto"/>
          <w:sz w:val="32"/>
          <w:szCs w:val="32"/>
          <w:highlight w:val="none"/>
        </w:rPr>
        <w:t>（项）</w:t>
      </w:r>
      <w:r>
        <w:rPr>
          <w:rStyle w:val="16"/>
          <w:rFonts w:hint="eastAsia" w:ascii="仿宋" w:hAnsi="仿宋" w:eastAsia="仿宋" w:cstheme="minorBidi"/>
          <w:bCs/>
          <w:color w:val="auto"/>
          <w:sz w:val="32"/>
          <w:szCs w:val="32"/>
          <w:highlight w:val="none"/>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124.06</w:t>
      </w:r>
      <w:r>
        <w:rPr>
          <w:rStyle w:val="16"/>
          <w:rFonts w:hint="eastAsia" w:ascii="仿宋" w:hAnsi="仿宋" w:eastAsia="仿宋"/>
          <w:b w:val="0"/>
          <w:bCs/>
          <w:color w:val="auto"/>
          <w:sz w:val="32"/>
          <w:szCs w:val="32"/>
          <w:highlight w:val="none"/>
        </w:rPr>
        <w:t>万元，</w:t>
      </w:r>
      <w:r>
        <w:rPr>
          <w:rStyle w:val="16"/>
          <w:rFonts w:hint="eastAsia" w:ascii="仿宋" w:hAnsi="仿宋" w:eastAsia="仿宋"/>
          <w:b w:val="0"/>
          <w:bCs/>
          <w:color w:val="auto"/>
          <w:sz w:val="32"/>
          <w:szCs w:val="32"/>
          <w:highlight w:val="none"/>
          <w:lang w:eastAsia="zh-CN"/>
        </w:rPr>
        <w:t>新增</w:t>
      </w:r>
      <w:r>
        <w:rPr>
          <w:rStyle w:val="16"/>
          <w:rFonts w:hint="eastAsia" w:ascii="仿宋" w:hAnsi="仿宋" w:eastAsia="仿宋"/>
          <w:b w:val="0"/>
          <w:bCs/>
          <w:color w:val="auto"/>
          <w:sz w:val="32"/>
          <w:szCs w:val="32"/>
          <w:highlight w:val="none"/>
          <w:lang w:val="en-US" w:eastAsia="zh-CN"/>
        </w:rPr>
        <w:t>2人的退休人员经费及3人的死亡抚恤金。</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cstheme="minorBidi"/>
          <w:bCs/>
          <w:color w:val="auto"/>
          <w:sz w:val="32"/>
          <w:szCs w:val="32"/>
          <w:highlight w:val="none"/>
          <w:lang w:val="en-US" w:eastAsia="zh-CN"/>
        </w:rPr>
        <w:t>4</w:t>
      </w:r>
      <w:r>
        <w:rPr>
          <w:rStyle w:val="16"/>
          <w:rFonts w:ascii="仿宋" w:hAnsi="仿宋" w:eastAsia="仿宋" w:cstheme="minorBidi"/>
          <w:bCs/>
          <w:color w:val="auto"/>
          <w:sz w:val="32"/>
          <w:szCs w:val="32"/>
          <w:highlight w:val="none"/>
        </w:rPr>
        <w:t>.</w:t>
      </w:r>
      <w:r>
        <w:rPr>
          <w:rStyle w:val="16"/>
          <w:rFonts w:hint="eastAsia" w:ascii="仿宋" w:hAnsi="仿宋" w:eastAsia="仿宋" w:cstheme="minorBidi"/>
          <w:bCs/>
          <w:color w:val="auto"/>
          <w:sz w:val="32"/>
          <w:szCs w:val="32"/>
          <w:highlight w:val="none"/>
        </w:rPr>
        <w:t xml:space="preserve"> 卫生健康支出（类）行政事业单位医疗（款）行政单位医疗（项）</w:t>
      </w:r>
      <w:r>
        <w:rPr>
          <w:rStyle w:val="16"/>
          <w:rFonts w:hint="eastAsia" w:ascii="仿宋" w:hAnsi="仿宋" w:eastAsia="仿宋" w:cstheme="minorBidi"/>
          <w:bCs/>
          <w:color w:val="auto"/>
          <w:sz w:val="32"/>
          <w:szCs w:val="32"/>
          <w:highlight w:val="none"/>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11.62</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122</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w:t>
      </w:r>
      <w:r>
        <w:rPr>
          <w:rStyle w:val="16"/>
          <w:rFonts w:hint="eastAsia" w:ascii="仿宋" w:hAnsi="仿宋" w:eastAsia="仿宋"/>
          <w:b w:val="0"/>
          <w:bCs/>
          <w:color w:val="auto"/>
          <w:sz w:val="32"/>
          <w:szCs w:val="32"/>
          <w:highlight w:val="none"/>
          <w:lang w:eastAsia="zh-CN"/>
        </w:rPr>
        <w:t>大</w:t>
      </w:r>
      <w:r>
        <w:rPr>
          <w:rStyle w:val="16"/>
          <w:rFonts w:hint="eastAsia" w:ascii="仿宋" w:hAnsi="仿宋" w:eastAsia="仿宋"/>
          <w:b w:val="0"/>
          <w:bCs/>
          <w:color w:val="auto"/>
          <w:sz w:val="32"/>
          <w:szCs w:val="32"/>
          <w:highlight w:val="none"/>
        </w:rPr>
        <w:t>于预算数的主要原因是</w:t>
      </w:r>
      <w:r>
        <w:rPr>
          <w:rStyle w:val="16"/>
          <w:rFonts w:hint="eastAsia" w:ascii="仿宋" w:hAnsi="仿宋" w:eastAsia="仿宋"/>
          <w:b w:val="0"/>
          <w:bCs/>
          <w:color w:val="auto"/>
          <w:sz w:val="32"/>
          <w:szCs w:val="32"/>
          <w:highlight w:val="none"/>
          <w:lang w:eastAsia="zh-CN"/>
        </w:rPr>
        <w:t>行政单位医疗基数增加</w:t>
      </w:r>
      <w:r>
        <w:rPr>
          <w:rStyle w:val="16"/>
          <w:rFonts w:hint="eastAsia" w:ascii="仿宋" w:hAnsi="仿宋" w:eastAsia="仿宋"/>
          <w:b w:val="0"/>
          <w:bCs/>
          <w:color w:val="auto"/>
          <w:sz w:val="32"/>
          <w:szCs w:val="32"/>
          <w:highlight w:val="none"/>
        </w:rPr>
        <w:t>。</w:t>
      </w:r>
    </w:p>
    <w:p>
      <w:pPr>
        <w:spacing w:line="600" w:lineRule="exact"/>
        <w:ind w:firstLine="643" w:firstLineChars="200"/>
        <w:rPr>
          <w:rFonts w:hint="eastAsia" w:eastAsia="仿宋_GB2312"/>
          <w:color w:val="000000" w:themeColor="text1"/>
          <w:sz w:val="32"/>
          <w:szCs w:val="32"/>
          <w14:textFill>
            <w14:solidFill>
              <w14:schemeClr w14:val="tx1"/>
            </w14:solidFill>
          </w14:textFill>
        </w:rPr>
      </w:pPr>
      <w:r>
        <w:rPr>
          <w:rStyle w:val="16"/>
          <w:rFonts w:hint="eastAsia" w:ascii="仿宋" w:hAnsi="仿宋" w:eastAsia="仿宋" w:cstheme="minorBidi"/>
          <w:bCs/>
          <w:color w:val="auto"/>
          <w:sz w:val="32"/>
          <w:szCs w:val="32"/>
          <w:highlight w:val="none"/>
          <w:lang w:val="en-US" w:eastAsia="zh-CN"/>
        </w:rPr>
        <w:t>5</w:t>
      </w:r>
      <w:r>
        <w:rPr>
          <w:rStyle w:val="16"/>
          <w:rFonts w:hint="eastAsia" w:ascii="仿宋" w:hAnsi="仿宋" w:eastAsia="仿宋" w:cstheme="minorBidi"/>
          <w:bCs/>
          <w:color w:val="auto"/>
          <w:sz w:val="32"/>
          <w:szCs w:val="32"/>
          <w:highlight w:val="none"/>
        </w:rPr>
        <w:t>. 卫生健康支出（类）行政事业单位医疗（款）公务员医疗补助（项）</w:t>
      </w:r>
      <w:r>
        <w:rPr>
          <w:rStyle w:val="16"/>
          <w:rFonts w:hint="eastAsia" w:ascii="仿宋" w:hAnsi="仿宋" w:eastAsia="仿宋" w:cstheme="minorBidi"/>
          <w:bCs/>
          <w:color w:val="auto"/>
          <w:sz w:val="32"/>
          <w:szCs w:val="32"/>
          <w:highlight w:val="none"/>
          <w:lang w:eastAsia="zh-CN"/>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2.62</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105</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，决算数小于</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等于预算数的主要原因是</w:t>
      </w:r>
      <w:r>
        <w:rPr>
          <w:rStyle w:val="16"/>
          <w:rFonts w:hint="eastAsia" w:ascii="仿宋" w:hAnsi="仿宋" w:eastAsia="仿宋"/>
          <w:b w:val="0"/>
          <w:bCs/>
          <w:color w:val="auto"/>
          <w:sz w:val="32"/>
          <w:szCs w:val="32"/>
          <w:highlight w:val="none"/>
          <w:lang w:eastAsia="zh-CN"/>
        </w:rPr>
        <w:t>公务员医疗补助基数增加</w:t>
      </w:r>
      <w:r>
        <w:rPr>
          <w:rStyle w:val="16"/>
          <w:rFonts w:hint="eastAsia" w:ascii="仿宋" w:hAnsi="仿宋" w:eastAsia="仿宋"/>
          <w:b w:val="0"/>
          <w:bCs/>
          <w:color w:val="auto"/>
          <w:sz w:val="32"/>
          <w:szCs w:val="32"/>
          <w:highlight w:val="none"/>
        </w:rPr>
        <w:t>。</w:t>
      </w:r>
    </w:p>
    <w:p>
      <w:pPr>
        <w:spacing w:line="600" w:lineRule="exact"/>
        <w:ind w:firstLine="643" w:firstLineChars="200"/>
      </w:pPr>
      <w:r>
        <w:rPr>
          <w:rStyle w:val="16"/>
          <w:rFonts w:hint="eastAsia" w:ascii="仿宋" w:hAnsi="仿宋" w:eastAsia="仿宋" w:cstheme="minorBidi"/>
          <w:bCs/>
          <w:color w:val="auto"/>
          <w:sz w:val="32"/>
          <w:szCs w:val="32"/>
          <w:highlight w:val="none"/>
          <w:lang w:val="en-US" w:eastAsia="zh-CN"/>
        </w:rPr>
        <w:t>6</w:t>
      </w:r>
      <w:r>
        <w:rPr>
          <w:rStyle w:val="16"/>
          <w:rFonts w:ascii="仿宋" w:hAnsi="仿宋" w:eastAsia="仿宋" w:cstheme="minorBidi"/>
          <w:bCs/>
          <w:color w:val="auto"/>
          <w:sz w:val="32"/>
          <w:szCs w:val="32"/>
          <w:highlight w:val="none"/>
        </w:rPr>
        <w:t>.</w:t>
      </w:r>
      <w:r>
        <w:rPr>
          <w:rStyle w:val="16"/>
          <w:rFonts w:hint="eastAsia" w:ascii="仿宋" w:hAnsi="仿宋" w:eastAsia="仿宋" w:cstheme="minorBidi"/>
          <w:bCs/>
          <w:color w:val="auto"/>
          <w:sz w:val="32"/>
          <w:szCs w:val="32"/>
          <w:highlight w:val="none"/>
        </w:rPr>
        <w:t xml:space="preserve"> </w:t>
      </w:r>
      <w:r>
        <w:rPr>
          <w:rStyle w:val="16"/>
          <w:rFonts w:ascii="仿宋" w:hAnsi="仿宋" w:eastAsia="仿宋" w:cstheme="minorBidi"/>
          <w:bCs/>
          <w:color w:val="auto"/>
          <w:sz w:val="32"/>
          <w:szCs w:val="32"/>
          <w:highlight w:val="none"/>
        </w:rPr>
        <w:t>住房保障（类）住房改革支出（款）住房公积金（项）</w:t>
      </w:r>
      <w:r>
        <w:rPr>
          <w:rStyle w:val="16"/>
          <w:rFonts w:hint="eastAsia" w:ascii="仿宋" w:hAnsi="仿宋" w:eastAsia="仿宋" w:cstheme="minorBidi"/>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16.89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111</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w:t>
      </w:r>
      <w:r>
        <w:rPr>
          <w:rStyle w:val="16"/>
          <w:rFonts w:hint="eastAsia" w:ascii="仿宋" w:hAnsi="仿宋" w:eastAsia="仿宋"/>
          <w:b w:val="0"/>
          <w:bCs/>
          <w:color w:val="auto"/>
          <w:sz w:val="32"/>
          <w:szCs w:val="32"/>
          <w:highlight w:val="none"/>
          <w:lang w:eastAsia="zh-CN"/>
        </w:rPr>
        <w:t>大</w:t>
      </w:r>
      <w:r>
        <w:rPr>
          <w:rStyle w:val="16"/>
          <w:rFonts w:hint="eastAsia" w:ascii="仿宋" w:hAnsi="仿宋" w:eastAsia="仿宋"/>
          <w:b w:val="0"/>
          <w:bCs/>
          <w:color w:val="auto"/>
          <w:sz w:val="32"/>
          <w:szCs w:val="32"/>
          <w:highlight w:val="none"/>
        </w:rPr>
        <w:t>于预算数的主要原因是</w:t>
      </w:r>
      <w:r>
        <w:rPr>
          <w:rStyle w:val="16"/>
          <w:rFonts w:hint="eastAsia" w:ascii="仿宋" w:hAnsi="仿宋" w:eastAsia="仿宋"/>
          <w:b w:val="0"/>
          <w:bCs/>
          <w:color w:val="auto"/>
          <w:sz w:val="32"/>
          <w:szCs w:val="32"/>
          <w:highlight w:val="none"/>
          <w:lang w:eastAsia="zh-CN"/>
        </w:rPr>
        <w:t>住房公积金基数增加</w:t>
      </w:r>
      <w:r>
        <w:rPr>
          <w:rStyle w:val="16"/>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7"/>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4"/>
      <w:bookmarkEnd w:id="35"/>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415.46</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374.16</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41.3</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7"/>
          <w:rFonts w:hint="eastAsia" w:ascii="黑体" w:hAnsi="黑体" w:eastAsia="黑体"/>
          <w:b w:val="0"/>
          <w:color w:val="auto"/>
          <w:highlight w:val="none"/>
        </w:rPr>
        <w:t>财政拨款</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较上年持平。</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eastAsia="仿宋"/>
          <w:lang w:eastAsia="zh-CN"/>
        </w:rPr>
      </w:pPr>
      <w:r>
        <w:rPr>
          <w:rFonts w:hint="eastAsia" w:eastAsia="仿宋"/>
          <w:lang w:eastAsia="zh-CN"/>
        </w:rPr>
        <w:drawing>
          <wp:inline distT="0" distB="0" distL="114300" distR="114300">
            <wp:extent cx="4806950" cy="3435350"/>
            <wp:effectExtent l="4445" t="4445" r="19685"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1.因公出国（境）经费支出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3.公务接待费支出</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万元，完成预算</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%。公务接待费支出决算比20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国内公务接待支出</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万元，主要用于开展业务活动开支的交通费、用餐费等。</w:t>
      </w:r>
      <w:bookmarkStart w:id="40" w:name="_Toc15396610"/>
      <w:bookmarkStart w:id="41" w:name="_Toc15377218"/>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7"/>
          <w:rFonts w:ascii="黑体" w:hAnsi="黑体" w:eastAsia="黑体"/>
          <w:b w:val="0"/>
          <w:color w:val="auto"/>
          <w:highlight w:val="none"/>
        </w:rPr>
      </w:pPr>
      <w:bookmarkStart w:id="42" w:name="_Toc15377219"/>
      <w:bookmarkStart w:id="43" w:name="_Toc15396611"/>
      <w:r>
        <w:rPr>
          <w:rStyle w:val="27"/>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7"/>
          <w:rFonts w:hint="eastAsia" w:ascii="黑体" w:hAnsi="黑体" w:eastAsia="黑体"/>
          <w:b w:val="0"/>
          <w:color w:val="auto"/>
          <w:highlight w:val="none"/>
        </w:rPr>
      </w:pPr>
      <w:bookmarkStart w:id="44" w:name="_Toc15377221"/>
      <w:bookmarkStart w:id="45" w:name="_Toc15396612"/>
      <w:r>
        <w:rPr>
          <w:rStyle w:val="27"/>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区农经局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41.3</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6.39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18.3</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区农经局无</w:t>
      </w:r>
      <w:r>
        <w:rPr>
          <w:rFonts w:hint="eastAsia" w:ascii="仿宋_GB2312" w:eastAsia="仿宋_GB2312"/>
          <w:color w:val="auto"/>
          <w:sz w:val="32"/>
          <w:szCs w:val="32"/>
          <w:highlight w:val="none"/>
        </w:rPr>
        <w:t>政府采购支出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区农经局无</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7"/>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eastAsia="zh-CN"/>
        </w:rPr>
        <w:t>行政基本工资</w:t>
      </w:r>
      <w:r>
        <w:rPr>
          <w:rFonts w:hint="eastAsia" w:ascii="仿宋_GB2312" w:hAnsi="仿宋_GB2312" w:eastAsia="仿宋_GB2312" w:cs="仿宋_GB2312"/>
          <w:color w:val="auto"/>
          <w:sz w:val="32"/>
          <w:szCs w:val="32"/>
          <w:highlight w:val="none"/>
        </w:rPr>
        <w:t>项目等</w:t>
      </w:r>
      <w:r>
        <w:rPr>
          <w:rFonts w:hint="eastAsia" w:hAnsi="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个项目编制了绩效目标，预算执行过程中，选取个</w:t>
      </w:r>
      <w:r>
        <w:rPr>
          <w:rFonts w:hint="eastAsia" w:hAnsi="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项目开展绩效监控，组织对</w:t>
      </w:r>
      <w:r>
        <w:rPr>
          <w:rFonts w:hint="eastAsia" w:hAnsi="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4"/>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一般公共预算拨款收入：指区级财政当年拨付的资金。</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上年结转：指以前年度尚未完成，结转到本年仍按原规定用途继续使用的资金。</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农业水支出</w:t>
      </w:r>
      <w:r>
        <w:rPr>
          <w:rFonts w:hint="eastAsia" w:ascii="仿宋_GB2312" w:eastAsia="仿宋_GB2312"/>
          <w:color w:val="auto"/>
          <w:sz w:val="32"/>
          <w:szCs w:val="32"/>
          <w:highlight w:val="none"/>
        </w:rPr>
        <w:t>（款）行政运行（项）：指局机关及参公管理事业单位用于保障机构正常运行、开展日常工作的基本支出。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社会保障和就业（类）行政事业单位养老支出（款）行政单位离退休（项）：指局机关离退休人员的支出。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社会保障和就业（类）行政事业单位养老支出（款）机关事业单位基本养老保险缴费支出（项）：指单位实施养老保险制度由单位缴纳的养老保险费的支出。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社会保障和就业（类）行政事业单位养老支出（款）机关事业单位职业年金缴费支出（项）：指单位实施养老保险制度由单位缴纳的职业年金的支出。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卫生健康（类）行政事业单位医疗（款）行政单位医疗（项）：指局机关及参公管理事业单位用于单位应缴纳基本医疗保险支出。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卫生健康（类）行政事业单位医疗（款）事业单位医疗（项）：指事业单位用于单位应缴纳基本医疗保险支出。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卫生健康（类）行政事业单位医疗（款）公务员医疗补助（项）：指局机关及参公管理事业单位用于集中缴纳公务员医疗补助支出。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住房保障（类）住房改革支出（款）住房公积金（项）：指按照《住房公积金管理条例》的规定，由单位及其在职职工缴存的长期住房储金。</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基本支出：指为保证机构正常运转，完成日常工作任务而发生的人员支出和公用支出。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项目支出：指在基本支出之外为完成特定行政任务和事业发展目标所发生的支出。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pStyle w:val="24"/>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27</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Fonts w:ascii="仿宋_GB2312" w:hAnsi="仿宋_GB2312" w:eastAsia="仿宋_GB2312" w:cs="仿宋_GB2312"/>
          <w:color w:val="auto"/>
          <w:sz w:val="32"/>
          <w:szCs w:val="32"/>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2"/>
    </w:p>
    <w:p>
      <w:pPr>
        <w:spacing w:line="600" w:lineRule="exact"/>
        <w:jc w:val="center"/>
        <w:outlineLvl w:val="0"/>
        <w:rPr>
          <w:rFonts w:hint="eastAsia" w:ascii="仿宋_GB2312" w:hAnsi="Calibri" w:eastAsia="仿宋_GB2312" w:cs="仿宋"/>
          <w:color w:val="auto"/>
          <w:kern w:val="0"/>
          <w:sz w:val="32"/>
          <w:szCs w:val="32"/>
          <w:highlight w:val="none"/>
          <w:lang w:val="en-US" w:eastAsia="zh-CN" w:bidi="ar-SA"/>
        </w:rPr>
      </w:pPr>
      <w:bookmarkStart w:id="53" w:name="_Toc15396618"/>
      <w:r>
        <w:rPr>
          <w:rFonts w:hint="eastAsia" w:ascii="宋体" w:hAnsi="宋体" w:cs="宋体"/>
          <w:color w:val="auto"/>
          <w:kern w:val="0"/>
          <w:sz w:val="32"/>
          <w:szCs w:val="32"/>
          <w:highlight w:val="none"/>
          <w:lang w:val="en-US" w:eastAsia="zh-CN" w:bidi="ar-SA"/>
        </w:rPr>
        <w:t>附件：</w:t>
      </w:r>
      <w:r>
        <w:rPr>
          <w:rFonts w:hint="eastAsia" w:ascii="宋体" w:hAnsi="宋体" w:eastAsia="宋体" w:cs="宋体"/>
          <w:color w:val="auto"/>
          <w:kern w:val="0"/>
          <w:sz w:val="32"/>
          <w:szCs w:val="32"/>
          <w:highlight w:val="none"/>
          <w:lang w:val="en-US" w:eastAsia="zh-CN" w:bidi="ar-SA"/>
        </w:rPr>
        <w:t>部门预算项目支出绩效自评表（2022年度</w:t>
      </w:r>
      <w:r>
        <w:rPr>
          <w:rFonts w:hint="eastAsia" w:ascii="宋体" w:hAnsi="宋体" w:cs="宋体"/>
          <w:color w:val="auto"/>
          <w:kern w:val="0"/>
          <w:sz w:val="32"/>
          <w:szCs w:val="32"/>
          <w:highlight w:val="none"/>
          <w:lang w:val="en-US" w:eastAsia="zh-CN" w:bidi="ar-SA"/>
        </w:rPr>
        <w:t>）</w:t>
      </w: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4"/>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bookmarkEnd w:id="65"/>
      <w:r>
        <w:rPr>
          <w:rStyle w:val="27"/>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6" w:name="_Toc15396631"/>
      <w:r>
        <w:rPr>
          <w:rStyle w:val="27"/>
          <w:rFonts w:hint="eastAsia" w:ascii="仿宋" w:hAnsi="仿宋" w:eastAsia="仿宋"/>
          <w:b w:val="0"/>
          <w:bCs w:val="0"/>
          <w:color w:val="auto"/>
          <w:highlight w:val="none"/>
        </w:rPr>
        <w:t>十三、</w:t>
      </w:r>
      <w:bookmarkEnd w:id="66"/>
      <w:r>
        <w:rPr>
          <w:rStyle w:val="27"/>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NTg3YjdiNWUyYjFhYzdkNDkyOTM3NzQwMjExZT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A5A26"/>
    <w:rsid w:val="053A62B5"/>
    <w:rsid w:val="054768EB"/>
    <w:rsid w:val="09794885"/>
    <w:rsid w:val="0A2032A3"/>
    <w:rsid w:val="0B8A37D8"/>
    <w:rsid w:val="0B962922"/>
    <w:rsid w:val="10757746"/>
    <w:rsid w:val="10C055FF"/>
    <w:rsid w:val="10F84800"/>
    <w:rsid w:val="113759E8"/>
    <w:rsid w:val="118107EC"/>
    <w:rsid w:val="11DD6519"/>
    <w:rsid w:val="12614426"/>
    <w:rsid w:val="134143D9"/>
    <w:rsid w:val="146E4BD8"/>
    <w:rsid w:val="16BB723D"/>
    <w:rsid w:val="18015F3F"/>
    <w:rsid w:val="1BE162D5"/>
    <w:rsid w:val="1BE8440E"/>
    <w:rsid w:val="1D155CEE"/>
    <w:rsid w:val="20F57F95"/>
    <w:rsid w:val="240371BF"/>
    <w:rsid w:val="244F0582"/>
    <w:rsid w:val="24CA19B7"/>
    <w:rsid w:val="25711CC6"/>
    <w:rsid w:val="257D4C7B"/>
    <w:rsid w:val="25C741E6"/>
    <w:rsid w:val="263C0693"/>
    <w:rsid w:val="268B638D"/>
    <w:rsid w:val="26DD053C"/>
    <w:rsid w:val="27842671"/>
    <w:rsid w:val="295F409F"/>
    <w:rsid w:val="29FD04D3"/>
    <w:rsid w:val="2ABE7A3E"/>
    <w:rsid w:val="2B8F5C62"/>
    <w:rsid w:val="2CA234A8"/>
    <w:rsid w:val="2EFA178C"/>
    <w:rsid w:val="30B46D73"/>
    <w:rsid w:val="319F7F4E"/>
    <w:rsid w:val="33F25762"/>
    <w:rsid w:val="344A4B86"/>
    <w:rsid w:val="382B7DCE"/>
    <w:rsid w:val="383D272C"/>
    <w:rsid w:val="39A6259B"/>
    <w:rsid w:val="39AE70AB"/>
    <w:rsid w:val="3C0C0783"/>
    <w:rsid w:val="3F9F3A96"/>
    <w:rsid w:val="3FFC1167"/>
    <w:rsid w:val="4152091B"/>
    <w:rsid w:val="41D27A48"/>
    <w:rsid w:val="41FD11C6"/>
    <w:rsid w:val="479B2343"/>
    <w:rsid w:val="48AB293E"/>
    <w:rsid w:val="48BF60AB"/>
    <w:rsid w:val="490B4527"/>
    <w:rsid w:val="493C27E9"/>
    <w:rsid w:val="496F39ED"/>
    <w:rsid w:val="49FF41D3"/>
    <w:rsid w:val="4BE068DB"/>
    <w:rsid w:val="4BF6002B"/>
    <w:rsid w:val="4ECE2238"/>
    <w:rsid w:val="51DB4B86"/>
    <w:rsid w:val="527728CF"/>
    <w:rsid w:val="527B23BF"/>
    <w:rsid w:val="55333C3E"/>
    <w:rsid w:val="5534130E"/>
    <w:rsid w:val="5C092FCC"/>
    <w:rsid w:val="5CB44E31"/>
    <w:rsid w:val="5D4F4914"/>
    <w:rsid w:val="62960B4F"/>
    <w:rsid w:val="6329551F"/>
    <w:rsid w:val="64C71494"/>
    <w:rsid w:val="64CA39A1"/>
    <w:rsid w:val="65B93AB5"/>
    <w:rsid w:val="69630ADE"/>
    <w:rsid w:val="6A017ACB"/>
    <w:rsid w:val="6A383046"/>
    <w:rsid w:val="6C4A05C8"/>
    <w:rsid w:val="6C845EBC"/>
    <w:rsid w:val="6D0039D0"/>
    <w:rsid w:val="6D2E351C"/>
    <w:rsid w:val="6D3B1A89"/>
    <w:rsid w:val="6D522C0E"/>
    <w:rsid w:val="71BF4EC2"/>
    <w:rsid w:val="72734D90"/>
    <w:rsid w:val="7412278C"/>
    <w:rsid w:val="742C1313"/>
    <w:rsid w:val="76D8308D"/>
    <w:rsid w:val="79E7B28D"/>
    <w:rsid w:val="7A593023"/>
    <w:rsid w:val="7D130D8F"/>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6"/>
    <w:next w:val="6"/>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qFormat/>
    <w:uiPriority w:val="99"/>
    <w:pPr>
      <w:spacing w:after="120" w:line="480" w:lineRule="auto"/>
      <w:ind w:left="420" w:leftChars="200"/>
    </w:pPr>
  </w:style>
  <w:style w:type="paragraph" w:customStyle="1" w:styleId="6">
    <w:name w:val="汇政正文"/>
    <w:basedOn w:val="1"/>
    <w:qFormat/>
    <w:uiPriority w:val="3"/>
    <w:pPr>
      <w:spacing w:line="600" w:lineRule="exact"/>
      <w:ind w:firstLine="640" w:firstLineChars="200"/>
    </w:pPr>
    <w:rPr>
      <w:rFonts w:ascii="Times New Roman" w:hAnsi="Times New Roman" w:eastAsia="仿宋" w:cs="Times New Roman"/>
      <w:kern w:val="0"/>
      <w:sz w:val="32"/>
      <w:szCs w:val="32"/>
      <w:lang w:val="zh-CN"/>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收、支决算总计变动情况分析（单位：万元）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收、支决算总计变动情况图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481.61</c:v>
                </c:pt>
                <c:pt idx="1">
                  <c:v>481.61</c:v>
                </c:pt>
              </c:numCache>
            </c:numRef>
          </c:val>
        </c:ser>
        <c:dLbls>
          <c:showLegendKey val="0"/>
          <c:showVal val="1"/>
          <c:showCatName val="0"/>
          <c:showSerName val="0"/>
          <c:showPercent val="0"/>
          <c:showBubbleSize val="0"/>
        </c:dLbls>
        <c:gapWidth val="219"/>
        <c:overlap val="-27"/>
        <c:axId val="646695045"/>
        <c:axId val="264924149"/>
      </c:barChart>
      <c:catAx>
        <c:axId val="6466950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924149"/>
        <c:crosses val="autoZero"/>
        <c:auto val="1"/>
        <c:lblAlgn val="ctr"/>
        <c:lblOffset val="100"/>
        <c:noMultiLvlLbl val="0"/>
      </c:catAx>
      <c:valAx>
        <c:axId val="26492414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6950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收入决算结构分析</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支出决算结构分析</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0.8626</c:v>
                </c:pt>
                <c:pt idx="1">
                  <c:v>0.1374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财政拨款收、支决算总计变动情况分析（单位：万元）</a:t>
            </a:r>
          </a:p>
        </c:rich>
      </c:tx>
      <c:layout>
        <c:manualLayout>
          <c:xMode val="edge"/>
          <c:yMode val="edge"/>
          <c:x val="0.19175"/>
          <c:y val="0.037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收、支决算总计变动情况图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481.61</c:v>
                </c:pt>
                <c:pt idx="1">
                  <c:v>481.61</c:v>
                </c:pt>
              </c:numCache>
            </c:numRef>
          </c:val>
        </c:ser>
        <c:dLbls>
          <c:showLegendKey val="0"/>
          <c:showVal val="1"/>
          <c:showCatName val="0"/>
          <c:showSerName val="0"/>
          <c:showPercent val="0"/>
          <c:showBubbleSize val="0"/>
        </c:dLbls>
        <c:gapWidth val="219"/>
        <c:overlap val="-27"/>
        <c:axId val="646695045"/>
        <c:axId val="264924149"/>
      </c:barChart>
      <c:catAx>
        <c:axId val="6466950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924149"/>
        <c:crosses val="autoZero"/>
        <c:auto val="1"/>
        <c:lblAlgn val="ctr"/>
        <c:lblOffset val="100"/>
        <c:noMultiLvlLbl val="0"/>
      </c:catAx>
      <c:valAx>
        <c:axId val="26492414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6950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一般公共预算财政拨款支出决算变动情况分析</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一般公共预算财政拨款支出决算结构分析图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住房保障支出</c:v>
                </c:pt>
                <c:pt idx="3">
                  <c:v>农林水支出</c:v>
                </c:pt>
              </c:strCache>
            </c:strRef>
          </c:cat>
          <c:val>
            <c:numRef>
              <c:f>Sheet1!$B$2:$B$5</c:f>
              <c:numCache>
                <c:formatCode>0.00%</c:formatCode>
                <c:ptCount val="4"/>
                <c:pt idx="0">
                  <c:v>0.3041</c:v>
                </c:pt>
                <c:pt idx="1">
                  <c:v>0.0296</c:v>
                </c:pt>
                <c:pt idx="2">
                  <c:v>0.0351</c:v>
                </c:pt>
                <c:pt idx="3">
                  <c:v>0.6312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经费财政拨款支出机构分析</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5443</Words>
  <Characters>5832</Characters>
  <Lines>61</Lines>
  <Paragraphs>17</Paragraphs>
  <TotalTime>9</TotalTime>
  <ScaleCrop>false</ScaleCrop>
  <LinksUpToDate>false</LinksUpToDate>
  <CharactersWithSpaces>5855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2023-08-28T09:10:22Z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FDC21649119048EE91F89DE0EEAD1EE6_12</vt:lpwstr>
  </property>
</Properties>
</file>