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7425"/>
      <w:bookmarkStart w:id="1" w:name="_Toc15396475"/>
      <w:bookmarkStart w:id="2" w:name="_Toc15396597"/>
      <w:bookmarkStart w:id="3" w:name="_Toc15378441"/>
      <w:bookmarkStart w:id="4" w:name="_Toc15377193"/>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30244"/>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p>
      <w:pPr>
        <w:pStyle w:val="2"/>
        <w:rPr>
          <w:rFonts w:hint="eastAsia"/>
        </w:rPr>
      </w:pPr>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7" w:name="_Toc112225509"/>
      <w:bookmarkStart w:id="8" w:name="_Toc13356"/>
      <w:bookmarkStart w:id="9" w:name="_Toc15396598"/>
      <w:bookmarkStart w:id="10" w:name="_Toc15306268"/>
      <w:bookmarkStart w:id="11" w:name="_Toc15377426"/>
      <w:bookmarkStart w:id="12" w:name="_Toc15378442"/>
      <w:bookmarkStart w:id="13" w:name="_Toc15377194"/>
      <w:bookmarkStart w:id="14" w:name="_Toc15396476"/>
      <w:r>
        <w:rPr>
          <w:rFonts w:hint="eastAsia" w:ascii="方正小标宋简体" w:hAnsi="方正小标宋简体" w:eastAsia="方正小标宋简体" w:cs="方正小标宋简体"/>
          <w:color w:val="auto"/>
          <w:sz w:val="52"/>
          <w:szCs w:val="52"/>
          <w:highlight w:val="none"/>
        </w:rPr>
        <w:t>资阳市雁江区地方志</w:t>
      </w:r>
      <w:bookmarkEnd w:id="7"/>
      <w:r>
        <w:rPr>
          <w:rFonts w:hint="eastAsia" w:ascii="方正小标宋简体" w:hAnsi="方正小标宋简体" w:eastAsia="方正小标宋简体" w:cs="方正小标宋简体"/>
          <w:color w:val="auto"/>
          <w:sz w:val="52"/>
          <w:szCs w:val="52"/>
          <w:highlight w:val="none"/>
        </w:rPr>
        <w:t>办公室</w:t>
      </w:r>
      <w:bookmarkEnd w:id="8"/>
    </w:p>
    <w:p>
      <w:pPr>
        <w:pStyle w:val="2"/>
        <w:rPr>
          <w:rFonts w:hint="eastAsia"/>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5" w:name="_Toc20490"/>
      <w:r>
        <w:rPr>
          <w:rFonts w:hint="eastAsia" w:ascii="方正小标宋简体" w:hAnsi="方正小标宋简体" w:eastAsia="方正小标宋简体" w:cs="方正小标宋简体"/>
          <w:color w:val="auto"/>
          <w:sz w:val="72"/>
          <w:szCs w:val="72"/>
          <w:highlight w:val="none"/>
        </w:rPr>
        <w:t>部门决算</w:t>
      </w:r>
      <w:bookmarkEnd w:id="9"/>
      <w:bookmarkEnd w:id="10"/>
      <w:bookmarkEnd w:id="11"/>
      <w:bookmarkEnd w:id="12"/>
      <w:bookmarkEnd w:id="13"/>
      <w:bookmarkEnd w:id="14"/>
      <w:bookmarkEnd w:id="15"/>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bookmarkStart w:id="113" w:name="_GoBack"/>
      <w:bookmarkEnd w:id="113"/>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p>
    <w:p>
      <w:pPr>
        <w:widowControl/>
        <w:spacing w:line="440" w:lineRule="exact"/>
        <w:jc w:val="left"/>
        <w:rPr>
          <w:rFonts w:ascii="仿宋" w:hAnsi="仿宋" w:eastAsia="仿宋"/>
          <w:b/>
          <w:color w:val="auto"/>
          <w:sz w:val="24"/>
          <w:highlight w:val="none"/>
        </w:rPr>
      </w:pPr>
      <w:r>
        <w:rPr>
          <w:rFonts w:ascii="方正小标宋简体" w:hAnsi="宋体" w:eastAsia="方正小标宋简体"/>
          <w:color w:val="auto"/>
          <w:sz w:val="36"/>
          <w:szCs w:val="36"/>
          <w:highlight w:val="none"/>
        </w:rPr>
        <w:br w:type="page"/>
      </w:r>
      <w:bookmarkStart w:id="16" w:name="_Toc15377196"/>
      <w:bookmarkStart w:id="17" w:name="_Toc15396599"/>
    </w:p>
    <w:sdt>
      <w:sdtPr>
        <w:rPr>
          <w:rFonts w:ascii="宋体" w:hAnsi="宋体" w:eastAsia="宋体" w:cs="Times New Roman"/>
          <w:kern w:val="2"/>
          <w:sz w:val="21"/>
          <w:szCs w:val="24"/>
          <w:lang w:val="en-US" w:eastAsia="zh-CN" w:bidi="ar-SA"/>
        </w:rPr>
        <w:id w:val="147455875"/>
        <w15:color w:val="DBDBDB"/>
        <w:docPartObj>
          <w:docPartGallery w:val="Table of Contents"/>
          <w:docPartUnique/>
        </w:docPartObj>
      </w:sdtPr>
      <w:sdtEndPr>
        <w:rPr>
          <w:rFonts w:ascii="仿宋_GB2312" w:hAnsi="Times New Roman" w:eastAsia="仿宋_GB2312" w:cs="Times New Roman"/>
          <w:b/>
          <w:kern w:val="0"/>
          <w:sz w:val="30"/>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4"/>
            <w:tabs>
              <w:tab w:val="right" w:leader="dot" w:pos="8306"/>
            </w:tabs>
            <w:rPr>
              <w:b/>
            </w:rPr>
          </w:pPr>
          <w:r>
            <w:fldChar w:fldCharType="begin"/>
          </w:r>
          <w:r>
            <w:instrText xml:space="preserve">TOC \o "1-2" \h \u </w:instrText>
          </w:r>
          <w:r>
            <w:fldChar w:fldCharType="separate"/>
          </w:r>
        </w:p>
        <w:p>
          <w:pPr>
            <w:pStyle w:val="34"/>
            <w:tabs>
              <w:tab w:val="right" w:leader="dot" w:pos="8306"/>
            </w:tabs>
            <w:rPr>
              <w:b/>
            </w:rPr>
          </w:pPr>
          <w:r>
            <w:rPr>
              <w:b/>
            </w:rPr>
            <w:fldChar w:fldCharType="begin"/>
          </w:r>
          <w:r>
            <w:rPr>
              <w:b/>
            </w:rPr>
            <w:instrText xml:space="preserve"> HYPERLINK \l _Toc24451 </w:instrText>
          </w:r>
          <w:r>
            <w:rPr>
              <w:b/>
            </w:rPr>
            <w:fldChar w:fldCharType="separate"/>
          </w:r>
          <w:r>
            <w:rPr>
              <w:rFonts w:hint="eastAsia" w:ascii="黑体" w:hAnsi="黑体" w:eastAsia="黑体"/>
              <w:b/>
              <w:highlight w:val="none"/>
            </w:rPr>
            <w:t xml:space="preserve">第一部分 </w:t>
          </w:r>
          <w:r>
            <w:rPr>
              <w:rFonts w:hint="eastAsia" w:ascii="黑体" w:hAnsi="黑体" w:eastAsia="黑体"/>
              <w:b/>
              <w:bCs w:val="0"/>
              <w:highlight w:val="none"/>
            </w:rPr>
            <w:t>部门概况</w:t>
          </w:r>
          <w:r>
            <w:rPr>
              <w:b/>
            </w:rPr>
            <w:tab/>
          </w:r>
          <w:r>
            <w:rPr>
              <w:b/>
            </w:rPr>
            <w:fldChar w:fldCharType="begin"/>
          </w:r>
          <w:r>
            <w:rPr>
              <w:b/>
            </w:rPr>
            <w:instrText xml:space="preserve"> PAGEREF _Toc24451 \h </w:instrText>
          </w:r>
          <w:r>
            <w:rPr>
              <w:b/>
            </w:rPr>
            <w:fldChar w:fldCharType="separate"/>
          </w:r>
          <w:r>
            <w:rPr>
              <w:b/>
            </w:rPr>
            <w:t>3</w:t>
          </w:r>
          <w:r>
            <w:rPr>
              <w:b/>
            </w:rPr>
            <w:fldChar w:fldCharType="end"/>
          </w:r>
          <w:r>
            <w:rPr>
              <w:b/>
            </w:rPr>
            <w:fldChar w:fldCharType="end"/>
          </w:r>
        </w:p>
        <w:p>
          <w:pPr>
            <w:pStyle w:val="35"/>
            <w:tabs>
              <w:tab w:val="right" w:leader="dot" w:pos="8306"/>
            </w:tabs>
          </w:pPr>
          <w:r>
            <w:fldChar w:fldCharType="begin"/>
          </w:r>
          <w:r>
            <w:instrText xml:space="preserve"> HYPERLINK \l _Toc6415 </w:instrText>
          </w:r>
          <w:r>
            <w:fldChar w:fldCharType="separate"/>
          </w:r>
          <w:r>
            <w:rPr>
              <w:rFonts w:hint="eastAsia" w:ascii="黑体" w:hAnsi="黑体" w:eastAsia="黑体"/>
              <w:lang w:eastAsia="zh-CN"/>
            </w:rPr>
            <w:t xml:space="preserve">一、 </w:t>
          </w:r>
          <w:r>
            <w:rPr>
              <w:rFonts w:hint="eastAsia" w:ascii="黑体" w:hAnsi="黑体" w:eastAsia="黑体"/>
              <w:highlight w:val="none"/>
              <w:lang w:eastAsia="zh-CN"/>
            </w:rPr>
            <w:t>部门职责</w:t>
          </w:r>
          <w:r>
            <w:tab/>
          </w:r>
          <w:r>
            <w:fldChar w:fldCharType="begin"/>
          </w:r>
          <w:r>
            <w:instrText xml:space="preserve"> PAGEREF _Toc6415 \h </w:instrText>
          </w:r>
          <w:r>
            <w:fldChar w:fldCharType="separate"/>
          </w:r>
          <w:r>
            <w:t>3</w:t>
          </w:r>
          <w:r>
            <w:fldChar w:fldCharType="end"/>
          </w:r>
          <w:r>
            <w:fldChar w:fldCharType="end"/>
          </w:r>
        </w:p>
        <w:p>
          <w:pPr>
            <w:pStyle w:val="35"/>
            <w:tabs>
              <w:tab w:val="right" w:leader="dot" w:pos="8306"/>
            </w:tabs>
          </w:pPr>
          <w:r>
            <w:fldChar w:fldCharType="begin"/>
          </w:r>
          <w:r>
            <w:instrText xml:space="preserve"> HYPERLINK \l _Toc16627 </w:instrText>
          </w:r>
          <w:r>
            <w:fldChar w:fldCharType="separate"/>
          </w:r>
          <w:r>
            <w:rPr>
              <w:rFonts w:hint="eastAsia" w:ascii="黑体" w:hAnsi="黑体" w:eastAsia="黑体"/>
              <w:bCs w:val="0"/>
            </w:rPr>
            <w:t xml:space="preserve">二、 </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_Toc16627 \h </w:instrText>
          </w:r>
          <w:r>
            <w:fldChar w:fldCharType="separate"/>
          </w:r>
          <w:r>
            <w:t>3</w:t>
          </w:r>
          <w:r>
            <w:fldChar w:fldCharType="end"/>
          </w:r>
          <w:r>
            <w:fldChar w:fldCharType="end"/>
          </w:r>
        </w:p>
        <w:p>
          <w:pPr>
            <w:pStyle w:val="34"/>
            <w:tabs>
              <w:tab w:val="right" w:leader="dot" w:pos="8306"/>
            </w:tabs>
            <w:rPr>
              <w:b/>
            </w:rPr>
          </w:pPr>
          <w:r>
            <w:rPr>
              <w:b/>
            </w:rPr>
            <w:fldChar w:fldCharType="begin"/>
          </w:r>
          <w:r>
            <w:rPr>
              <w:b/>
            </w:rPr>
            <w:instrText xml:space="preserve"> HYPERLINK \l _Toc3761 </w:instrText>
          </w:r>
          <w:r>
            <w:rPr>
              <w:b/>
            </w:rPr>
            <w:fldChar w:fldCharType="separate"/>
          </w:r>
          <w:r>
            <w:rPr>
              <w:rFonts w:hint="eastAsia" w:ascii="黑体" w:hAnsi="黑体" w:eastAsia="黑体"/>
              <w:b/>
              <w:bCs/>
              <w:highlight w:val="none"/>
            </w:rPr>
            <w:t xml:space="preserve">第二部分 </w:t>
          </w:r>
          <w:r>
            <w:rPr>
              <w:rFonts w:hint="eastAsia" w:ascii="黑体" w:hAnsi="黑体" w:eastAsia="黑体"/>
              <w:b/>
              <w:bCs/>
              <w:highlight w:val="none"/>
              <w:lang w:val="en-US" w:eastAsia="zh-CN"/>
            </w:rPr>
            <w:t>2022年度</w:t>
          </w:r>
          <w:r>
            <w:rPr>
              <w:rFonts w:hint="eastAsia" w:ascii="黑体" w:hAnsi="黑体" w:eastAsia="黑体"/>
              <w:b/>
              <w:bCs/>
              <w:highlight w:val="none"/>
            </w:rPr>
            <w:t>部门决算情况说明</w:t>
          </w:r>
          <w:r>
            <w:rPr>
              <w:b/>
            </w:rPr>
            <w:tab/>
          </w:r>
          <w:r>
            <w:rPr>
              <w:b/>
            </w:rPr>
            <w:fldChar w:fldCharType="begin"/>
          </w:r>
          <w:r>
            <w:rPr>
              <w:b/>
            </w:rPr>
            <w:instrText xml:space="preserve"> PAGEREF _Toc3761 \h </w:instrText>
          </w:r>
          <w:r>
            <w:rPr>
              <w:b/>
            </w:rPr>
            <w:fldChar w:fldCharType="separate"/>
          </w:r>
          <w:r>
            <w:rPr>
              <w:b/>
            </w:rPr>
            <w:t>3</w:t>
          </w:r>
          <w:r>
            <w:rPr>
              <w:b/>
            </w:rPr>
            <w:fldChar w:fldCharType="end"/>
          </w:r>
          <w:r>
            <w:rPr>
              <w:b/>
            </w:rPr>
            <w:fldChar w:fldCharType="end"/>
          </w:r>
        </w:p>
        <w:p>
          <w:pPr>
            <w:pStyle w:val="35"/>
            <w:tabs>
              <w:tab w:val="right" w:leader="dot" w:pos="8306"/>
            </w:tabs>
          </w:pPr>
          <w:r>
            <w:fldChar w:fldCharType="begin"/>
          </w:r>
          <w:r>
            <w:instrText xml:space="preserve"> HYPERLINK \l _Toc15388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_Toc15388 \h </w:instrText>
          </w:r>
          <w:r>
            <w:fldChar w:fldCharType="separate"/>
          </w:r>
          <w:r>
            <w:t>3</w:t>
          </w:r>
          <w:r>
            <w:fldChar w:fldCharType="end"/>
          </w:r>
          <w:r>
            <w:fldChar w:fldCharType="end"/>
          </w:r>
        </w:p>
        <w:p>
          <w:pPr>
            <w:pStyle w:val="35"/>
            <w:tabs>
              <w:tab w:val="right" w:leader="dot" w:pos="8306"/>
            </w:tabs>
          </w:pPr>
          <w:r>
            <w:fldChar w:fldCharType="begin"/>
          </w:r>
          <w:r>
            <w:instrText xml:space="preserve"> HYPERLINK \l _Toc12363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_Toc12363 \h </w:instrText>
          </w:r>
          <w:r>
            <w:fldChar w:fldCharType="separate"/>
          </w:r>
          <w:r>
            <w:t>4</w:t>
          </w:r>
          <w:r>
            <w:fldChar w:fldCharType="end"/>
          </w:r>
          <w:r>
            <w:fldChar w:fldCharType="end"/>
          </w:r>
        </w:p>
        <w:p>
          <w:pPr>
            <w:pStyle w:val="35"/>
            <w:tabs>
              <w:tab w:val="right" w:leader="dot" w:pos="8306"/>
            </w:tabs>
          </w:pPr>
          <w:r>
            <w:fldChar w:fldCharType="begin"/>
          </w:r>
          <w:r>
            <w:instrText xml:space="preserve"> HYPERLINK \l _Toc26240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_Toc26240 \h </w:instrText>
          </w:r>
          <w:r>
            <w:fldChar w:fldCharType="separate"/>
          </w:r>
          <w:r>
            <w:t>5</w:t>
          </w:r>
          <w:r>
            <w:fldChar w:fldCharType="end"/>
          </w:r>
          <w:r>
            <w:fldChar w:fldCharType="end"/>
          </w:r>
        </w:p>
        <w:p>
          <w:pPr>
            <w:pStyle w:val="35"/>
            <w:tabs>
              <w:tab w:val="right" w:leader="dot" w:pos="8306"/>
            </w:tabs>
          </w:pPr>
          <w:r>
            <w:fldChar w:fldCharType="begin"/>
          </w:r>
          <w:r>
            <w:instrText xml:space="preserve"> HYPERLINK \l _Toc6886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_Toc6886 \h </w:instrText>
          </w:r>
          <w:r>
            <w:fldChar w:fldCharType="separate"/>
          </w:r>
          <w:r>
            <w:t>6</w:t>
          </w:r>
          <w:r>
            <w:fldChar w:fldCharType="end"/>
          </w:r>
          <w:r>
            <w:fldChar w:fldCharType="end"/>
          </w:r>
        </w:p>
        <w:p>
          <w:pPr>
            <w:pStyle w:val="35"/>
            <w:tabs>
              <w:tab w:val="right" w:leader="dot" w:pos="8306"/>
            </w:tabs>
          </w:pPr>
          <w:r>
            <w:fldChar w:fldCharType="begin"/>
          </w:r>
          <w:r>
            <w:instrText xml:space="preserve"> HYPERLINK \l _Toc18867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_Toc18867 \h </w:instrText>
          </w:r>
          <w:r>
            <w:fldChar w:fldCharType="separate"/>
          </w:r>
          <w:r>
            <w:t>7</w:t>
          </w:r>
          <w:r>
            <w:fldChar w:fldCharType="end"/>
          </w:r>
          <w:r>
            <w:fldChar w:fldCharType="end"/>
          </w:r>
        </w:p>
        <w:p>
          <w:pPr>
            <w:pStyle w:val="35"/>
            <w:tabs>
              <w:tab w:val="right" w:leader="dot" w:pos="8306"/>
            </w:tabs>
          </w:pPr>
          <w:r>
            <w:fldChar w:fldCharType="begin"/>
          </w:r>
          <w:r>
            <w:instrText xml:space="preserve"> HYPERLINK \l _Toc24005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_Toc24005 \h </w:instrText>
          </w:r>
          <w:r>
            <w:fldChar w:fldCharType="separate"/>
          </w:r>
          <w:r>
            <w:t>10</w:t>
          </w:r>
          <w:r>
            <w:fldChar w:fldCharType="end"/>
          </w:r>
          <w:r>
            <w:fldChar w:fldCharType="end"/>
          </w:r>
        </w:p>
        <w:p>
          <w:pPr>
            <w:pStyle w:val="35"/>
            <w:tabs>
              <w:tab w:val="right" w:leader="dot" w:pos="8306"/>
            </w:tabs>
          </w:pPr>
          <w:r>
            <w:fldChar w:fldCharType="begin"/>
          </w:r>
          <w:r>
            <w:instrText xml:space="preserve"> HYPERLINK \l _Toc32338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_Toc32338 \h </w:instrText>
          </w:r>
          <w:r>
            <w:fldChar w:fldCharType="separate"/>
          </w:r>
          <w:r>
            <w:t>10</w:t>
          </w:r>
          <w:r>
            <w:fldChar w:fldCharType="end"/>
          </w:r>
          <w:r>
            <w:fldChar w:fldCharType="end"/>
          </w:r>
        </w:p>
        <w:p>
          <w:pPr>
            <w:pStyle w:val="35"/>
            <w:tabs>
              <w:tab w:val="right" w:leader="dot" w:pos="8306"/>
            </w:tabs>
          </w:pPr>
          <w:r>
            <w:fldChar w:fldCharType="begin"/>
          </w:r>
          <w:r>
            <w:instrText xml:space="preserve"> HYPERLINK \l _Toc3026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_Toc3026 \h </w:instrText>
          </w:r>
          <w:r>
            <w:fldChar w:fldCharType="separate"/>
          </w:r>
          <w:r>
            <w:t>12</w:t>
          </w:r>
          <w:r>
            <w:fldChar w:fldCharType="end"/>
          </w:r>
          <w:r>
            <w:fldChar w:fldCharType="end"/>
          </w:r>
        </w:p>
        <w:p>
          <w:pPr>
            <w:pStyle w:val="35"/>
            <w:tabs>
              <w:tab w:val="right" w:leader="dot" w:pos="8306"/>
            </w:tabs>
          </w:pPr>
          <w:r>
            <w:fldChar w:fldCharType="begin"/>
          </w:r>
          <w:r>
            <w:instrText xml:space="preserve"> HYPERLINK \l _Toc17802 </w:instrText>
          </w:r>
          <w:r>
            <w:fldChar w:fldCharType="separate"/>
          </w:r>
          <w:r>
            <w:rPr>
              <w:rFonts w:hint="eastAsia" w:ascii="黑体" w:hAnsi="黑体" w:eastAsia="黑体"/>
              <w:highlight w:val="none"/>
              <w:lang w:eastAsia="zh-CN"/>
            </w:rPr>
            <w:t>九、</w:t>
          </w:r>
          <w:r>
            <w:rPr>
              <w:rFonts w:hint="eastAsia" w:ascii="黑体" w:hAnsi="黑体" w:eastAsia="黑体"/>
              <w:highlight w:val="none"/>
            </w:rPr>
            <w:t>国有资本经营预算支出决算情况说明</w:t>
          </w:r>
          <w:r>
            <w:tab/>
          </w:r>
          <w:r>
            <w:fldChar w:fldCharType="begin"/>
          </w:r>
          <w:r>
            <w:instrText xml:space="preserve"> PAGEREF _Toc17802 \h </w:instrText>
          </w:r>
          <w:r>
            <w:fldChar w:fldCharType="separate"/>
          </w:r>
          <w:r>
            <w:t>12</w:t>
          </w:r>
          <w:r>
            <w:fldChar w:fldCharType="end"/>
          </w:r>
          <w:r>
            <w:fldChar w:fldCharType="end"/>
          </w:r>
        </w:p>
        <w:p>
          <w:pPr>
            <w:pStyle w:val="35"/>
            <w:tabs>
              <w:tab w:val="right" w:leader="dot" w:pos="8306"/>
            </w:tabs>
          </w:pPr>
          <w:r>
            <w:fldChar w:fldCharType="begin"/>
          </w:r>
          <w:r>
            <w:instrText xml:space="preserve"> HYPERLINK \l _Toc8875 </w:instrText>
          </w:r>
          <w:r>
            <w:fldChar w:fldCharType="separate"/>
          </w:r>
          <w:r>
            <w:rPr>
              <w:rFonts w:hint="eastAsia" w:ascii="黑体" w:hAnsi="黑体" w:eastAsia="黑体"/>
              <w:highlight w:val="none"/>
              <w:lang w:eastAsia="zh-CN"/>
            </w:rPr>
            <w:t>十、</w:t>
          </w:r>
          <w:r>
            <w:rPr>
              <w:rFonts w:hint="eastAsia" w:ascii="黑体" w:hAnsi="黑体" w:eastAsia="黑体"/>
              <w:highlight w:val="none"/>
            </w:rPr>
            <w:t>其他重要事项的情况说明</w:t>
          </w:r>
          <w:r>
            <w:tab/>
          </w:r>
          <w:r>
            <w:fldChar w:fldCharType="begin"/>
          </w:r>
          <w:r>
            <w:instrText xml:space="preserve"> PAGEREF _Toc8875 \h </w:instrText>
          </w:r>
          <w:r>
            <w:fldChar w:fldCharType="separate"/>
          </w:r>
          <w:r>
            <w:t>12</w:t>
          </w:r>
          <w:r>
            <w:fldChar w:fldCharType="end"/>
          </w:r>
          <w:r>
            <w:fldChar w:fldCharType="end"/>
          </w:r>
        </w:p>
        <w:p>
          <w:pPr>
            <w:pStyle w:val="34"/>
            <w:tabs>
              <w:tab w:val="right" w:leader="dot" w:pos="8306"/>
            </w:tabs>
            <w:rPr>
              <w:b/>
            </w:rPr>
          </w:pPr>
          <w:r>
            <w:rPr>
              <w:b/>
            </w:rPr>
            <w:fldChar w:fldCharType="begin"/>
          </w:r>
          <w:r>
            <w:rPr>
              <w:b/>
            </w:rPr>
            <w:instrText xml:space="preserve"> HYPERLINK \l _Toc6554 </w:instrText>
          </w:r>
          <w:r>
            <w:rPr>
              <w:b/>
            </w:rPr>
            <w:fldChar w:fldCharType="separate"/>
          </w:r>
          <w:r>
            <w:rPr>
              <w:rFonts w:hint="eastAsia" w:ascii="黑体" w:hAnsi="黑体" w:eastAsia="黑体"/>
              <w:b/>
            </w:rPr>
            <w:t xml:space="preserve">第三部分 </w:t>
          </w:r>
          <w:r>
            <w:rPr>
              <w:rFonts w:hint="eastAsia" w:ascii="黑体" w:hAnsi="黑体" w:eastAsia="黑体"/>
              <w:b/>
              <w:szCs w:val="44"/>
              <w:highlight w:val="none"/>
            </w:rPr>
            <w:t>名</w:t>
          </w:r>
          <w:r>
            <w:rPr>
              <w:rFonts w:hint="eastAsia" w:ascii="黑体" w:hAnsi="黑体" w:eastAsia="黑体"/>
              <w:b/>
              <w:highlight w:val="none"/>
            </w:rPr>
            <w:t>词解释</w:t>
          </w:r>
          <w:r>
            <w:rPr>
              <w:b/>
            </w:rPr>
            <w:tab/>
          </w:r>
          <w:r>
            <w:rPr>
              <w:b/>
            </w:rPr>
            <w:fldChar w:fldCharType="begin"/>
          </w:r>
          <w:r>
            <w:rPr>
              <w:b/>
            </w:rPr>
            <w:instrText xml:space="preserve"> PAGEREF _Toc6554 \h </w:instrText>
          </w:r>
          <w:r>
            <w:rPr>
              <w:b/>
            </w:rPr>
            <w:fldChar w:fldCharType="separate"/>
          </w:r>
          <w:r>
            <w:rPr>
              <w:b/>
            </w:rPr>
            <w:t>14</w:t>
          </w:r>
          <w:r>
            <w:rPr>
              <w:b/>
            </w:rPr>
            <w:fldChar w:fldCharType="end"/>
          </w:r>
          <w:r>
            <w:rPr>
              <w:b/>
            </w:rPr>
            <w:fldChar w:fldCharType="end"/>
          </w:r>
        </w:p>
        <w:p>
          <w:pPr>
            <w:pStyle w:val="34"/>
            <w:tabs>
              <w:tab w:val="right" w:leader="dot" w:pos="8306"/>
            </w:tabs>
          </w:pPr>
          <w:r>
            <w:rPr>
              <w:b/>
            </w:rPr>
            <w:fldChar w:fldCharType="begin"/>
          </w:r>
          <w:r>
            <w:rPr>
              <w:b/>
            </w:rPr>
            <w:instrText xml:space="preserve"> HYPERLINK \l _Toc16963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四部分 附件</w:t>
          </w:r>
          <w:r>
            <w:rPr>
              <w:b/>
            </w:rPr>
            <w:tab/>
          </w:r>
          <w:r>
            <w:rPr>
              <w:b/>
            </w:rPr>
            <w:fldChar w:fldCharType="begin"/>
          </w:r>
          <w:r>
            <w:rPr>
              <w:b/>
            </w:rPr>
            <w:instrText xml:space="preserve"> PAGEREF _Toc16963 \h </w:instrText>
          </w:r>
          <w:r>
            <w:rPr>
              <w:b/>
            </w:rPr>
            <w:fldChar w:fldCharType="separate"/>
          </w:r>
          <w:r>
            <w:rPr>
              <w:b/>
            </w:rPr>
            <w:t>16</w:t>
          </w:r>
          <w:r>
            <w:rPr>
              <w:b/>
            </w:rPr>
            <w:fldChar w:fldCharType="end"/>
          </w:r>
          <w:r>
            <w:rPr>
              <w:b/>
            </w:rPr>
            <w:fldChar w:fldCharType="end"/>
          </w:r>
          <w:r>
            <w:rPr>
              <w:b/>
            </w:rPr>
            <w:fldChar w:fldCharType="begin"/>
          </w:r>
          <w:r>
            <w:rPr>
              <w:b/>
            </w:rPr>
            <w:instrText xml:space="preserve"> HYPERLINK \l _Toc13976 </w:instrText>
          </w:r>
          <w:r>
            <w:rPr>
              <w:b/>
            </w:rPr>
            <w:fldChar w:fldCharType="separate"/>
          </w:r>
          <w:r>
            <w:rPr>
              <w:b/>
            </w:rPr>
            <w:fldChar w:fldCharType="end"/>
          </w:r>
        </w:p>
        <w:p>
          <w:pPr>
            <w:pStyle w:val="34"/>
            <w:tabs>
              <w:tab w:val="right" w:leader="dot" w:pos="8306"/>
            </w:tabs>
            <w:rPr>
              <w:b/>
            </w:rPr>
          </w:pPr>
          <w:r>
            <w:rPr>
              <w:b/>
            </w:rPr>
            <w:fldChar w:fldCharType="begin"/>
          </w:r>
          <w:r>
            <w:rPr>
              <w:b/>
            </w:rPr>
            <w:instrText xml:space="preserve"> HYPERLINK \l _Toc18348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五部分 附表</w:t>
          </w:r>
          <w:r>
            <w:rPr>
              <w:b/>
            </w:rPr>
            <w:tab/>
          </w:r>
          <w:r>
            <w:rPr>
              <w:b/>
            </w:rPr>
            <w:fldChar w:fldCharType="begin"/>
          </w:r>
          <w:r>
            <w:rPr>
              <w:b/>
            </w:rPr>
            <w:instrText xml:space="preserve"> PAGEREF _Toc18348 \h </w:instrText>
          </w:r>
          <w:r>
            <w:rPr>
              <w:b/>
            </w:rPr>
            <w:fldChar w:fldCharType="separate"/>
          </w:r>
          <w:r>
            <w:rPr>
              <w:b/>
            </w:rPr>
            <w:t>20</w:t>
          </w:r>
          <w:r>
            <w:rPr>
              <w:b/>
            </w:rPr>
            <w:fldChar w:fldCharType="end"/>
          </w:r>
          <w:r>
            <w:rPr>
              <w:b/>
            </w:rPr>
            <w:fldChar w:fldCharType="end"/>
          </w:r>
        </w:p>
        <w:p>
          <w:pPr>
            <w:pStyle w:val="35"/>
            <w:tabs>
              <w:tab w:val="right" w:leader="dot" w:pos="8306"/>
            </w:tabs>
          </w:pPr>
          <w:r>
            <w:fldChar w:fldCharType="begin"/>
          </w:r>
          <w:r>
            <w:instrText xml:space="preserve"> HYPERLINK \l _Toc16531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_Toc16531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_Toc29534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_Toc29534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_Toc14696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_Toc14696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_Toc26420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_Toc26420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_Toc19591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_Toc19591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_Toc17693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_Toc17693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_Toc17306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_Toc17306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_Toc10641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_Toc10641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_Toc17620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_Toc17620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_Toc30535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_Toc30535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_Toc20526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_Toc20526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_Toc15847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_Toc15847 \h </w:instrText>
          </w:r>
          <w:r>
            <w:fldChar w:fldCharType="separate"/>
          </w:r>
          <w:r>
            <w:t>20</w:t>
          </w:r>
          <w:r>
            <w:fldChar w:fldCharType="end"/>
          </w:r>
          <w:r>
            <w:fldChar w:fldCharType="end"/>
          </w:r>
        </w:p>
        <w:p>
          <w:pPr>
            <w:pStyle w:val="35"/>
            <w:tabs>
              <w:tab w:val="right" w:leader="dot" w:pos="8306"/>
            </w:tabs>
          </w:pPr>
          <w:r>
            <w:fldChar w:fldCharType="begin"/>
          </w:r>
          <w:r>
            <w:instrText xml:space="preserve"> HYPERLINK \l _Toc28641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_Toc28641 \h </w:instrText>
          </w:r>
          <w:r>
            <w:fldChar w:fldCharType="separate"/>
          </w:r>
          <w:r>
            <w:t>20</w:t>
          </w:r>
          <w:r>
            <w:fldChar w:fldCharType="end"/>
          </w:r>
          <w:r>
            <w:fldChar w:fldCharType="end"/>
          </w:r>
        </w:p>
        <w:p>
          <w:pPr>
            <w:pStyle w:val="2"/>
          </w:pPr>
          <w:r>
            <w:rPr>
              <w:b/>
            </w:rPr>
            <w:fldChar w:fldCharType="end"/>
          </w:r>
        </w:p>
      </w:sdtContent>
    </w:sdt>
    <w:p>
      <w:pPr>
        <w:pStyle w:val="3"/>
        <w:jc w:val="center"/>
        <w:rPr>
          <w:rFonts w:hint="eastAsia" w:ascii="黑体" w:hAnsi="黑体" w:eastAsia="黑体"/>
          <w:b w:val="0"/>
          <w:color w:val="auto"/>
          <w:highlight w:val="none"/>
        </w:rPr>
      </w:pPr>
      <w:bookmarkStart w:id="18" w:name="_Toc24451"/>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16"/>
      <w:bookmarkEnd w:id="17"/>
      <w:bookmarkEnd w:id="18"/>
    </w:p>
    <w:p>
      <w:pPr>
        <w:pStyle w:val="4"/>
        <w:numPr>
          <w:ilvl w:val="0"/>
          <w:numId w:val="1"/>
        </w:numPr>
        <w:rPr>
          <w:rFonts w:hint="eastAsia" w:ascii="黑体" w:hAnsi="黑体" w:eastAsia="黑体"/>
          <w:b w:val="0"/>
          <w:color w:val="auto"/>
          <w:highlight w:val="none"/>
          <w:lang w:eastAsia="zh-CN"/>
        </w:rPr>
      </w:pPr>
      <w:bookmarkStart w:id="19" w:name="_Toc6415"/>
      <w:r>
        <w:rPr>
          <w:rFonts w:hint="eastAsia" w:ascii="黑体" w:hAnsi="黑体" w:eastAsia="黑体"/>
          <w:b w:val="0"/>
          <w:color w:val="auto"/>
          <w:highlight w:val="none"/>
          <w:lang w:eastAsia="zh-CN"/>
        </w:rPr>
        <w:t>部门职责</w:t>
      </w:r>
      <w:bookmarkEnd w:id="19"/>
    </w:p>
    <w:p>
      <w:pPr>
        <w:numPr>
          <w:ilvl w:val="0"/>
          <w:numId w:val="0"/>
        </w:numPr>
        <w:rPr>
          <w:rFonts w:hint="eastAsia"/>
          <w:lang w:eastAsia="zh-CN"/>
        </w:rPr>
      </w:pPr>
      <w:r>
        <w:rPr>
          <w:rFonts w:hint="eastAsia"/>
          <w:lang w:eastAsia="zh-CN"/>
        </w:rPr>
        <w:t>　　</w:t>
      </w:r>
      <w:bookmarkStart w:id="20" w:name="_Toc80804521"/>
      <w:bookmarkStart w:id="21" w:name="_Toc80804464"/>
      <w:bookmarkStart w:id="22" w:name="_Toc112225514"/>
      <w:bookmarkStart w:id="23" w:name="_Toc80804845"/>
      <w:r>
        <w:rPr>
          <w:rFonts w:hint="eastAsia" w:ascii="宋体" w:hAnsi="宋体" w:eastAsia="方正仿宋简体" w:cs="方正仿宋简体"/>
          <w:sz w:val="32"/>
          <w:szCs w:val="32"/>
        </w:rPr>
        <w:t>区志办的主要职</w:t>
      </w:r>
      <w:r>
        <w:rPr>
          <w:rFonts w:hint="eastAsia" w:ascii="宋体" w:hAnsi="宋体" w:eastAsia="方正仿宋简体" w:cs="方正仿宋简体"/>
          <w:sz w:val="32"/>
          <w:szCs w:val="32"/>
          <w:lang w:eastAsia="zh-CN"/>
        </w:rPr>
        <w:t>责</w:t>
      </w:r>
      <w:r>
        <w:rPr>
          <w:rFonts w:hint="eastAsia" w:ascii="宋体" w:hAnsi="宋体" w:eastAsia="方正仿宋简体" w:cs="方正仿宋简体"/>
          <w:sz w:val="32"/>
          <w:szCs w:val="32"/>
        </w:rPr>
        <w:t>是组织、指导、督促和检查地方志工作；拟定地方志工作规划和编纂方案；组织编纂地方志书、地方综合年鉴；搜集、保存地方志文献和资料，组织整理旧志，推动方志理论研究；组织开发利用地方志资源。</w:t>
      </w:r>
      <w:bookmarkEnd w:id="20"/>
      <w:bookmarkEnd w:id="21"/>
      <w:bookmarkEnd w:id="22"/>
      <w:bookmarkEnd w:id="23"/>
    </w:p>
    <w:p>
      <w:pPr>
        <w:pStyle w:val="4"/>
        <w:numPr>
          <w:ilvl w:val="0"/>
          <w:numId w:val="1"/>
        </w:numPr>
        <w:ind w:left="0" w:leftChars="0" w:firstLine="0" w:firstLineChars="0"/>
        <w:rPr>
          <w:rStyle w:val="28"/>
          <w:rFonts w:hint="eastAsia" w:ascii="黑体" w:hAnsi="黑体" w:eastAsia="黑体"/>
          <w:b w:val="0"/>
          <w:bCs w:val="0"/>
          <w:color w:val="auto"/>
          <w:highlight w:val="none"/>
        </w:rPr>
      </w:pPr>
      <w:bookmarkStart w:id="24" w:name="_Toc15396601"/>
      <w:bookmarkStart w:id="25" w:name="_Toc15377200"/>
      <w:bookmarkStart w:id="26" w:name="_Toc16627"/>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24"/>
      <w:bookmarkEnd w:id="25"/>
      <w:bookmarkEnd w:id="26"/>
      <w:bookmarkStart w:id="27" w:name="_Toc15306275"/>
      <w:bookmarkStart w:id="28" w:name="_Toc15377432"/>
      <w:bookmarkStart w:id="29" w:name="_Toc15378448"/>
      <w:bookmarkStart w:id="30" w:name="_Toc15377201"/>
    </w:p>
    <w:p>
      <w:pPr>
        <w:pStyle w:val="4"/>
        <w:numPr>
          <w:ilvl w:val="0"/>
          <w:numId w:val="0"/>
        </w:numPr>
        <w:ind w:leftChars="0"/>
        <w:rPr>
          <w:rFonts w:ascii="宋体" w:hAnsi="宋体" w:eastAsia="方正仿宋简体" w:cs="方正仿宋简体"/>
          <w:sz w:val="32"/>
          <w:szCs w:val="32"/>
        </w:rPr>
      </w:pPr>
      <w:r>
        <w:rPr>
          <w:rFonts w:hint="eastAsia" w:ascii="宋体" w:hAnsi="宋体" w:eastAsia="方正仿宋简体" w:cs="方正仿宋简体"/>
          <w:sz w:val="32"/>
          <w:szCs w:val="32"/>
          <w:lang w:eastAsia="zh-CN"/>
        </w:rPr>
        <w:t>　　</w:t>
      </w:r>
      <w:bookmarkStart w:id="31" w:name="_Toc26211"/>
      <w:r>
        <w:rPr>
          <w:rFonts w:hint="eastAsia" w:ascii="宋体" w:hAnsi="宋体" w:eastAsia="方正仿宋简体" w:cs="方正仿宋简体"/>
          <w:b w:val="0"/>
          <w:bCs w:val="0"/>
          <w:kern w:val="2"/>
          <w:sz w:val="32"/>
          <w:szCs w:val="32"/>
          <w:lang w:val="en-US" w:eastAsia="zh-CN" w:bidi="ar-SA"/>
        </w:rPr>
        <w:t>雁江区志办是参公事业单位，编制7名，实有职工6人，内设综合股1个</w:t>
      </w:r>
      <w:r>
        <w:rPr>
          <w:rFonts w:hint="eastAsia" w:ascii="宋体" w:hAnsi="宋体" w:eastAsia="方正仿宋简体" w:cs="方正仿宋简体"/>
          <w:sz w:val="32"/>
          <w:szCs w:val="32"/>
        </w:rPr>
        <w:t>。</w:t>
      </w:r>
      <w:bookmarkEnd w:id="31"/>
    </w:p>
    <w:bookmarkEnd w:id="27"/>
    <w:bookmarkEnd w:id="28"/>
    <w:bookmarkEnd w:id="29"/>
    <w:bookmarkEnd w:id="30"/>
    <w:p>
      <w:pPr>
        <w:pStyle w:val="3"/>
        <w:ind w:right="440"/>
        <w:jc w:val="center"/>
        <w:rPr>
          <w:rStyle w:val="27"/>
          <w:rFonts w:ascii="黑体" w:hAnsi="黑体" w:eastAsia="黑体"/>
          <w:b w:val="0"/>
          <w:bCs/>
          <w:color w:val="auto"/>
          <w:highlight w:val="none"/>
        </w:rPr>
      </w:pPr>
      <w:bookmarkStart w:id="32" w:name="_Toc15396602"/>
      <w:bookmarkStart w:id="33" w:name="_Toc15377204"/>
      <w:bookmarkStart w:id="34" w:name="_Toc376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rPr>
        <w:t>部门决算情况说明</w:t>
      </w:r>
      <w:bookmarkEnd w:id="32"/>
      <w:bookmarkEnd w:id="33"/>
      <w:bookmarkEnd w:id="34"/>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5" w:name="_Toc15396603"/>
      <w:bookmarkStart w:id="36" w:name="_Toc15377205"/>
      <w:bookmarkStart w:id="37" w:name="_Toc15388"/>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35"/>
      <w:bookmarkEnd w:id="36"/>
      <w:bookmarkEnd w:id="37"/>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122.25万元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相比，收、支总计各增加</w:t>
      </w:r>
      <w:r>
        <w:rPr>
          <w:rFonts w:hint="eastAsia" w:ascii="仿宋" w:hAnsi="仿宋" w:eastAsia="仿宋"/>
          <w:color w:val="auto"/>
          <w:sz w:val="32"/>
          <w:szCs w:val="32"/>
          <w:highlight w:val="none"/>
          <w:lang w:val="en-US" w:eastAsia="zh-CN"/>
        </w:rPr>
        <w:t>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2021年没有资金支付项目费用，2022个支付了上年的项目费用</w:t>
      </w:r>
      <w:r>
        <w:rPr>
          <w:rFonts w:hint="eastAsia" w:ascii="仿宋" w:hAnsi="仿宋" w:eastAsia="仿宋"/>
          <w:color w:val="auto"/>
          <w:sz w:val="32"/>
          <w:szCs w:val="32"/>
          <w:highlight w:val="none"/>
          <w:lang w:eastAsia="zh-CN"/>
        </w:rPr>
        <w:t>。</w:t>
      </w: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8" w:name="_Toc15396604"/>
      <w:bookmarkStart w:id="39" w:name="_Toc15377206"/>
      <w:bookmarkStart w:id="40" w:name="_Toc12363"/>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38"/>
      <w:bookmarkEnd w:id="39"/>
      <w:bookmarkEnd w:id="40"/>
    </w:p>
    <w:p>
      <w:pPr>
        <w:spacing w:line="600" w:lineRule="exact"/>
        <w:ind w:firstLine="640" w:firstLineChars="200"/>
        <w:outlineLvl w:val="1"/>
        <w:rPr>
          <w:rFonts w:hint="eastAsia" w:ascii="仿宋" w:hAnsi="仿宋" w:eastAsia="仿宋"/>
          <w:color w:val="auto"/>
          <w:sz w:val="32"/>
          <w:szCs w:val="32"/>
          <w:highlight w:val="none"/>
          <w:lang w:eastAsia="zh-CN"/>
        </w:rPr>
      </w:pPr>
      <w:bookmarkStart w:id="41" w:name="_Toc2050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41"/>
    </w:p>
    <w:p>
      <w:pPr>
        <w:pStyle w:val="2"/>
        <w:rPr>
          <w:rFonts w:hint="eastAsia"/>
          <w:lang w:eastAsia="zh-CN"/>
        </w:rPr>
      </w:pPr>
      <w:r>
        <w:rPr>
          <w:rFonts w:hint="eastAsia"/>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9"/>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42" w:name="_Toc15377207"/>
      <w:bookmarkStart w:id="43" w:name="_Toc15396605"/>
      <w:bookmarkStart w:id="44" w:name="_Toc26240"/>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42"/>
      <w:bookmarkEnd w:id="43"/>
      <w:bookmarkEnd w:id="44"/>
    </w:p>
    <w:p>
      <w:pPr>
        <w:spacing w:line="600" w:lineRule="exact"/>
        <w:ind w:firstLine="640" w:firstLineChars="200"/>
        <w:outlineLvl w:val="1"/>
        <w:rPr>
          <w:rFonts w:hint="eastAsia" w:ascii="仿宋" w:hAnsi="仿宋" w:eastAsia="仿宋"/>
          <w:color w:val="auto"/>
          <w:sz w:val="32"/>
          <w:szCs w:val="32"/>
          <w:highlight w:val="none"/>
        </w:rPr>
      </w:pPr>
      <w:bookmarkStart w:id="45" w:name="_Toc1664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111.75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19.60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5"/>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46" w:name="_Toc15396606"/>
      <w:bookmarkStart w:id="47" w:name="_Toc15377208"/>
      <w:bookmarkStart w:id="48" w:name="_Toc6886"/>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46"/>
      <w:bookmarkEnd w:id="47"/>
      <w:bookmarkEnd w:id="48"/>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2021年没有资金支付项目费用，2022个支付了上年的项目费用。</w:t>
      </w:r>
    </w:p>
    <w:p>
      <w:pPr>
        <w:pStyle w:val="2"/>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49" w:name="_Toc15377209"/>
      <w:bookmarkStart w:id="50" w:name="_Toc15396607"/>
      <w:bookmarkStart w:id="51" w:name="_Toc1886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color w:val="auto"/>
          <w:sz w:val="32"/>
          <w:szCs w:val="32"/>
          <w:highlight w:val="none"/>
        </w:rPr>
      </w:pPr>
      <w:bookmarkStart w:id="52" w:name="_Toc15377210"/>
      <w:r>
        <w:rPr>
          <w:rFonts w:hint="eastAsia" w:ascii="仿宋" w:hAnsi="仿宋" w:eastAsia="仿宋"/>
          <w:b/>
          <w:color w:val="auto"/>
          <w:sz w:val="32"/>
          <w:szCs w:val="32"/>
          <w:highlight w:val="none"/>
        </w:rPr>
        <w:t>（一）一般公共预算财政拨款支出决算总体情况</w:t>
      </w:r>
      <w:bookmarkEnd w:id="52"/>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2021年没有资金支付项目费用，2022个支付了上年的项目费用。</w:t>
      </w:r>
    </w:p>
    <w:p>
      <w:pPr>
        <w:pStyle w:val="2"/>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bookmarkStart w:id="53" w:name="_Toc15377211"/>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5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科学技术</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106.20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12.74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8.22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4" w:name="_Toc15377212"/>
      <w:r>
        <w:rPr>
          <w:rFonts w:hint="eastAsia" w:ascii="仿宋" w:hAnsi="仿宋" w:eastAsia="仿宋"/>
          <w:b/>
          <w:color w:val="auto"/>
          <w:sz w:val="32"/>
          <w:szCs w:val="32"/>
          <w:highlight w:val="none"/>
        </w:rPr>
        <w:t>（三）一般公共预算财政拨款支出决算具体情况</w:t>
      </w:r>
      <w:bookmarkEnd w:id="54"/>
    </w:p>
    <w:p>
      <w:pPr>
        <w:spacing w:line="600" w:lineRule="exact"/>
        <w:ind w:firstLine="643" w:firstLineChars="200"/>
        <w:outlineLvl w:val="2"/>
        <w:rPr>
          <w:rFonts w:ascii="仿宋" w:hAnsi="仿宋" w:eastAsia="仿宋"/>
          <w:color w:val="auto"/>
          <w:sz w:val="32"/>
          <w:szCs w:val="32"/>
          <w:highlight w:val="none"/>
        </w:rPr>
      </w:pPr>
      <w:bookmarkStart w:id="55" w:name="_Toc15377213"/>
      <w:bookmarkStart w:id="56" w:name="_Toc15378460"/>
      <w:bookmarkStart w:id="57"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131.35</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55"/>
      <w:bookmarkEnd w:id="56"/>
      <w:bookmarkEnd w:id="57"/>
    </w:p>
    <w:p>
      <w:pPr>
        <w:spacing w:line="600" w:lineRule="exact"/>
        <w:ind w:firstLine="643" w:firstLineChars="200"/>
        <w:rPr>
          <w:rFonts w:ascii="宋体" w:hAnsi="宋体" w:eastAsia="方正仿宋简体" w:cs="方正仿宋简体"/>
          <w:b/>
          <w:color w:val="000000"/>
          <w:sz w:val="32"/>
          <w:szCs w:val="32"/>
        </w:rPr>
      </w:pPr>
      <w:r>
        <w:rPr>
          <w:rStyle w:val="16"/>
          <w:rFonts w:hint="eastAsia" w:ascii="宋体" w:hAnsi="宋体" w:eastAsia="方正仿宋简体" w:cs="方正仿宋简体"/>
          <w:bCs/>
          <w:color w:val="000000"/>
          <w:sz w:val="32"/>
          <w:szCs w:val="32"/>
        </w:rPr>
        <w:t>1.科学技术（类）社会科学（款）社会科学研究机构（项）:</w:t>
      </w:r>
      <w:r>
        <w:rPr>
          <w:rStyle w:val="16"/>
          <w:rFonts w:hint="eastAsia" w:ascii="宋体" w:hAnsi="宋体" w:eastAsia="方正仿宋简体" w:cs="方正仿宋简体"/>
          <w:b w:val="0"/>
          <w:bCs/>
          <w:color w:val="000000"/>
          <w:sz w:val="32"/>
          <w:szCs w:val="32"/>
        </w:rPr>
        <w:t xml:space="preserve"> 支出决算为</w:t>
      </w:r>
      <w:r>
        <w:rPr>
          <w:rStyle w:val="16"/>
          <w:rFonts w:hint="eastAsia" w:ascii="宋体" w:hAnsi="宋体" w:eastAsia="方正仿宋简体" w:cs="方正仿宋简体"/>
          <w:b w:val="0"/>
          <w:bCs/>
          <w:color w:val="000000"/>
          <w:sz w:val="32"/>
          <w:szCs w:val="32"/>
          <w:lang w:val="en-US" w:eastAsia="zh-CN"/>
        </w:rPr>
        <w:t>106.20</w:t>
      </w:r>
      <w:r>
        <w:rPr>
          <w:rStyle w:val="16"/>
          <w:rFonts w:hint="eastAsia" w:ascii="宋体" w:hAnsi="宋体" w:eastAsia="方正仿宋简体" w:cs="方正仿宋简体"/>
          <w:b w:val="0"/>
          <w:bCs/>
          <w:color w:val="000000"/>
          <w:sz w:val="32"/>
          <w:szCs w:val="32"/>
        </w:rPr>
        <w:t>万元，完成预算100%。</w:t>
      </w:r>
    </w:p>
    <w:p>
      <w:pPr>
        <w:spacing w:line="600" w:lineRule="exact"/>
        <w:ind w:firstLine="643" w:firstLineChars="200"/>
        <w:rPr>
          <w:rStyle w:val="16"/>
          <w:rFonts w:ascii="宋体" w:hAnsi="宋体" w:eastAsia="方正仿宋简体" w:cs="方正仿宋简体"/>
          <w:b w:val="0"/>
          <w:bCs/>
          <w:color w:val="000000"/>
          <w:sz w:val="32"/>
          <w:szCs w:val="32"/>
        </w:rPr>
      </w:pPr>
      <w:r>
        <w:rPr>
          <w:rStyle w:val="16"/>
          <w:rFonts w:hint="eastAsia" w:ascii="宋体" w:hAnsi="宋体" w:eastAsia="方正仿宋简体" w:cs="方正仿宋简体"/>
          <w:bCs/>
          <w:color w:val="000000"/>
          <w:sz w:val="32"/>
          <w:szCs w:val="32"/>
        </w:rPr>
        <w:t>2.社会保障和就业（类）行政事业单位离退休（款）机关事业单位基本养老保险缴费支出（项）:</w:t>
      </w:r>
      <w:r>
        <w:rPr>
          <w:rStyle w:val="16"/>
          <w:rFonts w:hint="eastAsia" w:ascii="宋体" w:hAnsi="宋体" w:eastAsia="方正仿宋简体" w:cs="方正仿宋简体"/>
          <w:b w:val="0"/>
          <w:bCs/>
          <w:color w:val="000000"/>
          <w:sz w:val="32"/>
          <w:szCs w:val="32"/>
        </w:rPr>
        <w:t>支出决算为</w:t>
      </w:r>
      <w:r>
        <w:rPr>
          <w:rStyle w:val="16"/>
          <w:rFonts w:hint="eastAsia" w:ascii="宋体" w:hAnsi="宋体" w:eastAsia="方正仿宋简体" w:cs="方正仿宋简体"/>
          <w:b w:val="0"/>
          <w:bCs/>
          <w:color w:val="000000"/>
          <w:sz w:val="32"/>
          <w:szCs w:val="32"/>
          <w:lang w:val="en-US" w:eastAsia="zh-CN"/>
        </w:rPr>
        <w:t>12.74</w:t>
      </w:r>
      <w:r>
        <w:rPr>
          <w:rStyle w:val="16"/>
          <w:rFonts w:hint="eastAsia" w:ascii="宋体" w:hAnsi="宋体" w:eastAsia="方正仿宋简体" w:cs="方正仿宋简体"/>
          <w:b w:val="0"/>
          <w:bCs/>
          <w:color w:val="000000"/>
          <w:sz w:val="32"/>
          <w:szCs w:val="32"/>
        </w:rPr>
        <w:t>万元，完成预算100%。</w:t>
      </w:r>
    </w:p>
    <w:p>
      <w:pPr>
        <w:spacing w:line="600" w:lineRule="exact"/>
        <w:ind w:firstLine="643" w:firstLineChars="200"/>
        <w:rPr>
          <w:rStyle w:val="16"/>
          <w:rFonts w:ascii="宋体" w:hAnsi="宋体" w:eastAsia="方正仿宋简体" w:cs="方正仿宋简体"/>
          <w:b w:val="0"/>
          <w:bCs/>
          <w:color w:val="000000"/>
          <w:sz w:val="32"/>
          <w:szCs w:val="32"/>
        </w:rPr>
      </w:pPr>
      <w:r>
        <w:rPr>
          <w:rStyle w:val="16"/>
          <w:rFonts w:hint="eastAsia" w:ascii="宋体" w:hAnsi="宋体" w:eastAsia="方正仿宋简体" w:cs="方正仿宋简体"/>
          <w:bCs/>
          <w:color w:val="000000"/>
          <w:sz w:val="32"/>
          <w:szCs w:val="32"/>
        </w:rPr>
        <w:t>3.医疗卫生与计划生育（类）行政事业单位医疗（款）行政单位医疗和公务员医疗补助（项）:</w:t>
      </w:r>
      <w:r>
        <w:rPr>
          <w:rStyle w:val="16"/>
          <w:rFonts w:hint="eastAsia" w:ascii="宋体" w:hAnsi="宋体" w:eastAsia="方正仿宋简体" w:cs="方正仿宋简体"/>
          <w:b w:val="0"/>
          <w:bCs/>
          <w:color w:val="000000"/>
          <w:sz w:val="32"/>
          <w:szCs w:val="32"/>
        </w:rPr>
        <w:t>支出决算为</w:t>
      </w:r>
      <w:r>
        <w:rPr>
          <w:rStyle w:val="16"/>
          <w:rFonts w:hint="eastAsia" w:ascii="宋体" w:hAnsi="宋体" w:eastAsia="方正仿宋简体" w:cs="方正仿宋简体"/>
          <w:b w:val="0"/>
          <w:bCs/>
          <w:color w:val="000000"/>
          <w:sz w:val="32"/>
          <w:szCs w:val="32"/>
          <w:lang w:val="en-US" w:eastAsia="zh-CN"/>
        </w:rPr>
        <w:t>4.19</w:t>
      </w:r>
      <w:r>
        <w:rPr>
          <w:rStyle w:val="16"/>
          <w:rFonts w:hint="eastAsia" w:ascii="宋体" w:hAnsi="宋体" w:eastAsia="方正仿宋简体" w:cs="方正仿宋简体"/>
          <w:b w:val="0"/>
          <w:bCs/>
          <w:color w:val="000000"/>
          <w:sz w:val="32"/>
          <w:szCs w:val="32"/>
        </w:rPr>
        <w:t>万元，完成预算100%。</w:t>
      </w:r>
    </w:p>
    <w:p>
      <w:pPr>
        <w:spacing w:line="600" w:lineRule="exact"/>
        <w:ind w:firstLine="643" w:firstLineChars="200"/>
        <w:rPr>
          <w:rStyle w:val="16"/>
          <w:rFonts w:ascii="宋体" w:hAnsi="宋体" w:eastAsia="方正仿宋简体" w:cs="方正仿宋简体"/>
          <w:bCs/>
          <w:color w:val="000000"/>
          <w:sz w:val="32"/>
          <w:szCs w:val="32"/>
        </w:rPr>
      </w:pPr>
      <w:r>
        <w:rPr>
          <w:rStyle w:val="16"/>
          <w:rFonts w:hint="eastAsia" w:ascii="宋体" w:hAnsi="宋体" w:eastAsia="方正仿宋简体" w:cs="方正仿宋简体"/>
          <w:bCs/>
          <w:color w:val="000000"/>
          <w:sz w:val="32"/>
          <w:szCs w:val="32"/>
        </w:rPr>
        <w:t>4.住房保障（类）住房改革支出（款）住房公积金（项）：</w:t>
      </w:r>
      <w:r>
        <w:rPr>
          <w:rStyle w:val="16"/>
          <w:rFonts w:hint="eastAsia" w:ascii="宋体" w:hAnsi="宋体" w:eastAsia="方正仿宋简体" w:cs="方正仿宋简体"/>
          <w:b w:val="0"/>
          <w:bCs/>
          <w:color w:val="000000"/>
          <w:sz w:val="32"/>
          <w:szCs w:val="32"/>
        </w:rPr>
        <w:t>支出决算为</w:t>
      </w:r>
      <w:r>
        <w:rPr>
          <w:rStyle w:val="16"/>
          <w:rFonts w:hint="eastAsia" w:ascii="宋体" w:hAnsi="宋体" w:eastAsia="方正仿宋简体" w:cs="方正仿宋简体"/>
          <w:b w:val="0"/>
          <w:bCs/>
          <w:color w:val="000000"/>
          <w:sz w:val="32"/>
          <w:szCs w:val="32"/>
          <w:lang w:val="en-US" w:eastAsia="zh-CN"/>
        </w:rPr>
        <w:t>8.22</w:t>
      </w:r>
      <w:r>
        <w:rPr>
          <w:rStyle w:val="16"/>
          <w:rFonts w:hint="eastAsia" w:ascii="宋体" w:hAnsi="宋体" w:eastAsia="方正仿宋简体" w:cs="方正仿宋简体"/>
          <w:b w:val="0"/>
          <w:bCs/>
          <w:color w:val="000000"/>
          <w:sz w:val="32"/>
          <w:szCs w:val="32"/>
        </w:rPr>
        <w:t>万元，完成预算100%。</w:t>
      </w:r>
    </w:p>
    <w:p>
      <w:pPr>
        <w:tabs>
          <w:tab w:val="right" w:pos="8306"/>
        </w:tabs>
        <w:spacing w:line="600" w:lineRule="exact"/>
        <w:outlineLvl w:val="1"/>
        <w:rPr>
          <w:rStyle w:val="28"/>
          <w:color w:val="auto"/>
          <w:highlight w:val="none"/>
        </w:rPr>
      </w:pPr>
      <w:bookmarkStart w:id="58" w:name="_Toc15396608"/>
      <w:bookmarkStart w:id="59" w:name="_Toc15377214"/>
      <w:bookmarkStart w:id="60" w:name="_Toc24005"/>
      <w:r>
        <w:rPr>
          <w:rFonts w:hint="eastAsia" w:ascii="黑体" w:eastAsia="黑体"/>
          <w:color w:val="auto"/>
          <w:sz w:val="32"/>
          <w:szCs w:val="32"/>
          <w:highlight w:val="none"/>
          <w:lang w:eastAsia="zh-CN"/>
        </w:rPr>
        <w:t>　　</w:t>
      </w: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58"/>
      <w:bookmarkEnd w:id="59"/>
      <w:bookmarkEnd w:id="60"/>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111.75</w:t>
      </w:r>
      <w:r>
        <w:rPr>
          <w:rFonts w:hint="eastAsia" w:ascii="仿宋" w:hAnsi="仿宋" w:eastAsia="仿宋"/>
          <w:color w:val="auto"/>
          <w:sz w:val="32"/>
          <w:szCs w:val="32"/>
          <w:highlight w:val="none"/>
        </w:rPr>
        <w:t>万元，其中：</w:t>
      </w:r>
    </w:p>
    <w:p>
      <w:pPr>
        <w:spacing w:line="600" w:lineRule="exact"/>
        <w:ind w:firstLine="645"/>
        <w:rPr>
          <w:rFonts w:ascii="宋体" w:hAnsi="宋体" w:eastAsia="方正仿宋简体" w:cs="方正仿宋简体"/>
          <w:color w:val="000000"/>
          <w:sz w:val="30"/>
          <w:szCs w:val="30"/>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98.74</w:t>
      </w:r>
      <w:r>
        <w:rPr>
          <w:rFonts w:hint="eastAsia" w:ascii="仿宋" w:hAnsi="仿宋" w:eastAsia="仿宋"/>
          <w:color w:val="auto"/>
          <w:sz w:val="32"/>
          <w:szCs w:val="32"/>
          <w:highlight w:val="none"/>
        </w:rPr>
        <w:t>万元，主要包括：</w:t>
      </w:r>
      <w:r>
        <w:rPr>
          <w:rFonts w:hint="eastAsia" w:ascii="宋体" w:hAnsi="宋体" w:eastAsia="方正仿宋简体" w:cs="方正仿宋简体"/>
          <w:color w:val="000000"/>
          <w:sz w:val="32"/>
          <w:szCs w:val="32"/>
        </w:rPr>
        <w:t>基本工资</w:t>
      </w:r>
      <w:r>
        <w:rPr>
          <w:rFonts w:hint="eastAsia" w:ascii="宋体" w:hAnsi="宋体" w:eastAsia="方正仿宋简体" w:cs="方正仿宋简体"/>
          <w:color w:val="000000"/>
          <w:sz w:val="32"/>
          <w:szCs w:val="32"/>
          <w:lang w:val="en-US" w:eastAsia="zh-CN"/>
        </w:rPr>
        <w:t>28.58</w:t>
      </w:r>
      <w:r>
        <w:rPr>
          <w:rFonts w:hint="eastAsia" w:ascii="宋体" w:hAnsi="宋体" w:eastAsia="方正仿宋简体" w:cs="方正仿宋简体"/>
          <w:color w:val="000000"/>
          <w:sz w:val="32"/>
          <w:szCs w:val="32"/>
        </w:rPr>
        <w:t>万元、津贴补贴</w:t>
      </w:r>
      <w:r>
        <w:rPr>
          <w:rFonts w:hint="eastAsia" w:ascii="宋体" w:hAnsi="宋体" w:eastAsia="方正仿宋简体" w:cs="方正仿宋简体"/>
          <w:color w:val="000000"/>
          <w:sz w:val="32"/>
          <w:szCs w:val="32"/>
          <w:lang w:val="en-US" w:eastAsia="zh-CN"/>
        </w:rPr>
        <w:t>16.96</w:t>
      </w:r>
      <w:r>
        <w:rPr>
          <w:rFonts w:hint="eastAsia" w:ascii="宋体" w:hAnsi="宋体" w:eastAsia="方正仿宋简体" w:cs="方正仿宋简体"/>
          <w:color w:val="000000"/>
          <w:sz w:val="32"/>
          <w:szCs w:val="32"/>
        </w:rPr>
        <w:t>万元、奖金</w:t>
      </w:r>
      <w:r>
        <w:rPr>
          <w:rFonts w:hint="eastAsia" w:ascii="宋体" w:hAnsi="宋体" w:eastAsia="方正仿宋简体" w:cs="方正仿宋简体"/>
          <w:color w:val="000000"/>
          <w:sz w:val="32"/>
          <w:szCs w:val="32"/>
          <w:lang w:val="en-US" w:eastAsia="zh-CN"/>
        </w:rPr>
        <w:t>28.03</w:t>
      </w:r>
      <w:r>
        <w:rPr>
          <w:rFonts w:hint="eastAsia" w:ascii="宋体" w:hAnsi="宋体" w:eastAsia="方正仿宋简体" w:cs="方正仿宋简体"/>
          <w:color w:val="000000"/>
          <w:sz w:val="32"/>
          <w:szCs w:val="32"/>
        </w:rPr>
        <w:t>万元</w:t>
      </w:r>
      <w:r>
        <w:rPr>
          <w:rFonts w:hint="eastAsia" w:ascii="宋体" w:hAnsi="宋体" w:eastAsia="方正仿宋简体" w:cs="方正仿宋简体"/>
          <w:color w:val="000000"/>
          <w:sz w:val="32"/>
          <w:szCs w:val="32"/>
          <w:lang w:eastAsia="zh-CN"/>
        </w:rPr>
        <w:t>（包括基础绩效）</w:t>
      </w:r>
      <w:r>
        <w:rPr>
          <w:rFonts w:hint="eastAsia" w:ascii="宋体" w:hAnsi="宋体" w:eastAsia="方正仿宋简体" w:cs="方正仿宋简体"/>
          <w:color w:val="000000"/>
          <w:sz w:val="32"/>
          <w:szCs w:val="32"/>
        </w:rPr>
        <w:t>、机关事业单位基本养老保险缴费</w:t>
      </w:r>
      <w:r>
        <w:rPr>
          <w:rFonts w:hint="eastAsia" w:ascii="宋体" w:hAnsi="宋体" w:eastAsia="方正仿宋简体" w:cs="方正仿宋简体"/>
          <w:color w:val="000000"/>
          <w:sz w:val="32"/>
          <w:szCs w:val="32"/>
          <w:lang w:val="en-US" w:eastAsia="zh-CN"/>
        </w:rPr>
        <w:t>8.68</w:t>
      </w:r>
      <w:r>
        <w:rPr>
          <w:rFonts w:hint="eastAsia" w:ascii="宋体" w:hAnsi="宋体" w:eastAsia="方正仿宋简体" w:cs="方正仿宋简体"/>
          <w:color w:val="000000"/>
          <w:sz w:val="32"/>
          <w:szCs w:val="32"/>
        </w:rPr>
        <w:t>万元、职工基本医疗保险缴费</w:t>
      </w:r>
      <w:r>
        <w:rPr>
          <w:rFonts w:hint="eastAsia" w:ascii="宋体" w:hAnsi="宋体" w:eastAsia="方正仿宋简体" w:cs="方正仿宋简体"/>
          <w:color w:val="000000"/>
          <w:sz w:val="32"/>
          <w:szCs w:val="32"/>
          <w:lang w:val="en-US" w:eastAsia="zh-CN"/>
        </w:rPr>
        <w:t>3.44</w:t>
      </w:r>
      <w:r>
        <w:rPr>
          <w:rFonts w:hint="eastAsia" w:ascii="宋体" w:hAnsi="宋体" w:eastAsia="方正仿宋简体" w:cs="方正仿宋简体"/>
          <w:color w:val="000000"/>
          <w:sz w:val="32"/>
          <w:szCs w:val="32"/>
        </w:rPr>
        <w:t>万元、公务员医疗补助缴费0.7</w:t>
      </w:r>
      <w:r>
        <w:rPr>
          <w:rFonts w:hint="eastAsia" w:ascii="宋体" w:hAnsi="宋体" w:eastAsia="方正仿宋简体" w:cs="方正仿宋简体"/>
          <w:color w:val="000000"/>
          <w:sz w:val="32"/>
          <w:szCs w:val="32"/>
          <w:lang w:val="en-US" w:eastAsia="zh-CN"/>
        </w:rPr>
        <w:t>5</w:t>
      </w:r>
      <w:r>
        <w:rPr>
          <w:rFonts w:hint="eastAsia" w:ascii="宋体" w:hAnsi="宋体" w:eastAsia="方正仿宋简体" w:cs="方正仿宋简体"/>
          <w:color w:val="000000"/>
          <w:sz w:val="32"/>
          <w:szCs w:val="32"/>
        </w:rPr>
        <w:t>万元、其他社会保障缴费0.</w:t>
      </w:r>
      <w:r>
        <w:rPr>
          <w:rFonts w:hint="eastAsia" w:ascii="宋体" w:hAnsi="宋体" w:eastAsia="方正仿宋简体" w:cs="方正仿宋简体"/>
          <w:color w:val="000000"/>
          <w:sz w:val="32"/>
          <w:szCs w:val="32"/>
          <w:lang w:val="en-US" w:eastAsia="zh-CN"/>
        </w:rPr>
        <w:t>14</w:t>
      </w:r>
      <w:r>
        <w:rPr>
          <w:rFonts w:hint="eastAsia" w:ascii="宋体" w:hAnsi="宋体" w:eastAsia="方正仿宋简体" w:cs="方正仿宋简体"/>
          <w:color w:val="000000"/>
          <w:sz w:val="32"/>
          <w:szCs w:val="32"/>
        </w:rPr>
        <w:t>万元、住房公积金</w:t>
      </w:r>
      <w:r>
        <w:rPr>
          <w:rFonts w:hint="eastAsia" w:ascii="宋体" w:hAnsi="宋体" w:eastAsia="方正仿宋简体" w:cs="方正仿宋简体"/>
          <w:color w:val="000000"/>
          <w:sz w:val="32"/>
          <w:szCs w:val="32"/>
          <w:lang w:val="en-US" w:eastAsia="zh-CN"/>
        </w:rPr>
        <w:t>8.22</w:t>
      </w:r>
      <w:r>
        <w:rPr>
          <w:rFonts w:hint="eastAsia" w:ascii="宋体" w:hAnsi="宋体" w:eastAsia="方正仿宋简体" w:cs="方正仿宋简体"/>
          <w:color w:val="000000"/>
          <w:sz w:val="32"/>
          <w:szCs w:val="32"/>
        </w:rPr>
        <w:t>万元、</w:t>
      </w:r>
      <w:r>
        <w:rPr>
          <w:rFonts w:hint="eastAsia" w:ascii="宋体" w:hAnsi="宋体" w:eastAsia="方正仿宋简体" w:cs="方正仿宋简体"/>
          <w:color w:val="000000"/>
          <w:sz w:val="32"/>
          <w:szCs w:val="32"/>
          <w:lang w:eastAsia="zh-CN"/>
        </w:rPr>
        <w:t>其他工资福利支出</w:t>
      </w:r>
      <w:r>
        <w:rPr>
          <w:rFonts w:hint="eastAsia" w:ascii="宋体" w:hAnsi="宋体" w:eastAsia="方正仿宋简体" w:cs="方正仿宋简体"/>
          <w:color w:val="000000"/>
          <w:sz w:val="32"/>
          <w:szCs w:val="32"/>
          <w:lang w:val="en-US" w:eastAsia="zh-CN"/>
        </w:rPr>
        <w:t>0.02万元、</w:t>
      </w:r>
      <w:r>
        <w:rPr>
          <w:rFonts w:hint="eastAsia" w:ascii="宋体" w:hAnsi="宋体" w:eastAsia="方正仿宋简体" w:cs="方正仿宋简体"/>
          <w:color w:val="000000"/>
          <w:sz w:val="32"/>
          <w:szCs w:val="32"/>
        </w:rPr>
        <w:t>生活补助</w:t>
      </w:r>
      <w:r>
        <w:rPr>
          <w:rFonts w:hint="eastAsia" w:ascii="宋体" w:hAnsi="宋体" w:eastAsia="方正仿宋简体" w:cs="方正仿宋简体"/>
          <w:color w:val="000000"/>
          <w:sz w:val="32"/>
          <w:szCs w:val="32"/>
          <w:lang w:val="en-US" w:eastAsia="zh-CN"/>
        </w:rPr>
        <w:t>3.92</w:t>
      </w:r>
      <w:r>
        <w:rPr>
          <w:rFonts w:hint="eastAsia" w:ascii="宋体" w:hAnsi="宋体" w:eastAsia="方正仿宋简体" w:cs="方正仿宋简体"/>
          <w:color w:val="000000"/>
          <w:sz w:val="32"/>
          <w:szCs w:val="32"/>
        </w:rPr>
        <w:t>万元。</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13.01</w:t>
      </w:r>
      <w:r>
        <w:rPr>
          <w:rFonts w:hint="eastAsia" w:ascii="仿宋" w:hAnsi="仿宋" w:eastAsia="仿宋"/>
          <w:color w:val="auto"/>
          <w:sz w:val="32"/>
          <w:szCs w:val="32"/>
          <w:highlight w:val="none"/>
        </w:rPr>
        <w:t>万元，主要包括：</w:t>
      </w:r>
      <w:r>
        <w:rPr>
          <w:rFonts w:hint="eastAsia" w:ascii="宋体" w:hAnsi="宋体" w:eastAsia="方正仿宋简体" w:cs="方正仿宋简体"/>
          <w:color w:val="000000"/>
          <w:sz w:val="32"/>
          <w:szCs w:val="32"/>
        </w:rPr>
        <w:t>办公费</w:t>
      </w:r>
      <w:r>
        <w:rPr>
          <w:rFonts w:hint="eastAsia" w:ascii="宋体" w:hAnsi="宋体" w:eastAsia="方正仿宋简体" w:cs="方正仿宋简体"/>
          <w:color w:val="000000"/>
          <w:sz w:val="32"/>
          <w:szCs w:val="32"/>
          <w:lang w:val="en-US" w:eastAsia="zh-CN"/>
        </w:rPr>
        <w:t>1.68</w:t>
      </w:r>
      <w:r>
        <w:rPr>
          <w:rFonts w:hint="eastAsia" w:ascii="宋体" w:hAnsi="宋体" w:eastAsia="方正仿宋简体" w:cs="方正仿宋简体"/>
          <w:color w:val="000000"/>
          <w:sz w:val="32"/>
          <w:szCs w:val="32"/>
        </w:rPr>
        <w:t>万元、咨询费0.08万元、水费0.</w:t>
      </w:r>
      <w:r>
        <w:rPr>
          <w:rFonts w:hint="eastAsia" w:ascii="宋体" w:hAnsi="宋体" w:eastAsia="方正仿宋简体" w:cs="方正仿宋简体"/>
          <w:color w:val="000000"/>
          <w:sz w:val="32"/>
          <w:szCs w:val="32"/>
          <w:lang w:val="en-US" w:eastAsia="zh-CN"/>
        </w:rPr>
        <w:t>15</w:t>
      </w:r>
      <w:r>
        <w:rPr>
          <w:rFonts w:hint="eastAsia" w:ascii="宋体" w:hAnsi="宋体" w:eastAsia="方正仿宋简体" w:cs="方正仿宋简体"/>
          <w:color w:val="000000"/>
          <w:sz w:val="32"/>
          <w:szCs w:val="32"/>
        </w:rPr>
        <w:t>万元、电费0.</w:t>
      </w:r>
      <w:r>
        <w:rPr>
          <w:rFonts w:hint="eastAsia" w:ascii="宋体" w:hAnsi="宋体" w:eastAsia="方正仿宋简体" w:cs="方正仿宋简体"/>
          <w:color w:val="000000"/>
          <w:sz w:val="32"/>
          <w:szCs w:val="32"/>
          <w:lang w:val="en-US" w:eastAsia="zh-CN"/>
        </w:rPr>
        <w:t>24</w:t>
      </w:r>
      <w:r>
        <w:rPr>
          <w:rFonts w:hint="eastAsia" w:ascii="宋体" w:hAnsi="宋体" w:eastAsia="方正仿宋简体" w:cs="方正仿宋简体"/>
          <w:color w:val="000000"/>
          <w:sz w:val="32"/>
          <w:szCs w:val="32"/>
        </w:rPr>
        <w:t>万元、邮电费0.</w:t>
      </w:r>
      <w:r>
        <w:rPr>
          <w:rFonts w:hint="eastAsia" w:ascii="宋体" w:hAnsi="宋体" w:eastAsia="方正仿宋简体" w:cs="方正仿宋简体"/>
          <w:color w:val="000000"/>
          <w:sz w:val="32"/>
          <w:szCs w:val="32"/>
          <w:lang w:val="en-US" w:eastAsia="zh-CN"/>
        </w:rPr>
        <w:t>16</w:t>
      </w:r>
      <w:r>
        <w:rPr>
          <w:rFonts w:hint="eastAsia" w:ascii="宋体" w:hAnsi="宋体" w:eastAsia="方正仿宋简体" w:cs="方正仿宋简体"/>
          <w:color w:val="000000"/>
          <w:sz w:val="32"/>
          <w:szCs w:val="32"/>
        </w:rPr>
        <w:t>万元、差旅费1</w:t>
      </w:r>
      <w:r>
        <w:rPr>
          <w:rFonts w:hint="eastAsia" w:ascii="宋体" w:hAnsi="宋体" w:eastAsia="方正仿宋简体" w:cs="方正仿宋简体"/>
          <w:color w:val="000000"/>
          <w:sz w:val="32"/>
          <w:szCs w:val="32"/>
          <w:lang w:val="en-US" w:eastAsia="zh-CN"/>
        </w:rPr>
        <w:t>.45</w:t>
      </w:r>
      <w:r>
        <w:rPr>
          <w:rFonts w:hint="eastAsia" w:ascii="宋体" w:hAnsi="宋体" w:eastAsia="方正仿宋简体" w:cs="方正仿宋简体"/>
          <w:color w:val="000000"/>
          <w:sz w:val="32"/>
          <w:szCs w:val="32"/>
        </w:rPr>
        <w:t>万元、培训费0.</w:t>
      </w:r>
      <w:r>
        <w:rPr>
          <w:rFonts w:hint="eastAsia" w:ascii="宋体" w:hAnsi="宋体" w:eastAsia="方正仿宋简体" w:cs="方正仿宋简体"/>
          <w:color w:val="000000"/>
          <w:sz w:val="32"/>
          <w:szCs w:val="32"/>
          <w:lang w:val="en-US" w:eastAsia="zh-CN"/>
        </w:rPr>
        <w:t>35</w:t>
      </w:r>
      <w:r>
        <w:rPr>
          <w:rFonts w:hint="eastAsia" w:ascii="宋体" w:hAnsi="宋体" w:eastAsia="方正仿宋简体" w:cs="方正仿宋简体"/>
          <w:color w:val="000000"/>
          <w:sz w:val="32"/>
          <w:szCs w:val="32"/>
        </w:rPr>
        <w:t>万元、工会经费</w:t>
      </w:r>
      <w:r>
        <w:rPr>
          <w:rFonts w:hint="eastAsia" w:ascii="宋体" w:hAnsi="宋体" w:eastAsia="方正仿宋简体" w:cs="方正仿宋简体"/>
          <w:color w:val="000000"/>
          <w:sz w:val="32"/>
          <w:szCs w:val="32"/>
          <w:lang w:val="en-US" w:eastAsia="zh-CN"/>
        </w:rPr>
        <w:t>0.87</w:t>
      </w:r>
      <w:r>
        <w:rPr>
          <w:rFonts w:hint="eastAsia" w:ascii="宋体" w:hAnsi="宋体" w:eastAsia="方正仿宋简体" w:cs="方正仿宋简体"/>
          <w:color w:val="000000"/>
          <w:sz w:val="32"/>
          <w:szCs w:val="32"/>
        </w:rPr>
        <w:t>万元、其他交通费5.</w:t>
      </w:r>
      <w:r>
        <w:rPr>
          <w:rFonts w:hint="eastAsia" w:ascii="宋体" w:hAnsi="宋体" w:eastAsia="方正仿宋简体" w:cs="方正仿宋简体"/>
          <w:color w:val="000000"/>
          <w:sz w:val="32"/>
          <w:szCs w:val="32"/>
          <w:lang w:val="en-US" w:eastAsia="zh-CN"/>
        </w:rPr>
        <w:t>03</w:t>
      </w:r>
      <w:r>
        <w:rPr>
          <w:rFonts w:hint="eastAsia" w:ascii="宋体" w:hAnsi="宋体" w:eastAsia="方正仿宋简体" w:cs="方正仿宋简体"/>
          <w:color w:val="000000"/>
          <w:sz w:val="32"/>
          <w:szCs w:val="32"/>
        </w:rPr>
        <w:t>万元、其他商品和服务支出</w:t>
      </w:r>
      <w:r>
        <w:rPr>
          <w:rFonts w:hint="eastAsia" w:ascii="宋体" w:hAnsi="宋体" w:eastAsia="方正仿宋简体" w:cs="方正仿宋简体"/>
          <w:color w:val="000000"/>
          <w:sz w:val="32"/>
          <w:szCs w:val="32"/>
          <w:lang w:val="en-US" w:eastAsia="zh-CN"/>
        </w:rPr>
        <w:t>3</w:t>
      </w:r>
      <w:r>
        <w:rPr>
          <w:rFonts w:hint="eastAsia" w:ascii="宋体" w:hAnsi="宋体" w:eastAsia="方正仿宋简体" w:cs="方正仿宋简体"/>
          <w:color w:val="000000"/>
          <w:sz w:val="32"/>
          <w:szCs w:val="32"/>
        </w:rPr>
        <w:t>万元。</w:t>
      </w:r>
    </w:p>
    <w:p>
      <w:pPr>
        <w:spacing w:line="600" w:lineRule="exact"/>
        <w:ind w:firstLine="640"/>
        <w:outlineLvl w:val="1"/>
        <w:rPr>
          <w:rStyle w:val="28"/>
          <w:rFonts w:ascii="黑体" w:hAnsi="黑体" w:eastAsia="黑体"/>
          <w:b w:val="0"/>
          <w:color w:val="auto"/>
          <w:highlight w:val="none"/>
        </w:rPr>
      </w:pPr>
      <w:bookmarkStart w:id="61" w:name="_Toc15377215"/>
      <w:bookmarkStart w:id="62" w:name="_Toc15396609"/>
      <w:bookmarkStart w:id="63" w:name="_Toc32338"/>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61"/>
      <w:bookmarkEnd w:id="62"/>
      <w:bookmarkEnd w:id="63"/>
    </w:p>
    <w:p>
      <w:pPr>
        <w:spacing w:line="600" w:lineRule="exact"/>
        <w:ind w:firstLine="640"/>
        <w:outlineLvl w:val="2"/>
        <w:rPr>
          <w:rFonts w:ascii="仿宋" w:hAnsi="仿宋" w:eastAsia="仿宋"/>
          <w:b/>
          <w:color w:val="auto"/>
          <w:sz w:val="32"/>
          <w:szCs w:val="32"/>
          <w:highlight w:val="none"/>
        </w:rPr>
      </w:pPr>
      <w:bookmarkStart w:id="64" w:name="_Toc15377216"/>
      <w:r>
        <w:rPr>
          <w:rFonts w:hint="eastAsia" w:ascii="仿宋" w:hAnsi="仿宋" w:eastAsia="仿宋"/>
          <w:b/>
          <w:color w:val="auto"/>
          <w:sz w:val="32"/>
          <w:szCs w:val="32"/>
          <w:highlight w:val="none"/>
        </w:rPr>
        <w:t>（一）“三公”经费财政拨款支出决算总体情况说明</w:t>
      </w:r>
      <w:bookmarkEnd w:id="6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2021年0.05万元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减少0.05万元，下降100%。</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没有资金支付已发生的公务接待费</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5" w:name="_Toc15377217"/>
      <w:r>
        <w:rPr>
          <w:rFonts w:hint="eastAsia" w:ascii="仿宋" w:hAnsi="仿宋" w:eastAsia="仿宋"/>
          <w:b/>
          <w:color w:val="auto"/>
          <w:sz w:val="32"/>
          <w:szCs w:val="32"/>
          <w:highlight w:val="none"/>
        </w:rPr>
        <w:t>（二）“三公”经费财政拨款支出决算具体情况说明</w:t>
      </w:r>
      <w:bookmarkEnd w:id="6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宋体" w:hAnsi="宋体" w:eastAsia="方正仿宋简体" w:cs="方正仿宋简体"/>
          <w:color w:val="000000"/>
          <w:sz w:val="32"/>
          <w:szCs w:val="32"/>
        </w:rPr>
        <w:t>都无因公出国（境）经费支出</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宋体" w:hAnsi="宋体" w:eastAsia="方正仿宋简体" w:cs="方正仿宋简体"/>
          <w:color w:val="000000"/>
          <w:sz w:val="32"/>
          <w:szCs w:val="32"/>
        </w:rPr>
        <w:t>都无公务用车购置及运行维护费支出</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 w:hAnsi="仿宋" w:eastAsia="仿宋"/>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auto"/>
          <w:sz w:val="32"/>
          <w:szCs w:val="32"/>
          <w:highlight w:val="none"/>
          <w:lang w:eastAsia="zh-CN"/>
        </w:rPr>
        <w:t>没有资金支付已发生的公务接待费</w:t>
      </w:r>
      <w:r>
        <w:rPr>
          <w:rFonts w:hint="eastAsia" w:ascii="仿宋" w:hAnsi="仿宋" w:eastAsia="仿宋"/>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万元。国内公务接待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outlineLvl w:val="1"/>
        <w:rPr>
          <w:rStyle w:val="28"/>
          <w:rFonts w:ascii="黑体" w:hAnsi="黑体" w:eastAsia="黑体"/>
          <w:color w:val="auto"/>
          <w:highlight w:val="none"/>
        </w:rPr>
      </w:pPr>
      <w:bookmarkStart w:id="66" w:name="_Toc15396610"/>
      <w:bookmarkStart w:id="67" w:name="_Toc15377218"/>
      <w:r>
        <w:rPr>
          <w:rFonts w:hint="eastAsia" w:ascii="黑体" w:eastAsia="黑体"/>
          <w:color w:val="auto"/>
          <w:sz w:val="32"/>
          <w:szCs w:val="32"/>
          <w:highlight w:val="none"/>
          <w:lang w:eastAsia="zh-CN"/>
        </w:rPr>
        <w:t>　　</w:t>
      </w:r>
      <w:bookmarkStart w:id="68" w:name="_Toc3026"/>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66"/>
      <w:bookmarkEnd w:id="67"/>
      <w:bookmarkEnd w:id="6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0"/>
        </w:numPr>
        <w:spacing w:line="600" w:lineRule="exact"/>
        <w:outlineLvl w:val="1"/>
        <w:rPr>
          <w:rStyle w:val="28"/>
          <w:rFonts w:ascii="黑体" w:hAnsi="黑体" w:eastAsia="黑体"/>
          <w:b w:val="0"/>
          <w:color w:val="auto"/>
          <w:highlight w:val="none"/>
        </w:rPr>
      </w:pPr>
      <w:bookmarkStart w:id="69" w:name="_Toc15377219"/>
      <w:bookmarkStart w:id="70" w:name="_Toc15396611"/>
      <w:r>
        <w:rPr>
          <w:rStyle w:val="28"/>
          <w:rFonts w:hint="eastAsia" w:ascii="黑体" w:hAnsi="黑体" w:eastAsia="黑体"/>
          <w:b w:val="0"/>
          <w:color w:val="auto"/>
          <w:highlight w:val="none"/>
          <w:lang w:eastAsia="zh-CN"/>
        </w:rPr>
        <w:t>　　</w:t>
      </w:r>
      <w:bookmarkStart w:id="71" w:name="_Toc17802"/>
      <w:r>
        <w:rPr>
          <w:rStyle w:val="28"/>
          <w:rFonts w:hint="eastAsia" w:ascii="黑体" w:hAnsi="黑体" w:eastAsia="黑体"/>
          <w:b w:val="0"/>
          <w:color w:val="auto"/>
          <w:highlight w:val="none"/>
          <w:lang w:eastAsia="zh-CN"/>
        </w:rPr>
        <w:t>九、</w:t>
      </w:r>
      <w:r>
        <w:rPr>
          <w:rStyle w:val="28"/>
          <w:rFonts w:hint="eastAsia" w:ascii="黑体" w:hAnsi="黑体" w:eastAsia="黑体"/>
          <w:b w:val="0"/>
          <w:color w:val="auto"/>
          <w:highlight w:val="none"/>
        </w:rPr>
        <w:t>国有资本经营预算支出决算情况说明</w:t>
      </w:r>
      <w:bookmarkEnd w:id="69"/>
      <w:bookmarkEnd w:id="70"/>
      <w:bookmarkEnd w:id="7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0"/>
        </w:numPr>
        <w:spacing w:line="600" w:lineRule="exact"/>
        <w:outlineLvl w:val="1"/>
        <w:rPr>
          <w:rStyle w:val="28"/>
          <w:rFonts w:hint="eastAsia" w:ascii="黑体" w:hAnsi="黑体" w:eastAsia="黑体"/>
          <w:b w:val="0"/>
          <w:color w:val="auto"/>
          <w:highlight w:val="none"/>
        </w:rPr>
      </w:pPr>
      <w:bookmarkStart w:id="72" w:name="_Toc15396612"/>
      <w:bookmarkStart w:id="73" w:name="_Toc15377221"/>
      <w:r>
        <w:rPr>
          <w:rStyle w:val="28"/>
          <w:rFonts w:hint="eastAsia" w:ascii="黑体" w:hAnsi="黑体" w:eastAsia="黑体"/>
          <w:b w:val="0"/>
          <w:color w:val="auto"/>
          <w:highlight w:val="none"/>
          <w:lang w:eastAsia="zh-CN"/>
        </w:rPr>
        <w:t>　　</w:t>
      </w:r>
      <w:bookmarkStart w:id="74" w:name="_Toc8875"/>
      <w:r>
        <w:rPr>
          <w:rStyle w:val="28"/>
          <w:rFonts w:hint="eastAsia" w:ascii="黑体" w:hAnsi="黑体" w:eastAsia="黑体"/>
          <w:b w:val="0"/>
          <w:color w:val="auto"/>
          <w:highlight w:val="none"/>
          <w:lang w:eastAsia="zh-CN"/>
        </w:rPr>
        <w:t>十、</w:t>
      </w:r>
      <w:r>
        <w:rPr>
          <w:rStyle w:val="28"/>
          <w:rFonts w:hint="eastAsia" w:ascii="黑体" w:hAnsi="黑体" w:eastAsia="黑体"/>
          <w:b w:val="0"/>
          <w:color w:val="auto"/>
          <w:highlight w:val="none"/>
        </w:rPr>
        <w:t>其他重要事项的情况说明</w:t>
      </w:r>
      <w:bookmarkEnd w:id="72"/>
      <w:bookmarkEnd w:id="73"/>
      <w:bookmarkEnd w:id="74"/>
    </w:p>
    <w:p>
      <w:pPr>
        <w:spacing w:line="600" w:lineRule="exact"/>
        <w:ind w:firstLine="643" w:firstLineChars="200"/>
        <w:outlineLvl w:val="2"/>
        <w:rPr>
          <w:rFonts w:ascii="仿宋" w:hAnsi="仿宋" w:eastAsia="仿宋"/>
          <w:color w:val="auto"/>
          <w:sz w:val="32"/>
          <w:szCs w:val="32"/>
          <w:highlight w:val="none"/>
        </w:rPr>
      </w:pPr>
      <w:bookmarkStart w:id="75" w:name="_Toc15377222"/>
      <w:r>
        <w:rPr>
          <w:rFonts w:hint="eastAsia" w:ascii="仿宋" w:hAnsi="仿宋" w:eastAsia="仿宋"/>
          <w:b/>
          <w:color w:val="auto"/>
          <w:sz w:val="32"/>
          <w:szCs w:val="32"/>
          <w:highlight w:val="none"/>
        </w:rPr>
        <w:t>（一）机关运行经费支出情况</w:t>
      </w:r>
      <w:bookmarkEnd w:id="75"/>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13.01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27.97万元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14.96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本年没有资金支付项目费用。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6" w:name="_Toc15377223"/>
      <w:r>
        <w:rPr>
          <w:rFonts w:hint="eastAsia" w:ascii="仿宋" w:hAnsi="仿宋" w:eastAsia="仿宋"/>
          <w:b/>
          <w:color w:val="auto"/>
          <w:sz w:val="32"/>
          <w:szCs w:val="32"/>
          <w:highlight w:val="none"/>
        </w:rPr>
        <w:t>（二）政府采购支出情况</w:t>
      </w:r>
      <w:bookmarkEnd w:id="7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7" w:name="_Toc15377224"/>
      <w:r>
        <w:rPr>
          <w:rFonts w:hint="eastAsia" w:ascii="仿宋" w:hAnsi="仿宋" w:eastAsia="仿宋"/>
          <w:b/>
          <w:color w:val="auto"/>
          <w:sz w:val="32"/>
          <w:szCs w:val="32"/>
          <w:highlight w:val="none"/>
        </w:rPr>
        <w:t>（三）国有资产占有使用情况</w:t>
      </w:r>
      <w:bookmarkEnd w:id="7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eastAsia="zh-CN"/>
        </w:rPr>
        <w:t>《雁江年鉴》、方志馆馆藏储备</w:t>
      </w:r>
      <w:r>
        <w:rPr>
          <w:rFonts w:hint="eastAsia" w:ascii="仿宋_GB2312" w:hAnsi="仿宋_GB2312" w:eastAsia="仿宋_GB2312" w:cs="仿宋_GB2312"/>
          <w:color w:val="auto"/>
          <w:sz w:val="32"/>
          <w:szCs w:val="32"/>
          <w:highlight w:val="none"/>
        </w:rPr>
        <w:t>项目等</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组织对2022年度一般公共预算等全面开展绩效自评，形成</w:t>
      </w:r>
      <w:r>
        <w:rPr>
          <w:rFonts w:hint="eastAsia" w:ascii="仿宋_GB2312" w:hAnsi="仿宋_GB2312" w:eastAsia="仿宋_GB2312" w:cs="仿宋_GB2312"/>
          <w:color w:val="auto"/>
          <w:sz w:val="32"/>
          <w:szCs w:val="32"/>
          <w:highlight w:val="none"/>
          <w:lang w:eastAsia="zh-CN"/>
        </w:rPr>
        <w:t>区志办</w:t>
      </w:r>
      <w:r>
        <w:rPr>
          <w:rFonts w:hint="eastAsia" w:ascii="仿宋_GB2312" w:hAnsi="仿宋_GB2312" w:eastAsia="仿宋_GB2312" w:cs="仿宋_GB2312"/>
          <w:color w:val="auto"/>
          <w:sz w:val="32"/>
          <w:szCs w:val="32"/>
          <w:highlight w:val="none"/>
        </w:rPr>
        <w:t>部门整体绩效自评报告、</w:t>
      </w:r>
      <w:r>
        <w:rPr>
          <w:rFonts w:hint="eastAsia" w:ascii="仿宋_GB2312" w:hAnsi="仿宋_GB2312" w:eastAsia="仿宋_GB2312" w:cs="仿宋_GB2312"/>
          <w:color w:val="auto"/>
          <w:sz w:val="32"/>
          <w:szCs w:val="32"/>
          <w:highlight w:val="none"/>
          <w:lang w:eastAsia="zh-CN"/>
        </w:rPr>
        <w:t>《雁江年鉴》、方志馆馆藏储备</w:t>
      </w:r>
      <w:r>
        <w:rPr>
          <w:rFonts w:hint="eastAsia" w:ascii="仿宋_GB2312" w:hAnsi="仿宋_GB2312" w:eastAsia="仿宋_GB2312" w:cs="仿宋_GB2312"/>
          <w:color w:val="auto"/>
          <w:sz w:val="32"/>
          <w:szCs w:val="32"/>
          <w:highlight w:val="none"/>
        </w:rPr>
        <w:t>项目专项预算项目绩效自评报告，其中，</w:t>
      </w:r>
      <w:r>
        <w:rPr>
          <w:rFonts w:hint="eastAsia" w:ascii="仿宋_GB2312" w:hAnsi="仿宋_GB2312" w:eastAsia="仿宋_GB2312" w:cs="仿宋_GB2312"/>
          <w:color w:val="auto"/>
          <w:sz w:val="32"/>
          <w:szCs w:val="32"/>
          <w:highlight w:val="none"/>
          <w:lang w:eastAsia="zh-CN"/>
        </w:rPr>
        <w:t>区志办</w:t>
      </w:r>
      <w:r>
        <w:rPr>
          <w:rFonts w:hint="eastAsia" w:ascii="仿宋_GB2312" w:hAnsi="仿宋_GB2312" w:eastAsia="仿宋_GB2312" w:cs="仿宋_GB2312"/>
          <w:color w:val="auto"/>
          <w:sz w:val="32"/>
          <w:szCs w:val="32"/>
          <w:highlight w:val="none"/>
        </w:rPr>
        <w:t>部门整体绩效自评得分为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分，绩效自评综述：</w:t>
      </w:r>
      <w:r>
        <w:rPr>
          <w:rFonts w:ascii="宋体" w:hAnsi="宋体" w:eastAsia="方正仿宋简体"/>
          <w:sz w:val="32"/>
          <w:szCs w:val="32"/>
        </w:rPr>
        <w:t>本部门年度工作完成情况比较好，工作计划与产出相匹配，完成全年工作目标任务整体效果比较好、社会满意度评价好</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《雁江年鉴》、方志馆馆藏储备</w:t>
      </w:r>
      <w:r>
        <w:rPr>
          <w:rFonts w:hint="eastAsia" w:ascii="仿宋_GB2312" w:hAnsi="仿宋_GB2312" w:eastAsia="仿宋_GB2312" w:cs="仿宋_GB2312"/>
          <w:color w:val="auto"/>
          <w:sz w:val="32"/>
          <w:szCs w:val="32"/>
          <w:highlight w:val="none"/>
        </w:rPr>
        <w:t>项目专项预算项目绩效自评得分为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w:t>
      </w:r>
      <w:r>
        <w:rPr>
          <w:rFonts w:hint="eastAsia" w:ascii="宋体" w:hAnsi="宋体" w:eastAsia="方正仿宋简体"/>
          <w:sz w:val="32"/>
          <w:szCs w:val="32"/>
          <w:lang w:eastAsia="zh-CN"/>
        </w:rPr>
        <w:t>两个项目</w:t>
      </w:r>
      <w:r>
        <w:rPr>
          <w:rFonts w:ascii="宋体" w:hAnsi="宋体" w:eastAsia="方正仿宋简体"/>
          <w:sz w:val="32"/>
          <w:szCs w:val="32"/>
        </w:rPr>
        <w:t>完成情况比较好，有效的实现部门职能，完成</w:t>
      </w:r>
      <w:r>
        <w:rPr>
          <w:rFonts w:hint="eastAsia" w:ascii="宋体" w:hAnsi="宋体" w:eastAsia="方正仿宋简体"/>
          <w:sz w:val="32"/>
          <w:szCs w:val="32"/>
          <w:lang w:eastAsia="zh-CN"/>
        </w:rPr>
        <w:t>项目</w:t>
      </w:r>
      <w:r>
        <w:rPr>
          <w:rFonts w:ascii="宋体" w:hAnsi="宋体" w:eastAsia="方正仿宋简体"/>
          <w:sz w:val="32"/>
          <w:szCs w:val="32"/>
        </w:rPr>
        <w:t>工作目标任务效果较好、社会满意度评价好。</w:t>
      </w:r>
      <w:r>
        <w:rPr>
          <w:rFonts w:hint="eastAsia" w:ascii="仿宋_GB2312" w:hAnsi="仿宋_GB2312" w:eastAsia="仿宋_GB2312" w:cs="仿宋_GB2312"/>
          <w:color w:val="auto"/>
          <w:sz w:val="32"/>
          <w:szCs w:val="32"/>
          <w:highlight w:val="none"/>
        </w:rPr>
        <w:t>绩效自评报告详见附件。</w:t>
      </w:r>
    </w:p>
    <w:p>
      <w:pPr>
        <w:pStyle w:val="2"/>
      </w:pPr>
    </w:p>
    <w:p>
      <w:pPr>
        <w:pStyle w:val="2"/>
      </w:pPr>
    </w:p>
    <w:p>
      <w:pPr>
        <w:numPr>
          <w:ilvl w:val="0"/>
          <w:numId w:val="3"/>
        </w:numPr>
        <w:spacing w:line="600" w:lineRule="exact"/>
        <w:ind w:firstLine="660" w:firstLineChars="150"/>
        <w:jc w:val="center"/>
        <w:outlineLvl w:val="0"/>
        <w:rPr>
          <w:rStyle w:val="27"/>
          <w:rFonts w:ascii="黑体" w:hAnsi="黑体" w:eastAsia="黑体"/>
          <w:b w:val="0"/>
          <w:color w:val="auto"/>
          <w:highlight w:val="none"/>
        </w:rPr>
      </w:pPr>
      <w:bookmarkStart w:id="78" w:name="_Toc15396613"/>
      <w:bookmarkStart w:id="79" w:name="_Toc15377225"/>
      <w:bookmarkStart w:id="80" w:name="_Toc6554"/>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78"/>
      <w:bookmarkEnd w:id="79"/>
      <w:bookmarkEnd w:id="80"/>
    </w:p>
    <w:p>
      <w:pPr>
        <w:spacing w:line="600" w:lineRule="exact"/>
        <w:jc w:val="left"/>
        <w:rPr>
          <w:rFonts w:ascii="宋体"/>
          <w:b/>
          <w:color w:val="auto"/>
          <w:sz w:val="44"/>
          <w:szCs w:val="44"/>
          <w:highlight w:val="none"/>
        </w:rPr>
      </w:pPr>
    </w:p>
    <w:p>
      <w:pPr>
        <w:pStyle w:val="25"/>
        <w:spacing w:line="550" w:lineRule="exact"/>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lang w:eastAsia="zh-CN"/>
        </w:rPr>
        <w:t>　　</w:t>
      </w:r>
      <w:r>
        <w:rPr>
          <w:rFonts w:hint="eastAsia" w:ascii="宋体" w:hAnsi="宋体" w:eastAsia="方正黑体简体" w:cs="方正黑体简体"/>
          <w:color w:val="auto"/>
          <w:sz w:val="32"/>
          <w:szCs w:val="32"/>
        </w:rPr>
        <w:t>一、财政拨款收入：</w:t>
      </w:r>
      <w:r>
        <w:rPr>
          <w:rFonts w:hint="eastAsia" w:ascii="宋体" w:hAnsi="宋体" w:eastAsia="方正仿宋简体" w:cs="方正仿宋简体"/>
          <w:color w:val="auto"/>
          <w:sz w:val="32"/>
          <w:szCs w:val="32"/>
        </w:rPr>
        <w:t>指单位从同级财政部门取得的财政预算资金。</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rPr>
        <w:t>二、事业收入：</w:t>
      </w:r>
      <w:r>
        <w:rPr>
          <w:rFonts w:hint="eastAsia" w:ascii="宋体" w:hAnsi="宋体" w:eastAsia="方正仿宋简体" w:cs="方正仿宋简体"/>
          <w:color w:val="auto"/>
          <w:sz w:val="32"/>
          <w:szCs w:val="32"/>
        </w:rPr>
        <w:t>指事业单位开展专业业务活动及辅助活动取得的收入。</w:t>
      </w:r>
    </w:p>
    <w:p>
      <w:pPr>
        <w:pStyle w:val="25"/>
        <w:spacing w:line="550" w:lineRule="exact"/>
        <w:ind w:firstLine="640" w:firstLineChars="200"/>
        <w:jc w:val="both"/>
        <w:rPr>
          <w:rFonts w:hint="eastAsia" w:ascii="宋体" w:hAnsi="宋体" w:eastAsia="方正仿宋简体" w:cs="方正仿宋简体"/>
          <w:color w:val="auto"/>
          <w:sz w:val="32"/>
          <w:szCs w:val="32"/>
        </w:rPr>
      </w:pPr>
      <w:r>
        <w:rPr>
          <w:rFonts w:hint="eastAsia" w:ascii="宋体" w:hAnsi="宋体" w:eastAsia="方正黑体简体" w:cs="方正黑体简体"/>
          <w:color w:val="auto"/>
          <w:sz w:val="32"/>
          <w:szCs w:val="32"/>
        </w:rPr>
        <w:t>三、其他收入：</w:t>
      </w:r>
      <w:r>
        <w:rPr>
          <w:rFonts w:hint="eastAsia" w:ascii="宋体" w:hAnsi="宋体" w:eastAsia="方正仿宋简体" w:cs="方正仿宋简体"/>
          <w:color w:val="auto"/>
          <w:sz w:val="32"/>
          <w:szCs w:val="32"/>
        </w:rPr>
        <w:t>指单位取得的除上述收入以外的各项收入。</w:t>
      </w:r>
    </w:p>
    <w:p>
      <w:pPr>
        <w:pStyle w:val="25"/>
        <w:spacing w:line="550" w:lineRule="exact"/>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lang w:eastAsia="zh-CN"/>
        </w:rPr>
        <w:t>　　四</w:t>
      </w:r>
      <w:r>
        <w:rPr>
          <w:rFonts w:hint="eastAsia" w:ascii="宋体" w:hAnsi="宋体" w:eastAsia="方正黑体简体" w:cs="方正黑体简体"/>
          <w:color w:val="auto"/>
          <w:sz w:val="32"/>
          <w:szCs w:val="32"/>
        </w:rPr>
        <w:t>、年初结转和结余：</w:t>
      </w:r>
      <w:r>
        <w:rPr>
          <w:rFonts w:hint="eastAsia" w:ascii="宋体" w:hAnsi="宋体" w:eastAsia="方正仿宋简体" w:cs="方正仿宋简体"/>
          <w:color w:val="auto"/>
          <w:sz w:val="32"/>
          <w:szCs w:val="32"/>
        </w:rPr>
        <w:t xml:space="preserve">指以前年度尚未完成、结转到本年按有关规定继续使用的资金。 </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lang w:eastAsia="zh-CN"/>
        </w:rPr>
        <w:t>五</w:t>
      </w:r>
      <w:r>
        <w:rPr>
          <w:rFonts w:hint="eastAsia" w:ascii="宋体" w:hAnsi="宋体" w:eastAsia="方正黑体简体" w:cs="方正黑体简体"/>
          <w:color w:val="auto"/>
          <w:sz w:val="32"/>
          <w:szCs w:val="32"/>
        </w:rPr>
        <w:t>、年末结转和结余：</w:t>
      </w:r>
      <w:r>
        <w:rPr>
          <w:rFonts w:hint="eastAsia" w:ascii="宋体" w:hAnsi="宋体" w:eastAsia="方正仿宋简体" w:cs="方正仿宋简体"/>
          <w:color w:val="auto"/>
          <w:sz w:val="32"/>
          <w:szCs w:val="32"/>
        </w:rPr>
        <w:t>指单位按有关规定结转到下年或以后年度继续使用的资金。</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lang w:eastAsia="zh-CN"/>
        </w:rPr>
        <w:t>六</w:t>
      </w:r>
      <w:r>
        <w:rPr>
          <w:rFonts w:hint="eastAsia" w:ascii="宋体" w:hAnsi="宋体" w:eastAsia="方正黑体简体" w:cs="方正黑体简体"/>
          <w:color w:val="auto"/>
          <w:sz w:val="32"/>
          <w:szCs w:val="32"/>
        </w:rPr>
        <w:t>、学技术（类）社会科学（款）社会科学研究机构（项）:</w:t>
      </w:r>
      <w:r>
        <w:rPr>
          <w:rFonts w:hint="eastAsia" w:ascii="宋体" w:hAnsi="宋体" w:eastAsia="方正仿宋简体" w:cs="方正仿宋简体"/>
          <w:color w:val="auto"/>
          <w:sz w:val="32"/>
          <w:szCs w:val="32"/>
        </w:rPr>
        <w:t>指各级社会科学院、中共中央所属社会科学研究机构、其他部门所属从事社会科学研究机构的基本支出。</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lang w:eastAsia="zh-CN"/>
        </w:rPr>
        <w:t>七</w:t>
      </w:r>
      <w:r>
        <w:rPr>
          <w:rFonts w:hint="eastAsia" w:ascii="宋体" w:hAnsi="宋体" w:eastAsia="方正黑体简体" w:cs="方正黑体简体"/>
          <w:color w:val="auto"/>
          <w:sz w:val="32"/>
          <w:szCs w:val="32"/>
        </w:rPr>
        <w:t>、就业（类）行政事业单位离退休（款）机关事业单位基本养老保险缴费支出（项）：</w:t>
      </w:r>
      <w:r>
        <w:rPr>
          <w:rFonts w:hint="eastAsia" w:ascii="宋体" w:hAnsi="宋体" w:eastAsia="方正仿宋简体" w:cs="方正仿宋简体"/>
          <w:color w:val="auto"/>
          <w:sz w:val="32"/>
          <w:szCs w:val="32"/>
        </w:rPr>
        <w:t>指机关事业单位实施养老保险制度由单位缴纳的基本养老保险费支出。</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lang w:eastAsia="zh-CN"/>
        </w:rPr>
        <w:t>八</w:t>
      </w:r>
      <w:r>
        <w:rPr>
          <w:rFonts w:hint="eastAsia" w:ascii="宋体" w:hAnsi="宋体" w:eastAsia="方正黑体简体" w:cs="方正黑体简体"/>
          <w:color w:val="auto"/>
          <w:sz w:val="32"/>
          <w:szCs w:val="32"/>
        </w:rPr>
        <w:t>、卫生与计划生育（类）行政事业单位医疗（款）行政单位医疗（项）：</w:t>
      </w:r>
      <w:r>
        <w:rPr>
          <w:rFonts w:hint="eastAsia" w:ascii="宋体" w:hAnsi="宋体" w:eastAsia="方正仿宋简体" w:cs="方正仿宋简体"/>
          <w:color w:val="auto"/>
          <w:sz w:val="32"/>
          <w:szCs w:val="32"/>
        </w:rPr>
        <w:t>指财政部门安排的行政单位（包括实行公务员管理的事业单位，下同）基本医疗保险缴费经费，未参加医疗保险的行政单位的公费医疗经费，按国家规定享受离休人员、经军老战士待遇的医疗经费。</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lang w:eastAsia="zh-CN"/>
        </w:rPr>
        <w:t>九</w:t>
      </w:r>
      <w:r>
        <w:rPr>
          <w:rFonts w:hint="eastAsia" w:ascii="宋体" w:hAnsi="宋体" w:eastAsia="方正黑体简体" w:cs="方正黑体简体"/>
          <w:color w:val="auto"/>
          <w:sz w:val="32"/>
          <w:szCs w:val="32"/>
        </w:rPr>
        <w:t>、住房保障（类）住房改革支出（款）住房公积金（项）：</w:t>
      </w:r>
      <w:r>
        <w:rPr>
          <w:rFonts w:hint="eastAsia" w:ascii="宋体" w:hAnsi="宋体" w:eastAsia="方正仿宋简体" w:cs="方正仿宋简体"/>
          <w:color w:val="auto"/>
          <w:sz w:val="32"/>
          <w:szCs w:val="32"/>
        </w:rPr>
        <w:t>指行政事业单位按人力资源和社会保障部、财政部规定的基本工资和津贴补贴以及规定比例为职工缴纳的住房公积金。</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rPr>
        <w:t>十、基本支出：</w:t>
      </w:r>
      <w:r>
        <w:rPr>
          <w:rFonts w:hint="eastAsia" w:ascii="宋体" w:hAnsi="宋体" w:eastAsia="方正仿宋简体" w:cs="方正仿宋简体"/>
          <w:color w:val="auto"/>
          <w:sz w:val="32"/>
          <w:szCs w:val="32"/>
        </w:rPr>
        <w:t>指为保障机构正常运转、完成日常工作任务而发生的人员支出和公用支出。</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rPr>
        <w:t>十</w:t>
      </w:r>
      <w:r>
        <w:rPr>
          <w:rFonts w:hint="eastAsia" w:ascii="宋体" w:hAnsi="宋体" w:eastAsia="方正黑体简体" w:cs="方正黑体简体"/>
          <w:color w:val="auto"/>
          <w:sz w:val="32"/>
          <w:szCs w:val="32"/>
          <w:lang w:eastAsia="zh-CN"/>
        </w:rPr>
        <w:t>一</w:t>
      </w:r>
      <w:r>
        <w:rPr>
          <w:rFonts w:hint="eastAsia" w:ascii="宋体" w:hAnsi="宋体" w:eastAsia="方正黑体简体" w:cs="方正黑体简体"/>
          <w:color w:val="auto"/>
          <w:sz w:val="32"/>
          <w:szCs w:val="32"/>
        </w:rPr>
        <w:t>、项目支出：</w:t>
      </w:r>
      <w:r>
        <w:rPr>
          <w:rFonts w:hint="eastAsia" w:ascii="宋体" w:hAnsi="宋体" w:eastAsia="方正仿宋简体" w:cs="方正仿宋简体"/>
          <w:color w:val="auto"/>
          <w:sz w:val="32"/>
          <w:szCs w:val="32"/>
        </w:rPr>
        <w:t>指在基本支出之外为完成特定行政任务和事业发展目标所发生的支出。</w:t>
      </w:r>
    </w:p>
    <w:p>
      <w:pPr>
        <w:pStyle w:val="25"/>
        <w:spacing w:line="550" w:lineRule="exact"/>
        <w:ind w:firstLine="640" w:firstLineChars="200"/>
        <w:jc w:val="both"/>
        <w:rPr>
          <w:rFonts w:ascii="宋体" w:hAnsi="宋体" w:eastAsia="方正仿宋简体" w:cs="方正仿宋简体"/>
          <w:color w:val="auto"/>
          <w:sz w:val="32"/>
          <w:szCs w:val="32"/>
        </w:rPr>
      </w:pPr>
      <w:r>
        <w:rPr>
          <w:rFonts w:hint="eastAsia" w:ascii="宋体" w:hAnsi="宋体" w:eastAsia="方正黑体简体" w:cs="方正黑体简体"/>
          <w:color w:val="auto"/>
          <w:sz w:val="32"/>
          <w:szCs w:val="32"/>
        </w:rPr>
        <w:t>十</w:t>
      </w:r>
      <w:r>
        <w:rPr>
          <w:rFonts w:hint="eastAsia" w:ascii="宋体" w:hAnsi="宋体" w:eastAsia="方正黑体简体" w:cs="方正黑体简体"/>
          <w:color w:val="auto"/>
          <w:sz w:val="32"/>
          <w:szCs w:val="32"/>
          <w:lang w:eastAsia="zh-CN"/>
        </w:rPr>
        <w:t>二</w:t>
      </w:r>
      <w:r>
        <w:rPr>
          <w:rFonts w:hint="eastAsia" w:ascii="宋体" w:hAnsi="宋体" w:eastAsia="方正黑体简体" w:cs="方正黑体简体"/>
          <w:color w:val="auto"/>
          <w:sz w:val="32"/>
          <w:szCs w:val="32"/>
        </w:rPr>
        <w:t>、</w:t>
      </w:r>
      <w:r>
        <w:rPr>
          <w:rFonts w:hint="eastAsia" w:ascii="宋体" w:hAnsi="宋体" w:eastAsia="方正黑体简体" w:cs="方正黑体简体"/>
          <w:color w:val="auto"/>
          <w:sz w:val="32"/>
          <w:szCs w:val="32"/>
          <w:lang w:eastAsia="zh-CN"/>
        </w:rPr>
        <w:t>“</w:t>
      </w:r>
      <w:r>
        <w:rPr>
          <w:rFonts w:hint="eastAsia" w:ascii="宋体" w:hAnsi="宋体" w:eastAsia="方正黑体简体" w:cs="方正黑体简体"/>
          <w:color w:val="auto"/>
          <w:sz w:val="32"/>
          <w:szCs w:val="32"/>
        </w:rPr>
        <w:t>三公”经费：</w:t>
      </w:r>
      <w:r>
        <w:rPr>
          <w:rFonts w:hint="eastAsia" w:ascii="宋体" w:hAnsi="宋体" w:eastAsia="方正仿宋简体" w:cs="方正仿宋简体"/>
          <w:color w:val="auto"/>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50" w:lineRule="exact"/>
        <w:ind w:firstLine="640" w:firstLineChars="200"/>
        <w:jc w:val="both"/>
        <w:rPr>
          <w:rFonts w:hint="eastAsia" w:ascii="宋体" w:hAnsi="宋体" w:eastAsia="方正仿宋简体" w:cs="方正仿宋简体"/>
          <w:color w:val="auto"/>
          <w:sz w:val="32"/>
          <w:szCs w:val="32"/>
        </w:rPr>
      </w:pPr>
      <w:r>
        <w:rPr>
          <w:rFonts w:hint="eastAsia" w:ascii="宋体" w:hAnsi="宋体" w:eastAsia="方正黑体简体" w:cs="方正黑体简体"/>
          <w:color w:val="auto"/>
          <w:sz w:val="32"/>
          <w:szCs w:val="32"/>
        </w:rPr>
        <w:t>十</w:t>
      </w:r>
      <w:r>
        <w:rPr>
          <w:rFonts w:hint="eastAsia" w:ascii="宋体" w:hAnsi="宋体" w:eastAsia="方正黑体简体" w:cs="方正黑体简体"/>
          <w:color w:val="auto"/>
          <w:sz w:val="32"/>
          <w:szCs w:val="32"/>
          <w:lang w:eastAsia="zh-CN"/>
        </w:rPr>
        <w:t>三</w:t>
      </w:r>
      <w:r>
        <w:rPr>
          <w:rFonts w:hint="eastAsia" w:ascii="宋体" w:hAnsi="宋体" w:eastAsia="方正黑体简体" w:cs="方正黑体简体"/>
          <w:color w:val="auto"/>
          <w:sz w:val="32"/>
          <w:szCs w:val="32"/>
        </w:rPr>
        <w:t>、机关运行经费：</w:t>
      </w:r>
      <w:r>
        <w:rPr>
          <w:rFonts w:hint="eastAsia" w:ascii="宋体" w:hAnsi="宋体" w:eastAsia="方正仿宋简体" w:cs="方正仿宋简体"/>
          <w:color w:val="auto"/>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50" w:lineRule="exact"/>
        <w:ind w:firstLine="640" w:firstLineChars="200"/>
        <w:jc w:val="both"/>
        <w:rPr>
          <w:rFonts w:hint="eastAsia" w:ascii="宋体" w:hAnsi="宋体" w:eastAsia="方正仿宋简体" w:cs="方正仿宋简体"/>
          <w:color w:val="auto"/>
          <w:sz w:val="32"/>
          <w:szCs w:val="32"/>
        </w:rPr>
      </w:pPr>
    </w:p>
    <w:p>
      <w:pPr>
        <w:pStyle w:val="25"/>
        <w:spacing w:line="550" w:lineRule="exact"/>
        <w:ind w:firstLine="640" w:firstLineChars="200"/>
        <w:jc w:val="both"/>
        <w:rPr>
          <w:rFonts w:hint="eastAsia" w:ascii="宋体" w:hAnsi="宋体" w:eastAsia="方正仿宋简体" w:cs="方正仿宋简体"/>
          <w:color w:val="auto"/>
          <w:sz w:val="32"/>
          <w:szCs w:val="32"/>
        </w:rPr>
      </w:pPr>
    </w:p>
    <w:p>
      <w:pPr>
        <w:pStyle w:val="25"/>
        <w:spacing w:line="550" w:lineRule="exact"/>
        <w:ind w:firstLine="640" w:firstLineChars="200"/>
        <w:jc w:val="both"/>
        <w:rPr>
          <w:rFonts w:hint="eastAsia" w:ascii="宋体" w:hAnsi="宋体" w:eastAsia="方正仿宋简体" w:cs="方正仿宋简体"/>
          <w:color w:val="auto"/>
          <w:sz w:val="32"/>
          <w:szCs w:val="32"/>
        </w:rPr>
      </w:pPr>
    </w:p>
    <w:p>
      <w:pPr>
        <w:pStyle w:val="25"/>
        <w:spacing w:line="550" w:lineRule="exact"/>
        <w:ind w:firstLine="640" w:firstLineChars="200"/>
        <w:jc w:val="both"/>
        <w:rPr>
          <w:rFonts w:hint="eastAsia" w:ascii="宋体" w:hAnsi="宋体" w:eastAsia="方正仿宋简体" w:cs="方正仿宋简体"/>
          <w:color w:val="auto"/>
          <w:sz w:val="32"/>
          <w:szCs w:val="32"/>
        </w:rPr>
      </w:pPr>
    </w:p>
    <w:p>
      <w:pPr>
        <w:pStyle w:val="25"/>
        <w:spacing w:line="550" w:lineRule="exact"/>
        <w:ind w:firstLine="640" w:firstLineChars="200"/>
        <w:jc w:val="both"/>
        <w:rPr>
          <w:rFonts w:hint="eastAsia" w:ascii="宋体" w:hAnsi="宋体" w:eastAsia="方正仿宋简体" w:cs="方正仿宋简体"/>
          <w:color w:val="auto"/>
          <w:sz w:val="32"/>
          <w:szCs w:val="32"/>
        </w:rPr>
      </w:pPr>
    </w:p>
    <w:p>
      <w:pPr>
        <w:pStyle w:val="25"/>
        <w:spacing w:line="550" w:lineRule="exact"/>
        <w:ind w:firstLine="640" w:firstLineChars="200"/>
        <w:jc w:val="both"/>
        <w:rPr>
          <w:rFonts w:hint="eastAsia" w:ascii="宋体" w:hAnsi="宋体" w:eastAsia="方正仿宋简体" w:cs="方正仿宋简体"/>
          <w:color w:val="auto"/>
          <w:sz w:val="32"/>
          <w:szCs w:val="32"/>
        </w:rPr>
      </w:pPr>
    </w:p>
    <w:p>
      <w:pPr>
        <w:spacing w:line="600" w:lineRule="exact"/>
        <w:jc w:val="center"/>
        <w:outlineLvl w:val="0"/>
        <w:rPr>
          <w:rStyle w:val="27"/>
          <w:rFonts w:hint="eastAsia" w:ascii="黑体" w:hAnsi="黑体" w:eastAsia="黑体"/>
          <w:b w:val="0"/>
          <w:color w:val="auto"/>
          <w:highlight w:val="none"/>
          <w:lang w:eastAsia="zh-CN"/>
        </w:rPr>
      </w:pPr>
      <w:bookmarkStart w:id="81" w:name="_Toc15396614"/>
      <w:bookmarkStart w:id="82" w:name="_Toc16963"/>
      <w:bookmarkStart w:id="83" w:name="_Toc15377226"/>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81"/>
      <w:bookmarkEnd w:id="8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color w:val="auto"/>
          <w:sz w:val="44"/>
          <w:szCs w:val="44"/>
          <w:highlight w:val="none"/>
          <w:lang w:val="en-US" w:eastAsia="zh-CN"/>
        </w:rPr>
      </w:pP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32"/>
          <w:szCs w:val="32"/>
          <w:highlight w:val="none"/>
          <w:shd w:val="clear" w:color="auto" w:fill="FFFFFF"/>
        </w:rPr>
      </w:pPr>
      <w:r>
        <w:rPr>
          <w:rFonts w:hint="eastAsia" w:ascii="宋体" w:hAnsi="宋体" w:eastAsia="宋体"/>
          <w:b/>
          <w:color w:val="auto"/>
          <w:sz w:val="32"/>
          <w:szCs w:val="32"/>
          <w:highlight w:val="none"/>
          <w:shd w:val="clear" w:color="auto" w:fill="FFFFFF"/>
        </w:rPr>
        <w:t>20</w:t>
      </w:r>
      <w:r>
        <w:rPr>
          <w:rFonts w:hint="eastAsia" w:ascii="宋体" w:hAnsi="宋体" w:eastAsia="宋体"/>
          <w:b/>
          <w:color w:val="auto"/>
          <w:sz w:val="32"/>
          <w:szCs w:val="32"/>
          <w:highlight w:val="none"/>
          <w:shd w:val="clear" w:color="auto" w:fill="FFFFFF"/>
          <w:lang w:val="en-US" w:eastAsia="zh-CN"/>
        </w:rPr>
        <w:t>2</w:t>
      </w:r>
      <w:r>
        <w:rPr>
          <w:rFonts w:hint="eastAsia" w:ascii="宋体" w:hAnsi="宋体"/>
          <w:b/>
          <w:color w:val="auto"/>
          <w:sz w:val="32"/>
          <w:szCs w:val="32"/>
          <w:highlight w:val="none"/>
          <w:shd w:val="clear" w:color="auto" w:fill="FFFFFF"/>
          <w:lang w:val="en-US" w:eastAsia="zh-CN"/>
        </w:rPr>
        <w:t>2</w:t>
      </w:r>
      <w:r>
        <w:rPr>
          <w:rFonts w:hint="eastAsia" w:ascii="宋体" w:hAnsi="宋体" w:eastAsia="宋体"/>
          <w:b/>
          <w:color w:val="auto"/>
          <w:sz w:val="32"/>
          <w:szCs w:val="32"/>
          <w:highlight w:val="none"/>
          <w:shd w:val="clear" w:color="auto" w:fill="FFFFFF"/>
        </w:rPr>
        <w:t>年部门整体绩效评价报告</w:t>
      </w:r>
    </w:p>
    <w:p>
      <w:pPr>
        <w:pStyle w:val="2"/>
      </w:pPr>
    </w:p>
    <w:p>
      <w:pPr>
        <w:widowControl/>
        <w:adjustRightInd w:val="0"/>
        <w:snapToGrid w:val="0"/>
        <w:spacing w:line="550" w:lineRule="exact"/>
        <w:ind w:firstLine="640" w:firstLineChars="200"/>
        <w:contextualSpacing/>
        <w:rPr>
          <w:rFonts w:ascii="宋体" w:hAnsi="宋体" w:eastAsia="方正黑体简体" w:cs="方正黑体简体"/>
          <w:kern w:val="0"/>
          <w:sz w:val="32"/>
          <w:szCs w:val="32"/>
          <w:shd w:val="clear" w:color="auto" w:fill="FFFFFF"/>
          <w:lang w:val="zh-CN"/>
        </w:rPr>
      </w:pPr>
      <w:r>
        <w:rPr>
          <w:rFonts w:hint="eastAsia" w:ascii="宋体" w:hAnsi="宋体" w:eastAsia="方正黑体简体" w:cs="方正黑体简体"/>
          <w:kern w:val="0"/>
          <w:sz w:val="32"/>
          <w:szCs w:val="32"/>
          <w:shd w:val="clear" w:color="auto" w:fill="FFFFFF"/>
        </w:rPr>
        <w:t>一、</w:t>
      </w:r>
      <w:r>
        <w:rPr>
          <w:rFonts w:hint="eastAsia" w:ascii="宋体" w:hAnsi="宋体" w:eastAsia="方正黑体简体" w:cs="方正黑体简体"/>
          <w:kern w:val="0"/>
          <w:sz w:val="32"/>
          <w:szCs w:val="32"/>
          <w:shd w:val="clear" w:color="auto" w:fill="FFFFFF"/>
          <w:lang w:val="zh-CN"/>
        </w:rPr>
        <w:t>部门（单位）概况</w:t>
      </w:r>
    </w:p>
    <w:p>
      <w:pPr>
        <w:spacing w:line="550" w:lineRule="exact"/>
        <w:ind w:firstLine="643" w:firstLineChars="200"/>
        <w:rPr>
          <w:rFonts w:ascii="宋体" w:hAnsi="宋体" w:eastAsia="方正仿宋简体" w:cs="方正仿宋简体"/>
          <w:color w:val="333333"/>
          <w:sz w:val="32"/>
          <w:szCs w:val="32"/>
        </w:rPr>
      </w:pPr>
      <w:r>
        <w:rPr>
          <w:rFonts w:hint="eastAsia" w:ascii="宋体" w:hAnsi="宋体" w:eastAsia="方正楷体简体" w:cs="方正楷体简体"/>
          <w:b/>
          <w:bCs/>
          <w:kern w:val="0"/>
          <w:sz w:val="32"/>
          <w:szCs w:val="32"/>
          <w:shd w:val="clear" w:color="auto" w:fill="FFFFFF"/>
          <w:lang w:val="zh-CN"/>
        </w:rPr>
        <w:t>（一）机构组成。</w:t>
      </w:r>
      <w:r>
        <w:rPr>
          <w:rFonts w:hint="eastAsia" w:ascii="宋体" w:hAnsi="宋体" w:eastAsia="方正仿宋简体" w:cs="方正仿宋简体"/>
          <w:color w:val="333333"/>
          <w:sz w:val="32"/>
          <w:szCs w:val="32"/>
        </w:rPr>
        <w:t>区志办是参照公务员法管理的事业单位,系独立核算的一级预算单位。</w:t>
      </w:r>
    </w:p>
    <w:p>
      <w:pPr>
        <w:spacing w:line="550" w:lineRule="exact"/>
        <w:ind w:firstLine="643" w:firstLineChars="200"/>
        <w:rPr>
          <w:rFonts w:ascii="宋体" w:hAnsi="宋体" w:eastAsia="方正仿宋简体" w:cs="方正仿宋简体"/>
          <w:sz w:val="32"/>
          <w:szCs w:val="32"/>
        </w:rPr>
      </w:pPr>
      <w:r>
        <w:rPr>
          <w:rFonts w:hint="eastAsia" w:ascii="楷体_GB2312" w:hAnsi="楷体_GB2312" w:eastAsia="楷体_GB2312" w:cs="楷体_GB2312"/>
          <w:b/>
          <w:bCs/>
          <w:color w:val="auto"/>
          <w:kern w:val="0"/>
          <w:sz w:val="32"/>
          <w:szCs w:val="32"/>
          <w:highlight w:val="none"/>
          <w:shd w:val="clear" w:color="auto" w:fill="FFFFFF"/>
          <w:lang w:val="zh-CN"/>
        </w:rPr>
        <w:t>（二）机构职能和人员概况。</w:t>
      </w:r>
      <w:r>
        <w:rPr>
          <w:rFonts w:hint="eastAsia" w:ascii="宋体" w:hAnsi="宋体" w:eastAsia="方正仿宋简体" w:cs="方正仿宋简体"/>
          <w:color w:val="333333"/>
          <w:sz w:val="32"/>
          <w:szCs w:val="32"/>
        </w:rPr>
        <w:t>主要职能是组织、指导、督促和检查地方志工作；拟定地方志工作规划和编纂方案；组织编纂地方志书、地方综合年鉴；搜集、保存地方志文献和资料，组织整理旧志，推动方志理论研究;组织开发利用地方志资源。编制7名，实有职工</w:t>
      </w:r>
      <w:r>
        <w:rPr>
          <w:rFonts w:hint="eastAsia" w:ascii="宋体" w:hAnsi="宋体" w:eastAsia="方正仿宋简体" w:cs="方正仿宋简体"/>
          <w:color w:val="333333"/>
          <w:sz w:val="32"/>
          <w:szCs w:val="32"/>
          <w:lang w:val="en-US" w:eastAsia="zh-CN"/>
        </w:rPr>
        <w:t>6</w:t>
      </w:r>
      <w:r>
        <w:rPr>
          <w:rFonts w:hint="eastAsia" w:ascii="宋体" w:hAnsi="宋体" w:eastAsia="方正仿宋简体" w:cs="方正仿宋简体"/>
          <w:color w:val="333333"/>
          <w:sz w:val="32"/>
          <w:szCs w:val="32"/>
        </w:rPr>
        <w:t>人，内设综合股1个。</w:t>
      </w:r>
    </w:p>
    <w:p>
      <w:pPr>
        <w:keepNext w:val="0"/>
        <w:keepLines w:val="0"/>
        <w:pageBreakBefore w:val="0"/>
        <w:widowControl/>
        <w:kinsoku/>
        <w:wordWrap/>
        <w:overflowPunct/>
        <w:topLinePunct w:val="0"/>
        <w:autoSpaceDE/>
        <w:autoSpaceDN/>
        <w:bidi w:val="0"/>
        <w:adjustRightInd w:val="0"/>
        <w:snapToGrid w:val="0"/>
        <w:spacing w:line="560" w:lineRule="exact"/>
        <w:ind w:firstLine="642"/>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（三）年度主要工作任务。</w:t>
      </w:r>
    </w:p>
    <w:p>
      <w:pPr>
        <w:ind w:firstLine="640" w:firstLineChars="200"/>
        <w:rPr>
          <w:rFonts w:eastAsia="方正仿宋简体"/>
          <w:sz w:val="32"/>
          <w:szCs w:val="32"/>
        </w:rPr>
      </w:pPr>
      <w:r>
        <w:rPr>
          <w:rFonts w:eastAsia="方正仿宋简体"/>
          <w:sz w:val="32"/>
          <w:szCs w:val="32"/>
        </w:rPr>
        <w:t>1.年鉴</w:t>
      </w:r>
      <w:r>
        <w:rPr>
          <w:rFonts w:hint="eastAsia" w:eastAsia="方正仿宋简体"/>
          <w:sz w:val="32"/>
          <w:szCs w:val="32"/>
          <w:lang w:eastAsia="zh-CN"/>
        </w:rPr>
        <w:t>工作</w:t>
      </w:r>
      <w:r>
        <w:rPr>
          <w:rFonts w:eastAsia="方正仿宋简体"/>
          <w:sz w:val="32"/>
          <w:szCs w:val="32"/>
        </w:rPr>
        <w:t>。202</w:t>
      </w:r>
      <w:r>
        <w:rPr>
          <w:rFonts w:hint="eastAsia" w:eastAsia="方正仿宋简体"/>
          <w:sz w:val="32"/>
          <w:szCs w:val="32"/>
          <w:lang w:val="en-US" w:eastAsia="zh-CN"/>
        </w:rPr>
        <w:t>2</w:t>
      </w:r>
      <w:r>
        <w:rPr>
          <w:rFonts w:eastAsia="方正仿宋简体"/>
          <w:sz w:val="32"/>
          <w:szCs w:val="32"/>
        </w:rPr>
        <w:t>完成了《四川年鉴·雁江》(202</w:t>
      </w:r>
      <w:r>
        <w:rPr>
          <w:rFonts w:hint="eastAsia" w:eastAsia="方正仿宋简体"/>
          <w:sz w:val="32"/>
          <w:szCs w:val="32"/>
          <w:lang w:val="en-US" w:eastAsia="zh-CN"/>
        </w:rPr>
        <w:t>2</w:t>
      </w:r>
      <w:r>
        <w:rPr>
          <w:rFonts w:eastAsia="方正仿宋简体"/>
          <w:sz w:val="32"/>
          <w:szCs w:val="32"/>
        </w:rPr>
        <w:t>) 、《资阳年鉴·雁江》(202</w:t>
      </w:r>
      <w:r>
        <w:rPr>
          <w:rFonts w:hint="eastAsia" w:eastAsia="方正仿宋简体"/>
          <w:sz w:val="32"/>
          <w:szCs w:val="32"/>
          <w:lang w:val="en-US" w:eastAsia="zh-CN"/>
        </w:rPr>
        <w:t>2</w:t>
      </w:r>
      <w:r>
        <w:rPr>
          <w:rFonts w:eastAsia="方正仿宋简体"/>
          <w:sz w:val="32"/>
          <w:szCs w:val="32"/>
        </w:rPr>
        <w:t>)的资料收集、编辑、送审、上报工作；完成了《雁江年鉴》(202</w:t>
      </w:r>
      <w:r>
        <w:rPr>
          <w:rFonts w:hint="eastAsia" w:eastAsia="方正仿宋简体"/>
          <w:sz w:val="32"/>
          <w:szCs w:val="32"/>
          <w:lang w:val="en-US" w:eastAsia="zh-CN"/>
        </w:rPr>
        <w:t>2</w:t>
      </w:r>
      <w:r>
        <w:rPr>
          <w:rFonts w:eastAsia="方正仿宋简体"/>
          <w:sz w:val="32"/>
          <w:szCs w:val="32"/>
        </w:rPr>
        <w:t xml:space="preserve">) 印刷出版。 </w:t>
      </w:r>
    </w:p>
    <w:p>
      <w:pPr>
        <w:snapToGrid w:val="0"/>
        <w:spacing w:line="520" w:lineRule="exact"/>
        <w:ind w:firstLine="640" w:firstLineChars="200"/>
        <w:rPr>
          <w:rFonts w:hint="default" w:eastAsia="方正仿宋简体"/>
          <w:sz w:val="32"/>
          <w:szCs w:val="32"/>
          <w:lang w:val="en-US" w:eastAsia="zh-CN"/>
        </w:rPr>
      </w:pPr>
      <w:r>
        <w:rPr>
          <w:rFonts w:eastAsia="方正仿宋简体"/>
          <w:sz w:val="32"/>
          <w:szCs w:val="32"/>
        </w:rPr>
        <w:t>2、</w:t>
      </w:r>
      <w:r>
        <w:rPr>
          <w:rFonts w:hint="eastAsia" w:eastAsia="方正仿宋简体"/>
          <w:sz w:val="32"/>
          <w:szCs w:val="32"/>
          <w:lang w:eastAsia="zh-CN"/>
        </w:rPr>
        <w:t>完成了</w:t>
      </w:r>
      <w:r>
        <w:rPr>
          <w:rFonts w:hint="eastAsia" w:eastAsia="方正仿宋简体"/>
          <w:sz w:val="32"/>
          <w:szCs w:val="32"/>
          <w:lang w:val="en-US" w:eastAsia="zh-CN"/>
        </w:rPr>
        <w:t>4个镇（街道）着手开展乡镇志编纂出版前期收集资料等</w:t>
      </w:r>
      <w:r>
        <w:rPr>
          <w:rFonts w:hint="eastAsia" w:eastAsia="方正仿宋简体"/>
          <w:sz w:val="32"/>
          <w:szCs w:val="32"/>
          <w:lang w:eastAsia="zh-CN"/>
        </w:rPr>
        <w:t>指导</w:t>
      </w:r>
      <w:r>
        <w:rPr>
          <w:rFonts w:hint="eastAsia" w:eastAsia="方正仿宋简体"/>
          <w:sz w:val="32"/>
          <w:szCs w:val="32"/>
          <w:lang w:val="en-US" w:eastAsia="zh-CN"/>
        </w:rPr>
        <w:t>工作。</w:t>
      </w:r>
    </w:p>
    <w:p>
      <w:pPr>
        <w:snapToGrid w:val="0"/>
        <w:spacing w:line="520" w:lineRule="exact"/>
        <w:ind w:firstLine="640" w:firstLineChars="200"/>
        <w:rPr>
          <w:rFonts w:ascii="仿宋_GB2312" w:hAnsi="仿宋" w:eastAsia="仿宋_GB2312"/>
          <w:sz w:val="32"/>
          <w:szCs w:val="32"/>
        </w:rPr>
      </w:pPr>
      <w:r>
        <w:rPr>
          <w:rFonts w:hint="eastAsia" w:eastAsia="方正仿宋简体"/>
          <w:sz w:val="32"/>
          <w:szCs w:val="32"/>
          <w:lang w:val="en-US" w:eastAsia="zh-CN"/>
        </w:rPr>
        <w:t>3、</w:t>
      </w:r>
      <w:r>
        <w:rPr>
          <w:rFonts w:eastAsia="方正仿宋简体"/>
          <w:sz w:val="32"/>
          <w:szCs w:val="32"/>
        </w:rPr>
        <w:t>《雁江方志馆建设项目（馆藏储备）》工作交换了部分志书、年鉴。</w:t>
      </w:r>
    </w:p>
    <w:p>
      <w:pPr>
        <w:spacing w:line="550" w:lineRule="exact"/>
        <w:ind w:firstLine="642"/>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spacing w:line="550" w:lineRule="exact"/>
        <w:ind w:firstLine="642"/>
        <w:rPr>
          <w:rFonts w:ascii="宋体" w:hAnsi="宋体" w:eastAsia="方正仿宋简体" w:cs="方正仿宋简体"/>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eastAsia="zh-CN"/>
        </w:rPr>
        <w:t>部门整体</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eastAsia="zh-CN"/>
        </w:rPr>
        <w:t>绩效目标</w:t>
      </w:r>
      <w:r>
        <w:rPr>
          <w:rFonts w:hint="eastAsia" w:ascii="仿宋" w:hAnsi="仿宋" w:eastAsia="仿宋"/>
          <w:color w:val="auto"/>
          <w:sz w:val="32"/>
          <w:szCs w:val="32"/>
          <w:highlight w:val="none"/>
          <w:lang w:val="en-US" w:eastAsia="zh-CN"/>
        </w:rPr>
        <w:t>131.35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科学技术</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106.20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12.74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8.22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eastAsia="zh-CN"/>
        </w:rPr>
        <w:t>　　二、部门</w:t>
      </w:r>
      <w:r>
        <w:rPr>
          <w:rFonts w:hint="eastAsia" w:ascii="黑体" w:hAnsi="宋体" w:eastAsia="黑体" w:cs="宋体"/>
          <w:color w:val="auto"/>
          <w:kern w:val="0"/>
          <w:sz w:val="32"/>
          <w:szCs w:val="32"/>
          <w:highlight w:val="none"/>
          <w:shd w:val="clear" w:color="auto" w:fill="FFFFFF"/>
        </w:rPr>
        <w:t>资金收支情况</w:t>
      </w:r>
      <w:r>
        <w:rPr>
          <w:rFonts w:hint="eastAsia" w:ascii="楷体_GB2312" w:hAnsi="楷体_GB2312" w:eastAsia="楷体_GB2312" w:cs="楷体_GB2312"/>
          <w:b/>
          <w:bCs/>
          <w:color w:val="auto"/>
          <w:kern w:val="0"/>
          <w:sz w:val="32"/>
          <w:szCs w:val="32"/>
          <w:highlight w:val="none"/>
          <w:shd w:val="clear" w:color="auto" w:fill="FFFFFF"/>
          <w:lang w:val="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　　（一）部门总体收支情况。</w:t>
      </w:r>
    </w:p>
    <w:p>
      <w:pPr>
        <w:spacing w:line="600" w:lineRule="exact"/>
        <w:rPr>
          <w:rFonts w:hint="eastAsia" w:ascii="仿宋" w:hAnsi="仿宋" w:eastAsia="仿宋"/>
          <w:color w:val="auto"/>
          <w:sz w:val="32"/>
          <w:szCs w:val="32"/>
          <w:highlight w:val="none"/>
          <w:lang w:eastAsia="zh-CN"/>
        </w:rPr>
      </w:pPr>
      <w:r>
        <w:rPr>
          <w:rFonts w:hint="eastAsia" w:ascii="宋体" w:hAnsi="宋体" w:eastAsia="方正楷体简体" w:cs="方正楷体简体"/>
          <w:b w:val="0"/>
          <w:bCs w:val="0"/>
          <w:kern w:val="0"/>
          <w:sz w:val="32"/>
          <w:szCs w:val="32"/>
          <w:shd w:val="clear" w:color="auto" w:fill="FFFFFF"/>
          <w:lang w:val="en-US" w:eastAsia="zh-CN"/>
        </w:rPr>
        <w:t>　　1、</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部门总体收入情况</w:t>
      </w:r>
      <w:r>
        <w:rPr>
          <w:rFonts w:hint="eastAsia" w:ascii="宋体" w:hAnsi="宋体" w:eastAsia="方正楷体简体" w:cs="方正楷体简体"/>
          <w:b w:val="0"/>
          <w:bCs w:val="0"/>
          <w:kern w:val="0"/>
          <w:sz w:val="32"/>
          <w:szCs w:val="32"/>
          <w:shd w:val="clear" w:color="auto" w:fill="FFFFFF"/>
          <w:lang w:val="zh-CN"/>
        </w:rPr>
        <w:t>。</w:t>
      </w:r>
      <w:r>
        <w:rPr>
          <w:rFonts w:hint="eastAsia" w:ascii="宋体" w:hAnsi="宋体" w:eastAsia="方正仿宋简体" w:cs="方正仿宋简体"/>
          <w:color w:val="000000"/>
          <w:sz w:val="32"/>
          <w:szCs w:val="32"/>
        </w:rPr>
        <w:t>202</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rPr>
        <w:t>年</w:t>
      </w:r>
      <w:r>
        <w:rPr>
          <w:rFonts w:hint="eastAsia" w:ascii="宋体" w:hAnsi="宋体" w:eastAsia="方正仿宋简体" w:cs="方正仿宋简体"/>
          <w:color w:val="000000"/>
          <w:sz w:val="32"/>
          <w:szCs w:val="32"/>
          <w:lang w:eastAsia="zh-CN"/>
        </w:rPr>
        <w:t>部门总体</w:t>
      </w:r>
      <w:r>
        <w:rPr>
          <w:rFonts w:hint="eastAsia" w:ascii="宋体" w:hAnsi="宋体" w:eastAsia="方正仿宋简体" w:cs="方正仿宋简体"/>
          <w:color w:val="000000"/>
          <w:sz w:val="32"/>
          <w:szCs w:val="32"/>
        </w:rPr>
        <w:t>收入</w:t>
      </w:r>
      <w:r>
        <w:rPr>
          <w:rFonts w:hint="eastAsia" w:ascii="宋体" w:hAnsi="宋体" w:eastAsia="方正仿宋简体" w:cs="方正仿宋简体"/>
          <w:color w:val="000000"/>
          <w:sz w:val="32"/>
          <w:szCs w:val="32"/>
          <w:lang w:val="en-US" w:eastAsia="zh-CN"/>
        </w:rPr>
        <w:t>131.35</w:t>
      </w:r>
      <w:r>
        <w:rPr>
          <w:rFonts w:hint="eastAsia" w:ascii="宋体" w:hAnsi="宋体" w:eastAsia="方正仿宋简体" w:cs="方正仿宋简体"/>
          <w:color w:val="000000"/>
          <w:sz w:val="32"/>
          <w:szCs w:val="32"/>
        </w:rPr>
        <w:t>万元。与202</w:t>
      </w:r>
      <w:r>
        <w:rPr>
          <w:rFonts w:hint="eastAsia" w:ascii="宋体" w:hAnsi="宋体" w:eastAsia="方正仿宋简体" w:cs="方正仿宋简体"/>
          <w:color w:val="000000"/>
          <w:sz w:val="32"/>
          <w:szCs w:val="32"/>
          <w:lang w:val="en-US" w:eastAsia="zh-CN"/>
        </w:rPr>
        <w:t>1</w:t>
      </w:r>
      <w:r>
        <w:rPr>
          <w:rFonts w:hint="eastAsia" w:ascii="宋体" w:hAnsi="宋体" w:eastAsia="方正仿宋简体" w:cs="方正仿宋简体"/>
          <w:color w:val="000000"/>
          <w:sz w:val="32"/>
          <w:szCs w:val="32"/>
        </w:rPr>
        <w:t>年相比，</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2021年没有资金支付项目费用，2022个支付了上年的项目费用</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r>
        <w:rPr>
          <w:rFonts w:hint="eastAsia" w:ascii="宋体" w:hAnsi="宋体" w:eastAsia="方正仿宋简体" w:cs="方正仿宋简体"/>
          <w:color w:val="000000"/>
          <w:sz w:val="32"/>
          <w:szCs w:val="32"/>
        </w:rPr>
        <w:t>202</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rPr>
        <w:t>年</w:t>
      </w:r>
      <w:r>
        <w:rPr>
          <w:rFonts w:hint="eastAsia" w:ascii="宋体" w:hAnsi="宋体" w:eastAsia="方正仿宋简体" w:cs="方正仿宋简体"/>
          <w:color w:val="000000"/>
          <w:sz w:val="32"/>
          <w:szCs w:val="32"/>
          <w:lang w:eastAsia="zh-CN"/>
        </w:rPr>
        <w:t>部门总体</w:t>
      </w:r>
      <w:r>
        <w:rPr>
          <w:rFonts w:hint="eastAsia" w:ascii="宋体" w:hAnsi="宋体" w:eastAsia="方正仿宋简体" w:cs="方正仿宋简体"/>
          <w:color w:val="000000"/>
          <w:sz w:val="32"/>
          <w:szCs w:val="32"/>
        </w:rPr>
        <w:t>支出</w:t>
      </w:r>
      <w:r>
        <w:rPr>
          <w:rFonts w:hint="eastAsia" w:ascii="宋体" w:hAnsi="宋体" w:eastAsia="方正仿宋简体" w:cs="方正仿宋简体"/>
          <w:color w:val="000000"/>
          <w:sz w:val="32"/>
          <w:szCs w:val="32"/>
          <w:lang w:val="en-US" w:eastAsia="zh-CN"/>
        </w:rPr>
        <w:t>131.35</w:t>
      </w:r>
      <w:r>
        <w:rPr>
          <w:rFonts w:hint="eastAsia" w:ascii="宋体" w:hAnsi="宋体" w:eastAsia="方正仿宋简体" w:cs="方正仿宋简体"/>
          <w:color w:val="000000"/>
          <w:sz w:val="32"/>
          <w:szCs w:val="32"/>
        </w:rPr>
        <w:t>万元。与202</w:t>
      </w:r>
      <w:r>
        <w:rPr>
          <w:rFonts w:hint="eastAsia" w:ascii="宋体" w:hAnsi="宋体" w:eastAsia="方正仿宋简体" w:cs="方正仿宋简体"/>
          <w:color w:val="000000"/>
          <w:sz w:val="32"/>
          <w:szCs w:val="32"/>
          <w:lang w:val="en-US" w:eastAsia="zh-CN"/>
        </w:rPr>
        <w:t>1</w:t>
      </w:r>
      <w:r>
        <w:rPr>
          <w:rFonts w:hint="eastAsia" w:ascii="宋体" w:hAnsi="宋体" w:eastAsia="方正仿宋简体" w:cs="方正仿宋简体"/>
          <w:color w:val="000000"/>
          <w:sz w:val="32"/>
          <w:szCs w:val="32"/>
        </w:rPr>
        <w:t>年相比，</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2021年没有资金支付项目费用，2022个支付了上年的项目费用</w:t>
      </w:r>
      <w:r>
        <w:rPr>
          <w:rFonts w:hint="eastAsia" w:ascii="仿宋" w:hAnsi="仿宋" w:eastAsia="仿宋"/>
          <w:color w:val="auto"/>
          <w:sz w:val="32"/>
          <w:szCs w:val="32"/>
          <w:highlight w:val="none"/>
          <w:lang w:eastAsia="zh-CN"/>
        </w:rPr>
        <w:t>。</w:t>
      </w:r>
    </w:p>
    <w:p>
      <w:pPr>
        <w:pStyle w:val="2"/>
        <w:rPr>
          <w:rFonts w:hint="eastAsia" w:hAnsi="仿宋_GB2312" w:cs="仿宋_GB2312"/>
          <w:b w:val="0"/>
          <w:bCs w:val="0"/>
          <w:color w:val="auto"/>
          <w:kern w:val="0"/>
          <w:sz w:val="32"/>
          <w:szCs w:val="32"/>
          <w:highlight w:val="none"/>
          <w:shd w:val="clear" w:color="auto" w:fill="FFFFFF"/>
          <w:lang w:val="en-US" w:eastAsia="zh-CN"/>
        </w:rPr>
      </w:pPr>
      <w:r>
        <w:rPr>
          <w:rFonts w:hint="eastAsia" w:hAnsi="仿宋_GB2312" w:cs="仿宋_GB2312"/>
          <w:b w:val="0"/>
          <w:bCs w:val="0"/>
          <w:color w:val="auto"/>
          <w:kern w:val="0"/>
          <w:sz w:val="32"/>
          <w:szCs w:val="32"/>
          <w:highlight w:val="none"/>
          <w:shd w:val="clear" w:color="auto" w:fill="FFFFFF"/>
          <w:lang w:val="en-US" w:eastAsia="zh-CN"/>
        </w:rPr>
        <w:t>　　3、</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部门总体结转结余情况</w:t>
      </w:r>
      <w:r>
        <w:rPr>
          <w:rFonts w:hint="eastAsia" w:hAnsi="仿宋_GB2312" w:cs="仿宋_GB2312"/>
          <w:b w:val="0"/>
          <w:bCs w:val="0"/>
          <w:color w:val="auto"/>
          <w:kern w:val="0"/>
          <w:sz w:val="32"/>
          <w:szCs w:val="32"/>
          <w:highlight w:val="none"/>
          <w:shd w:val="clear" w:color="auto" w:fill="FFFFFF"/>
          <w:lang w:val="en-US" w:eastAsia="zh-CN"/>
        </w:rPr>
        <w:t>。2022年无结转结余。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r>
        <w:rPr>
          <w:rFonts w:hint="eastAsia" w:ascii="宋体" w:hAnsi="宋体" w:eastAsia="方正仿宋简体" w:cs="方正仿宋简体"/>
          <w:color w:val="000000"/>
          <w:sz w:val="32"/>
          <w:szCs w:val="32"/>
        </w:rPr>
        <w:t>202</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rPr>
        <w:t>年</w:t>
      </w:r>
      <w:r>
        <w:rPr>
          <w:rFonts w:hint="eastAsia" w:ascii="宋体" w:hAnsi="宋体" w:eastAsia="方正仿宋简体" w:cs="方正仿宋简体"/>
          <w:color w:val="000000"/>
          <w:sz w:val="32"/>
          <w:szCs w:val="32"/>
          <w:lang w:eastAsia="zh-CN"/>
        </w:rPr>
        <w:t>部门财政拨款</w:t>
      </w:r>
      <w:r>
        <w:rPr>
          <w:rFonts w:hint="eastAsia" w:ascii="宋体" w:hAnsi="宋体" w:eastAsia="方正仿宋简体" w:cs="方正仿宋简体"/>
          <w:color w:val="000000"/>
          <w:sz w:val="32"/>
          <w:szCs w:val="32"/>
        </w:rPr>
        <w:t>收入</w:t>
      </w:r>
      <w:r>
        <w:rPr>
          <w:rFonts w:hint="eastAsia" w:ascii="宋体" w:hAnsi="宋体" w:eastAsia="方正仿宋简体" w:cs="方正仿宋简体"/>
          <w:color w:val="000000"/>
          <w:sz w:val="32"/>
          <w:szCs w:val="32"/>
          <w:lang w:val="en-US" w:eastAsia="zh-CN"/>
        </w:rPr>
        <w:t>131.35</w:t>
      </w:r>
      <w:r>
        <w:rPr>
          <w:rFonts w:hint="eastAsia" w:ascii="宋体" w:hAnsi="宋体" w:eastAsia="方正仿宋简体" w:cs="方正仿宋简体"/>
          <w:color w:val="000000"/>
          <w:sz w:val="32"/>
          <w:szCs w:val="32"/>
        </w:rPr>
        <w:t>万元。与202</w:t>
      </w:r>
      <w:r>
        <w:rPr>
          <w:rFonts w:hint="eastAsia" w:ascii="宋体" w:hAnsi="宋体" w:eastAsia="方正仿宋简体" w:cs="方正仿宋简体"/>
          <w:color w:val="000000"/>
          <w:sz w:val="32"/>
          <w:szCs w:val="32"/>
          <w:lang w:val="en-US" w:eastAsia="zh-CN"/>
        </w:rPr>
        <w:t>1</w:t>
      </w:r>
      <w:r>
        <w:rPr>
          <w:rFonts w:hint="eastAsia" w:ascii="宋体" w:hAnsi="宋体" w:eastAsia="方正仿宋简体" w:cs="方正仿宋简体"/>
          <w:color w:val="000000"/>
          <w:sz w:val="32"/>
          <w:szCs w:val="32"/>
        </w:rPr>
        <w:t>年相比，</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2021年没有资金支付项目费用，2022个支付了上年的项目费用</w:t>
      </w:r>
      <w:r>
        <w:rPr>
          <w:rFonts w:hint="eastAsia" w:ascii="仿宋" w:hAnsi="仿宋" w:eastAsia="仿宋"/>
          <w:color w:val="auto"/>
          <w:sz w:val="32"/>
          <w:szCs w:val="32"/>
          <w:highlight w:val="none"/>
          <w:lang w:eastAsia="zh-CN"/>
        </w:rPr>
        <w:t>。</w:t>
      </w:r>
    </w:p>
    <w:p>
      <w:pPr>
        <w:spacing w:line="600" w:lineRule="exact"/>
        <w:rPr>
          <w:rFonts w:hint="eastAsia" w:ascii="仿宋" w:hAnsi="仿宋" w:eastAsia="仿宋"/>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　　2.部门财政拨款支出情况。</w:t>
      </w:r>
      <w:r>
        <w:rPr>
          <w:rFonts w:hint="eastAsia" w:ascii="宋体" w:hAnsi="宋体" w:eastAsia="方正仿宋简体" w:cs="方正仿宋简体"/>
          <w:color w:val="000000"/>
          <w:sz w:val="32"/>
          <w:szCs w:val="32"/>
        </w:rPr>
        <w:t>202</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rPr>
        <w:t>年</w:t>
      </w:r>
      <w:r>
        <w:rPr>
          <w:rFonts w:hint="eastAsia" w:ascii="宋体" w:hAnsi="宋体" w:eastAsia="方正仿宋简体" w:cs="方正仿宋简体"/>
          <w:color w:val="000000"/>
          <w:sz w:val="32"/>
          <w:szCs w:val="32"/>
          <w:lang w:eastAsia="zh-CN"/>
        </w:rPr>
        <w:t>部门财政拨款</w:t>
      </w:r>
      <w:r>
        <w:rPr>
          <w:rFonts w:hint="eastAsia" w:ascii="宋体" w:hAnsi="宋体" w:eastAsia="方正仿宋简体" w:cs="方正仿宋简体"/>
          <w:color w:val="000000"/>
          <w:sz w:val="32"/>
          <w:szCs w:val="32"/>
        </w:rPr>
        <w:t>支出</w:t>
      </w:r>
      <w:r>
        <w:rPr>
          <w:rFonts w:hint="eastAsia" w:ascii="宋体" w:hAnsi="宋体" w:eastAsia="方正仿宋简体" w:cs="方正仿宋简体"/>
          <w:color w:val="000000"/>
          <w:sz w:val="32"/>
          <w:szCs w:val="32"/>
          <w:lang w:val="en-US" w:eastAsia="zh-CN"/>
        </w:rPr>
        <w:t>131.35</w:t>
      </w:r>
      <w:r>
        <w:rPr>
          <w:rFonts w:hint="eastAsia" w:ascii="宋体" w:hAnsi="宋体" w:eastAsia="方正仿宋简体" w:cs="方正仿宋简体"/>
          <w:color w:val="000000"/>
          <w:sz w:val="32"/>
          <w:szCs w:val="32"/>
        </w:rPr>
        <w:t>万元。与202</w:t>
      </w:r>
      <w:r>
        <w:rPr>
          <w:rFonts w:hint="eastAsia" w:ascii="宋体" w:hAnsi="宋体" w:eastAsia="方正仿宋简体" w:cs="方正仿宋简体"/>
          <w:color w:val="000000"/>
          <w:sz w:val="32"/>
          <w:szCs w:val="32"/>
          <w:lang w:val="en-US" w:eastAsia="zh-CN"/>
        </w:rPr>
        <w:t>1</w:t>
      </w:r>
      <w:r>
        <w:rPr>
          <w:rFonts w:hint="eastAsia" w:ascii="宋体" w:hAnsi="宋体" w:eastAsia="方正仿宋简体" w:cs="方正仿宋简体"/>
          <w:color w:val="000000"/>
          <w:sz w:val="32"/>
          <w:szCs w:val="32"/>
        </w:rPr>
        <w:t>年相比，</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2021年没有资金支付项目费用，2022个支付了上年的项目费用</w:t>
      </w:r>
      <w:r>
        <w:rPr>
          <w:rFonts w:hint="eastAsia" w:ascii="仿宋" w:hAnsi="仿宋" w:eastAsia="仿宋"/>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contextualSpacing/>
        <w:jc w:val="left"/>
        <w:textAlignment w:val="auto"/>
        <w:rPr>
          <w:rFonts w:hint="default" w:ascii="仿宋" w:hAnsi="仿宋" w:eastAsia="仿宋"/>
          <w:color w:val="auto"/>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　　3.部门财政拨款结转结余</w:t>
      </w:r>
      <w:r>
        <w:rPr>
          <w:rFonts w:hint="eastAsia" w:ascii="仿宋" w:hAnsi="仿宋" w:eastAsia="仿宋"/>
          <w:color w:val="auto"/>
          <w:sz w:val="32"/>
          <w:szCs w:val="32"/>
          <w:highlight w:val="none"/>
          <w:lang w:val="en-US" w:eastAsia="zh-CN"/>
        </w:rPr>
        <w:t>情况。2022年无结转结余。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spacing w:line="600" w:lineRule="exact"/>
        <w:ind w:firstLine="645"/>
        <w:rPr>
          <w:rFonts w:ascii="宋体" w:hAnsi="宋体" w:eastAsia="方正仿宋简体" w:cs="方正仿宋简体"/>
          <w:color w:val="000000"/>
          <w:sz w:val="30"/>
          <w:szCs w:val="30"/>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111.75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其中：人员经费</w:t>
      </w:r>
      <w:r>
        <w:rPr>
          <w:rFonts w:hint="eastAsia" w:ascii="仿宋" w:hAnsi="仿宋" w:eastAsia="仿宋"/>
          <w:color w:val="auto"/>
          <w:sz w:val="32"/>
          <w:szCs w:val="32"/>
          <w:highlight w:val="none"/>
          <w:lang w:val="en-US" w:eastAsia="zh-CN"/>
        </w:rPr>
        <w:t>98.74</w:t>
      </w:r>
      <w:r>
        <w:rPr>
          <w:rFonts w:hint="eastAsia" w:ascii="仿宋" w:hAnsi="仿宋" w:eastAsia="仿宋"/>
          <w:color w:val="auto"/>
          <w:sz w:val="32"/>
          <w:szCs w:val="32"/>
          <w:highlight w:val="none"/>
        </w:rPr>
        <w:t>万元，主要包括：</w:t>
      </w:r>
      <w:r>
        <w:rPr>
          <w:rFonts w:hint="eastAsia" w:ascii="宋体" w:hAnsi="宋体" w:eastAsia="方正仿宋简体" w:cs="方正仿宋简体"/>
          <w:color w:val="000000"/>
          <w:sz w:val="32"/>
          <w:szCs w:val="32"/>
        </w:rPr>
        <w:t>基本工资</w:t>
      </w:r>
      <w:r>
        <w:rPr>
          <w:rFonts w:hint="eastAsia" w:ascii="宋体" w:hAnsi="宋体" w:eastAsia="方正仿宋简体" w:cs="方正仿宋简体"/>
          <w:color w:val="000000"/>
          <w:sz w:val="32"/>
          <w:szCs w:val="32"/>
          <w:lang w:val="en-US" w:eastAsia="zh-CN"/>
        </w:rPr>
        <w:t>28.58</w:t>
      </w:r>
      <w:r>
        <w:rPr>
          <w:rFonts w:hint="eastAsia" w:ascii="宋体" w:hAnsi="宋体" w:eastAsia="方正仿宋简体" w:cs="方正仿宋简体"/>
          <w:color w:val="000000"/>
          <w:sz w:val="32"/>
          <w:szCs w:val="32"/>
        </w:rPr>
        <w:t>万元、津贴补贴</w:t>
      </w:r>
      <w:r>
        <w:rPr>
          <w:rFonts w:hint="eastAsia" w:ascii="宋体" w:hAnsi="宋体" w:eastAsia="方正仿宋简体" w:cs="方正仿宋简体"/>
          <w:color w:val="000000"/>
          <w:sz w:val="32"/>
          <w:szCs w:val="32"/>
          <w:lang w:val="en-US" w:eastAsia="zh-CN"/>
        </w:rPr>
        <w:t>16.96</w:t>
      </w:r>
      <w:r>
        <w:rPr>
          <w:rFonts w:hint="eastAsia" w:ascii="宋体" w:hAnsi="宋体" w:eastAsia="方正仿宋简体" w:cs="方正仿宋简体"/>
          <w:color w:val="000000"/>
          <w:sz w:val="32"/>
          <w:szCs w:val="32"/>
        </w:rPr>
        <w:t>万元、奖金</w:t>
      </w:r>
      <w:r>
        <w:rPr>
          <w:rFonts w:hint="eastAsia" w:ascii="宋体" w:hAnsi="宋体" w:eastAsia="方正仿宋简体" w:cs="方正仿宋简体"/>
          <w:color w:val="000000"/>
          <w:sz w:val="32"/>
          <w:szCs w:val="32"/>
          <w:lang w:val="en-US" w:eastAsia="zh-CN"/>
        </w:rPr>
        <w:t>28.03</w:t>
      </w:r>
      <w:r>
        <w:rPr>
          <w:rFonts w:hint="eastAsia" w:ascii="宋体" w:hAnsi="宋体" w:eastAsia="方正仿宋简体" w:cs="方正仿宋简体"/>
          <w:color w:val="000000"/>
          <w:sz w:val="32"/>
          <w:szCs w:val="32"/>
        </w:rPr>
        <w:t>万元</w:t>
      </w:r>
      <w:r>
        <w:rPr>
          <w:rFonts w:hint="eastAsia" w:ascii="宋体" w:hAnsi="宋体" w:eastAsia="方正仿宋简体" w:cs="方正仿宋简体"/>
          <w:color w:val="000000"/>
          <w:sz w:val="32"/>
          <w:szCs w:val="32"/>
          <w:lang w:eastAsia="zh-CN"/>
        </w:rPr>
        <w:t>（包括基础绩效）</w:t>
      </w:r>
      <w:r>
        <w:rPr>
          <w:rFonts w:hint="eastAsia" w:ascii="宋体" w:hAnsi="宋体" w:eastAsia="方正仿宋简体" w:cs="方正仿宋简体"/>
          <w:color w:val="000000"/>
          <w:sz w:val="32"/>
          <w:szCs w:val="32"/>
        </w:rPr>
        <w:t>、机关事业单位基本养老保险缴费</w:t>
      </w:r>
      <w:r>
        <w:rPr>
          <w:rFonts w:hint="eastAsia" w:ascii="宋体" w:hAnsi="宋体" w:eastAsia="方正仿宋简体" w:cs="方正仿宋简体"/>
          <w:color w:val="000000"/>
          <w:sz w:val="32"/>
          <w:szCs w:val="32"/>
          <w:lang w:val="en-US" w:eastAsia="zh-CN"/>
        </w:rPr>
        <w:t>8.68</w:t>
      </w:r>
      <w:r>
        <w:rPr>
          <w:rFonts w:hint="eastAsia" w:ascii="宋体" w:hAnsi="宋体" w:eastAsia="方正仿宋简体" w:cs="方正仿宋简体"/>
          <w:color w:val="000000"/>
          <w:sz w:val="32"/>
          <w:szCs w:val="32"/>
        </w:rPr>
        <w:t>万元、职工基本医疗保险缴费</w:t>
      </w:r>
      <w:r>
        <w:rPr>
          <w:rFonts w:hint="eastAsia" w:ascii="宋体" w:hAnsi="宋体" w:eastAsia="方正仿宋简体" w:cs="方正仿宋简体"/>
          <w:color w:val="000000"/>
          <w:sz w:val="32"/>
          <w:szCs w:val="32"/>
          <w:lang w:val="en-US" w:eastAsia="zh-CN"/>
        </w:rPr>
        <w:t>3.44</w:t>
      </w:r>
      <w:r>
        <w:rPr>
          <w:rFonts w:hint="eastAsia" w:ascii="宋体" w:hAnsi="宋体" w:eastAsia="方正仿宋简体" w:cs="方正仿宋简体"/>
          <w:color w:val="000000"/>
          <w:sz w:val="32"/>
          <w:szCs w:val="32"/>
        </w:rPr>
        <w:t>万元、公务员医疗补助缴费0.7</w:t>
      </w:r>
      <w:r>
        <w:rPr>
          <w:rFonts w:hint="eastAsia" w:ascii="宋体" w:hAnsi="宋体" w:eastAsia="方正仿宋简体" w:cs="方正仿宋简体"/>
          <w:color w:val="000000"/>
          <w:sz w:val="32"/>
          <w:szCs w:val="32"/>
          <w:lang w:val="en-US" w:eastAsia="zh-CN"/>
        </w:rPr>
        <w:t>5</w:t>
      </w:r>
      <w:r>
        <w:rPr>
          <w:rFonts w:hint="eastAsia" w:ascii="宋体" w:hAnsi="宋体" w:eastAsia="方正仿宋简体" w:cs="方正仿宋简体"/>
          <w:color w:val="000000"/>
          <w:sz w:val="32"/>
          <w:szCs w:val="32"/>
        </w:rPr>
        <w:t>万元、其他社会保障缴费0.</w:t>
      </w:r>
      <w:r>
        <w:rPr>
          <w:rFonts w:hint="eastAsia" w:ascii="宋体" w:hAnsi="宋体" w:eastAsia="方正仿宋简体" w:cs="方正仿宋简体"/>
          <w:color w:val="000000"/>
          <w:sz w:val="32"/>
          <w:szCs w:val="32"/>
          <w:lang w:val="en-US" w:eastAsia="zh-CN"/>
        </w:rPr>
        <w:t>14</w:t>
      </w:r>
      <w:r>
        <w:rPr>
          <w:rFonts w:hint="eastAsia" w:ascii="宋体" w:hAnsi="宋体" w:eastAsia="方正仿宋简体" w:cs="方正仿宋简体"/>
          <w:color w:val="000000"/>
          <w:sz w:val="32"/>
          <w:szCs w:val="32"/>
        </w:rPr>
        <w:t>万元、住房公积金</w:t>
      </w:r>
      <w:r>
        <w:rPr>
          <w:rFonts w:hint="eastAsia" w:ascii="宋体" w:hAnsi="宋体" w:eastAsia="方正仿宋简体" w:cs="方正仿宋简体"/>
          <w:color w:val="000000"/>
          <w:sz w:val="32"/>
          <w:szCs w:val="32"/>
          <w:lang w:val="en-US" w:eastAsia="zh-CN"/>
        </w:rPr>
        <w:t>8.22</w:t>
      </w:r>
      <w:r>
        <w:rPr>
          <w:rFonts w:hint="eastAsia" w:ascii="宋体" w:hAnsi="宋体" w:eastAsia="方正仿宋简体" w:cs="方正仿宋简体"/>
          <w:color w:val="000000"/>
          <w:sz w:val="32"/>
          <w:szCs w:val="32"/>
        </w:rPr>
        <w:t>万元、</w:t>
      </w:r>
      <w:r>
        <w:rPr>
          <w:rFonts w:hint="eastAsia" w:ascii="宋体" w:hAnsi="宋体" w:eastAsia="方正仿宋简体" w:cs="方正仿宋简体"/>
          <w:color w:val="000000"/>
          <w:sz w:val="32"/>
          <w:szCs w:val="32"/>
          <w:lang w:eastAsia="zh-CN"/>
        </w:rPr>
        <w:t>其他工资福利支出</w:t>
      </w:r>
      <w:r>
        <w:rPr>
          <w:rFonts w:hint="eastAsia" w:ascii="宋体" w:hAnsi="宋体" w:eastAsia="方正仿宋简体" w:cs="方正仿宋简体"/>
          <w:color w:val="000000"/>
          <w:sz w:val="32"/>
          <w:szCs w:val="32"/>
          <w:lang w:val="en-US" w:eastAsia="zh-CN"/>
        </w:rPr>
        <w:t>0.02万元、</w:t>
      </w:r>
      <w:r>
        <w:rPr>
          <w:rFonts w:hint="eastAsia" w:ascii="宋体" w:hAnsi="宋体" w:eastAsia="方正仿宋简体" w:cs="方正仿宋简体"/>
          <w:color w:val="000000"/>
          <w:sz w:val="32"/>
          <w:szCs w:val="32"/>
        </w:rPr>
        <w:t>生活补助</w:t>
      </w:r>
      <w:r>
        <w:rPr>
          <w:rFonts w:hint="eastAsia" w:ascii="宋体" w:hAnsi="宋体" w:eastAsia="方正仿宋简体" w:cs="方正仿宋简体"/>
          <w:color w:val="000000"/>
          <w:sz w:val="32"/>
          <w:szCs w:val="32"/>
          <w:lang w:val="en-US" w:eastAsia="zh-CN"/>
        </w:rPr>
        <w:t>3.92</w:t>
      </w:r>
      <w:r>
        <w:rPr>
          <w:rFonts w:hint="eastAsia" w:ascii="宋体" w:hAnsi="宋体" w:eastAsia="方正仿宋简体" w:cs="方正仿宋简体"/>
          <w:color w:val="000000"/>
          <w:sz w:val="32"/>
          <w:szCs w:val="32"/>
        </w:rPr>
        <w:t>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spacing w:line="600" w:lineRule="exact"/>
        <w:ind w:firstLine="645"/>
        <w:rPr>
          <w:rFonts w:ascii="宋体" w:hAnsi="宋体" w:eastAsia="方正仿宋简体" w:cs="方正仿宋简体"/>
          <w:color w:val="000000"/>
          <w:sz w:val="32"/>
          <w:szCs w:val="32"/>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13.01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主要包括：</w:t>
      </w:r>
      <w:r>
        <w:rPr>
          <w:rFonts w:hint="eastAsia" w:ascii="宋体" w:hAnsi="宋体" w:eastAsia="方正仿宋简体" w:cs="方正仿宋简体"/>
          <w:color w:val="000000"/>
          <w:sz w:val="32"/>
          <w:szCs w:val="32"/>
        </w:rPr>
        <w:t>办公费</w:t>
      </w:r>
      <w:r>
        <w:rPr>
          <w:rFonts w:hint="eastAsia" w:ascii="宋体" w:hAnsi="宋体" w:eastAsia="方正仿宋简体" w:cs="方正仿宋简体"/>
          <w:color w:val="000000"/>
          <w:sz w:val="32"/>
          <w:szCs w:val="32"/>
          <w:lang w:val="en-US" w:eastAsia="zh-CN"/>
        </w:rPr>
        <w:t>1.68</w:t>
      </w:r>
      <w:r>
        <w:rPr>
          <w:rFonts w:hint="eastAsia" w:ascii="宋体" w:hAnsi="宋体" w:eastAsia="方正仿宋简体" w:cs="方正仿宋简体"/>
          <w:color w:val="000000"/>
          <w:sz w:val="32"/>
          <w:szCs w:val="32"/>
        </w:rPr>
        <w:t>万元、咨询费0.08万元、水费0.</w:t>
      </w:r>
      <w:r>
        <w:rPr>
          <w:rFonts w:hint="eastAsia" w:ascii="宋体" w:hAnsi="宋体" w:eastAsia="方正仿宋简体" w:cs="方正仿宋简体"/>
          <w:color w:val="000000"/>
          <w:sz w:val="32"/>
          <w:szCs w:val="32"/>
          <w:lang w:val="en-US" w:eastAsia="zh-CN"/>
        </w:rPr>
        <w:t>15</w:t>
      </w:r>
      <w:r>
        <w:rPr>
          <w:rFonts w:hint="eastAsia" w:ascii="宋体" w:hAnsi="宋体" w:eastAsia="方正仿宋简体" w:cs="方正仿宋简体"/>
          <w:color w:val="000000"/>
          <w:sz w:val="32"/>
          <w:szCs w:val="32"/>
        </w:rPr>
        <w:t>万元、电费0.</w:t>
      </w:r>
      <w:r>
        <w:rPr>
          <w:rFonts w:hint="eastAsia" w:ascii="宋体" w:hAnsi="宋体" w:eastAsia="方正仿宋简体" w:cs="方正仿宋简体"/>
          <w:color w:val="000000"/>
          <w:sz w:val="32"/>
          <w:szCs w:val="32"/>
          <w:lang w:val="en-US" w:eastAsia="zh-CN"/>
        </w:rPr>
        <w:t>24</w:t>
      </w:r>
      <w:r>
        <w:rPr>
          <w:rFonts w:hint="eastAsia" w:ascii="宋体" w:hAnsi="宋体" w:eastAsia="方正仿宋简体" w:cs="方正仿宋简体"/>
          <w:color w:val="000000"/>
          <w:sz w:val="32"/>
          <w:szCs w:val="32"/>
        </w:rPr>
        <w:t>万元、邮电费0.</w:t>
      </w:r>
      <w:r>
        <w:rPr>
          <w:rFonts w:hint="eastAsia" w:ascii="宋体" w:hAnsi="宋体" w:eastAsia="方正仿宋简体" w:cs="方正仿宋简体"/>
          <w:color w:val="000000"/>
          <w:sz w:val="32"/>
          <w:szCs w:val="32"/>
          <w:lang w:val="en-US" w:eastAsia="zh-CN"/>
        </w:rPr>
        <w:t>16</w:t>
      </w:r>
      <w:r>
        <w:rPr>
          <w:rFonts w:hint="eastAsia" w:ascii="宋体" w:hAnsi="宋体" w:eastAsia="方正仿宋简体" w:cs="方正仿宋简体"/>
          <w:color w:val="000000"/>
          <w:sz w:val="32"/>
          <w:szCs w:val="32"/>
        </w:rPr>
        <w:t>万元、差旅费1</w:t>
      </w:r>
      <w:r>
        <w:rPr>
          <w:rFonts w:hint="eastAsia" w:ascii="宋体" w:hAnsi="宋体" w:eastAsia="方正仿宋简体" w:cs="方正仿宋简体"/>
          <w:color w:val="000000"/>
          <w:sz w:val="32"/>
          <w:szCs w:val="32"/>
          <w:lang w:val="en-US" w:eastAsia="zh-CN"/>
        </w:rPr>
        <w:t>.45</w:t>
      </w:r>
      <w:r>
        <w:rPr>
          <w:rFonts w:hint="eastAsia" w:ascii="宋体" w:hAnsi="宋体" w:eastAsia="方正仿宋简体" w:cs="方正仿宋简体"/>
          <w:color w:val="000000"/>
          <w:sz w:val="32"/>
          <w:szCs w:val="32"/>
        </w:rPr>
        <w:t>万元、培训费0.</w:t>
      </w:r>
      <w:r>
        <w:rPr>
          <w:rFonts w:hint="eastAsia" w:ascii="宋体" w:hAnsi="宋体" w:eastAsia="方正仿宋简体" w:cs="方正仿宋简体"/>
          <w:color w:val="000000"/>
          <w:sz w:val="32"/>
          <w:szCs w:val="32"/>
          <w:lang w:val="en-US" w:eastAsia="zh-CN"/>
        </w:rPr>
        <w:t>35</w:t>
      </w:r>
      <w:r>
        <w:rPr>
          <w:rFonts w:hint="eastAsia" w:ascii="宋体" w:hAnsi="宋体" w:eastAsia="方正仿宋简体" w:cs="方正仿宋简体"/>
          <w:color w:val="000000"/>
          <w:sz w:val="32"/>
          <w:szCs w:val="32"/>
        </w:rPr>
        <w:t>万元、工会经费</w:t>
      </w:r>
      <w:r>
        <w:rPr>
          <w:rFonts w:hint="eastAsia" w:ascii="宋体" w:hAnsi="宋体" w:eastAsia="方正仿宋简体" w:cs="方正仿宋简体"/>
          <w:color w:val="000000"/>
          <w:sz w:val="32"/>
          <w:szCs w:val="32"/>
          <w:lang w:val="en-US" w:eastAsia="zh-CN"/>
        </w:rPr>
        <w:t>0.87</w:t>
      </w:r>
      <w:r>
        <w:rPr>
          <w:rFonts w:hint="eastAsia" w:ascii="宋体" w:hAnsi="宋体" w:eastAsia="方正仿宋简体" w:cs="方正仿宋简体"/>
          <w:color w:val="000000"/>
          <w:sz w:val="32"/>
          <w:szCs w:val="32"/>
        </w:rPr>
        <w:t>万元、其他交通费5.</w:t>
      </w:r>
      <w:r>
        <w:rPr>
          <w:rFonts w:hint="eastAsia" w:ascii="宋体" w:hAnsi="宋体" w:eastAsia="方正仿宋简体" w:cs="方正仿宋简体"/>
          <w:color w:val="000000"/>
          <w:sz w:val="32"/>
          <w:szCs w:val="32"/>
          <w:lang w:val="en-US" w:eastAsia="zh-CN"/>
        </w:rPr>
        <w:t>03</w:t>
      </w:r>
      <w:r>
        <w:rPr>
          <w:rFonts w:hint="eastAsia" w:ascii="宋体" w:hAnsi="宋体" w:eastAsia="方正仿宋简体" w:cs="方正仿宋简体"/>
          <w:color w:val="000000"/>
          <w:sz w:val="32"/>
          <w:szCs w:val="32"/>
        </w:rPr>
        <w:t>万元、其他商品和服务支出</w:t>
      </w:r>
      <w:r>
        <w:rPr>
          <w:rFonts w:hint="eastAsia" w:ascii="宋体" w:hAnsi="宋体" w:eastAsia="方正仿宋简体" w:cs="方正仿宋简体"/>
          <w:color w:val="000000"/>
          <w:sz w:val="32"/>
          <w:szCs w:val="32"/>
          <w:lang w:val="en-US" w:eastAsia="zh-CN"/>
        </w:rPr>
        <w:t>3</w:t>
      </w:r>
      <w:r>
        <w:rPr>
          <w:rFonts w:hint="eastAsia" w:ascii="宋体" w:hAnsi="宋体" w:eastAsia="方正仿宋简体" w:cs="方正仿宋简体"/>
          <w:color w:val="000000"/>
          <w:sz w:val="32"/>
          <w:szCs w:val="32"/>
        </w:rPr>
        <w:t>万元。</w:t>
      </w:r>
    </w:p>
    <w:p>
      <w:pPr>
        <w:keepNext w:val="0"/>
        <w:keepLines w:val="0"/>
        <w:pageBreakBefore w:val="0"/>
        <w:widowControl/>
        <w:kinsoku/>
        <w:wordWrap/>
        <w:overflowPunct/>
        <w:topLinePunct w:val="0"/>
        <w:autoSpaceDE/>
        <w:autoSpaceDN/>
        <w:bidi w:val="0"/>
        <w:adjustRightInd w:val="0"/>
        <w:snapToGrid w:val="0"/>
        <w:spacing w:line="560" w:lineRule="exact"/>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　　3.特定目标类项目绩效分析</w:t>
      </w:r>
    </w:p>
    <w:p>
      <w:pPr>
        <w:spacing w:line="600" w:lineRule="exact"/>
        <w:ind w:firstLine="640" w:firstLineChars="200"/>
        <w:outlineLvl w:val="1"/>
        <w:rPr>
          <w:rFonts w:hint="default" w:ascii="仿宋" w:hAnsi="仿宋" w:eastAsia="仿宋"/>
          <w:color w:val="auto"/>
          <w:sz w:val="32"/>
          <w:szCs w:val="32"/>
          <w:highlight w:val="none"/>
          <w:lang w:val="en-US" w:eastAsia="zh-CN"/>
        </w:rPr>
      </w:pPr>
      <w:bookmarkStart w:id="84" w:name="_Toc271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eastAsia="zh-CN"/>
        </w:rPr>
        <w:t>特定</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19.60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其中：《雁江年鉴》（</w:t>
      </w:r>
      <w:r>
        <w:rPr>
          <w:rFonts w:hint="eastAsia" w:ascii="仿宋" w:hAnsi="仿宋" w:eastAsia="仿宋"/>
          <w:color w:val="auto"/>
          <w:sz w:val="32"/>
          <w:szCs w:val="32"/>
          <w:highlight w:val="none"/>
          <w:lang w:val="en-US" w:eastAsia="zh-CN"/>
        </w:rPr>
        <w:t>2022版</w:t>
      </w:r>
      <w:r>
        <w:rPr>
          <w:rFonts w:hint="eastAsia" w:ascii="仿宋" w:hAnsi="仿宋" w:eastAsia="仿宋"/>
          <w:color w:val="auto"/>
          <w:sz w:val="32"/>
          <w:szCs w:val="32"/>
          <w:highlight w:val="none"/>
          <w:lang w:eastAsia="zh-CN"/>
        </w:rPr>
        <w:t>）特定项目支出</w:t>
      </w:r>
      <w:r>
        <w:rPr>
          <w:rFonts w:hint="eastAsia" w:ascii="仿宋" w:hAnsi="仿宋" w:eastAsia="仿宋"/>
          <w:color w:val="auto"/>
          <w:sz w:val="32"/>
          <w:szCs w:val="32"/>
          <w:highlight w:val="none"/>
          <w:lang w:val="en-US" w:eastAsia="zh-CN"/>
        </w:rPr>
        <w:t>15.6万元，雁江方志馆馆藏储备特定项目支出4万元。</w:t>
      </w:r>
      <w:bookmarkEnd w:id="84"/>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spacing w:line="550" w:lineRule="exact"/>
        <w:ind w:firstLine="640" w:firstLineChars="200"/>
        <w:rPr>
          <w:rFonts w:ascii="宋体" w:hAnsi="宋体" w:eastAsia="方正仿宋简体" w:cs="方正仿宋简体"/>
          <w:color w:val="000000"/>
          <w:sz w:val="32"/>
          <w:szCs w:val="32"/>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围绕部门整体绩效目标完成情况和部门履职情况进行绩效分析。</w:t>
      </w:r>
      <w:r>
        <w:rPr>
          <w:rFonts w:hint="eastAsia" w:ascii="宋体" w:hAnsi="宋体" w:eastAsia="方正仿宋简体" w:cs="方正仿宋简体"/>
          <w:color w:val="000000"/>
          <w:sz w:val="32"/>
          <w:szCs w:val="32"/>
        </w:rPr>
        <w:t>按照预算绩效管理要求，区志办对202</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rPr>
        <w:t>年一般公共预算项目支出开展了绩效目标管理，共编制绩效目标2个，涉及财政资金</w:t>
      </w:r>
      <w:r>
        <w:rPr>
          <w:rFonts w:hint="eastAsia" w:ascii="宋体" w:hAnsi="宋体" w:eastAsia="方正仿宋简体" w:cs="方正仿宋简体"/>
          <w:color w:val="000000"/>
          <w:sz w:val="32"/>
          <w:szCs w:val="32"/>
          <w:lang w:val="en-US" w:eastAsia="zh-CN"/>
        </w:rPr>
        <w:t>20</w:t>
      </w:r>
      <w:r>
        <w:rPr>
          <w:rFonts w:hint="eastAsia" w:ascii="宋体" w:hAnsi="宋体" w:eastAsia="方正仿宋简体" w:cs="方正仿宋简体"/>
          <w:color w:val="000000"/>
          <w:sz w:val="32"/>
          <w:szCs w:val="32"/>
        </w:rPr>
        <w:t>万元，覆盖率达到100%。</w:t>
      </w:r>
    </w:p>
    <w:p>
      <w:pPr>
        <w:keepNext w:val="0"/>
        <w:keepLines w:val="0"/>
        <w:pageBreakBefore w:val="0"/>
        <w:widowControl/>
        <w:kinsoku/>
        <w:wordWrap/>
        <w:overflowPunct/>
        <w:topLinePunct w:val="0"/>
        <w:autoSpaceDE/>
        <w:autoSpaceDN/>
        <w:bidi w:val="0"/>
        <w:adjustRightInd w:val="0"/>
        <w:snapToGrid w:val="0"/>
        <w:spacing w:line="560" w:lineRule="exact"/>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　　（三）结果应用情况。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在预算一体化平台已完成项目支出绩效自评，结果应用良好。</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部门整体自评及特定项目自评情况为良。</w:t>
      </w:r>
    </w:p>
    <w:p>
      <w:pPr>
        <w:numPr>
          <w:ilvl w:val="0"/>
          <w:numId w:val="2"/>
        </w:numPr>
        <w:spacing w:line="550" w:lineRule="exact"/>
        <w:ind w:left="1360" w:leftChars="0" w:hanging="720" w:firstLineChars="0"/>
        <w:rPr>
          <w:rFonts w:hint="eastAsia"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评价结论及建议</w:t>
      </w:r>
    </w:p>
    <w:p>
      <w:pPr>
        <w:numPr>
          <w:ilvl w:val="0"/>
          <w:numId w:val="0"/>
        </w:numPr>
        <w:spacing w:line="550" w:lineRule="exact"/>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　　</w:t>
      </w:r>
      <w:r>
        <w:rPr>
          <w:rFonts w:hint="eastAsia" w:ascii="宋体" w:hAnsi="宋体" w:eastAsia="方正仿宋简体" w:cs="方正仿宋简体"/>
          <w:color w:val="000000"/>
          <w:sz w:val="32"/>
          <w:szCs w:val="32"/>
        </w:rPr>
        <w:t>按照</w:t>
      </w:r>
      <w:r>
        <w:rPr>
          <w:rFonts w:hint="eastAsia" w:ascii="宋体" w:hAnsi="宋体" w:eastAsia="方正仿宋简体" w:cs="方正仿宋简体"/>
          <w:color w:val="000000"/>
          <w:sz w:val="32"/>
          <w:szCs w:val="32"/>
          <w:lang w:eastAsia="zh-CN"/>
        </w:rPr>
        <w:t>目标</w:t>
      </w:r>
      <w:r>
        <w:rPr>
          <w:rFonts w:hint="eastAsia" w:ascii="宋体" w:hAnsi="宋体" w:eastAsia="方正仿宋简体" w:cs="方正仿宋简体"/>
          <w:color w:val="000000"/>
          <w:sz w:val="32"/>
          <w:szCs w:val="32"/>
        </w:rPr>
        <w:t>绩效管理要求，区志办对202</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rPr>
        <w:t>年整体支出</w:t>
      </w:r>
      <w:r>
        <w:rPr>
          <w:rFonts w:hint="eastAsia" w:ascii="宋体" w:hAnsi="宋体" w:eastAsia="方正仿宋简体" w:cs="方正仿宋简体"/>
          <w:color w:val="000000"/>
          <w:sz w:val="32"/>
          <w:szCs w:val="32"/>
          <w:lang w:eastAsia="zh-CN"/>
        </w:rPr>
        <w:t>及特定项目支出</w:t>
      </w:r>
      <w:r>
        <w:rPr>
          <w:rFonts w:hint="eastAsia" w:ascii="宋体" w:hAnsi="宋体" w:eastAsia="方正仿宋简体" w:cs="方正仿宋简体"/>
          <w:color w:val="000000"/>
          <w:sz w:val="32"/>
          <w:szCs w:val="32"/>
        </w:rPr>
        <w:t>开展绩效自评，自评结论为良。存在的问题：一是可持续发展能力不够，主要是科技（制度、方法、机制等）创新能力不够；二是内部控制制度建设还要加强。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pStyle w:val="2"/>
        <w:rPr>
          <w:rFonts w:ascii="黑体" w:hAnsi="宋体" w:eastAsia="黑体" w:cs="宋体"/>
          <w:color w:val="auto"/>
          <w:kern w:val="0"/>
          <w:sz w:val="32"/>
          <w:szCs w:val="32"/>
          <w:highlight w:val="none"/>
          <w:shd w:val="clear" w:color="auto" w:fill="FFFFFF"/>
        </w:rPr>
      </w:pPr>
    </w:p>
    <w:p>
      <w:pPr>
        <w:spacing w:line="600" w:lineRule="exact"/>
        <w:jc w:val="both"/>
        <w:outlineLvl w:val="0"/>
        <w:rPr>
          <w:rFonts w:hint="eastAsia" w:ascii="仿宋" w:hAnsi="仿宋" w:eastAsia="仿宋"/>
          <w:b w:val="0"/>
          <w:color w:val="auto"/>
          <w:highlight w:val="none"/>
        </w:rPr>
      </w:pPr>
      <w:bookmarkStart w:id="85" w:name="_Toc15396618"/>
      <w:r>
        <w:rPr>
          <w:rFonts w:hint="eastAsia" w:ascii="黑体" w:hAnsi="黑体" w:eastAsia="黑体"/>
          <w:color w:val="auto"/>
          <w:sz w:val="44"/>
          <w:szCs w:val="44"/>
          <w:highlight w:val="none"/>
          <w:lang w:eastAsia="zh-CN"/>
        </w:rPr>
        <w:t>　　　　　　</w:t>
      </w:r>
      <w:bookmarkStart w:id="86" w:name="_Toc18348"/>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83"/>
      <w:bookmarkEnd w:id="85"/>
      <w:bookmarkEnd w:id="86"/>
      <w:bookmarkStart w:id="87" w:name="_Toc15396619"/>
    </w:p>
    <w:p>
      <w:pPr>
        <w:pStyle w:val="4"/>
        <w:rPr>
          <w:rFonts w:ascii="仿宋" w:hAnsi="仿宋" w:eastAsia="仿宋"/>
          <w:color w:val="auto"/>
          <w:highlight w:val="none"/>
        </w:rPr>
      </w:pPr>
      <w:bookmarkStart w:id="88" w:name="_Toc16531"/>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87"/>
      <w:bookmarkEnd w:id="88"/>
    </w:p>
    <w:p>
      <w:pPr>
        <w:pStyle w:val="4"/>
        <w:rPr>
          <w:rFonts w:ascii="仿宋" w:hAnsi="仿宋" w:eastAsia="仿宋"/>
          <w:color w:val="auto"/>
          <w:highlight w:val="none"/>
        </w:rPr>
      </w:pPr>
      <w:bookmarkStart w:id="89" w:name="_Toc15396620"/>
      <w:bookmarkStart w:id="90" w:name="_Toc29534"/>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89"/>
      <w:bookmarkEnd w:id="90"/>
    </w:p>
    <w:p>
      <w:pPr>
        <w:pStyle w:val="4"/>
        <w:rPr>
          <w:rFonts w:ascii="仿宋" w:hAnsi="仿宋" w:eastAsia="仿宋"/>
          <w:color w:val="auto"/>
          <w:highlight w:val="none"/>
        </w:rPr>
      </w:pPr>
      <w:bookmarkStart w:id="91" w:name="_Toc15396621"/>
      <w:bookmarkStart w:id="92" w:name="_Toc14696"/>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91"/>
      <w:bookmarkEnd w:id="92"/>
    </w:p>
    <w:p>
      <w:pPr>
        <w:pStyle w:val="4"/>
        <w:rPr>
          <w:rFonts w:ascii="仿宋" w:hAnsi="仿宋" w:eastAsia="仿宋"/>
          <w:b w:val="0"/>
          <w:color w:val="auto"/>
          <w:highlight w:val="none"/>
        </w:rPr>
      </w:pPr>
      <w:bookmarkStart w:id="93" w:name="_Toc15396622"/>
      <w:bookmarkStart w:id="94" w:name="_Toc26420"/>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93"/>
      <w:bookmarkEnd w:id="94"/>
    </w:p>
    <w:p>
      <w:pPr>
        <w:pStyle w:val="4"/>
        <w:rPr>
          <w:rStyle w:val="28"/>
          <w:rFonts w:ascii="仿宋" w:hAnsi="仿宋" w:eastAsia="仿宋"/>
          <w:b w:val="0"/>
          <w:bCs w:val="0"/>
          <w:color w:val="auto"/>
          <w:highlight w:val="none"/>
        </w:rPr>
      </w:pPr>
      <w:bookmarkStart w:id="95" w:name="_Toc15396623"/>
      <w:bookmarkStart w:id="96" w:name="_Toc19591"/>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95"/>
      <w:bookmarkEnd w:id="96"/>
      <w:bookmarkStart w:id="97" w:name="_Toc15396624"/>
    </w:p>
    <w:p>
      <w:pPr>
        <w:pStyle w:val="4"/>
        <w:rPr>
          <w:rFonts w:ascii="仿宋" w:hAnsi="仿宋" w:eastAsia="仿宋"/>
          <w:color w:val="auto"/>
          <w:highlight w:val="none"/>
        </w:rPr>
      </w:pPr>
      <w:bookmarkStart w:id="98" w:name="_Toc17693"/>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97"/>
      <w:bookmarkEnd w:id="98"/>
    </w:p>
    <w:p>
      <w:pPr>
        <w:pStyle w:val="4"/>
        <w:rPr>
          <w:rFonts w:ascii="仿宋" w:hAnsi="仿宋" w:eastAsia="仿宋"/>
          <w:color w:val="auto"/>
          <w:highlight w:val="none"/>
        </w:rPr>
      </w:pPr>
      <w:bookmarkStart w:id="99" w:name="_Toc15396625"/>
      <w:bookmarkStart w:id="100" w:name="_Toc17306"/>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99"/>
      <w:bookmarkEnd w:id="100"/>
    </w:p>
    <w:p>
      <w:pPr>
        <w:pStyle w:val="4"/>
        <w:rPr>
          <w:rFonts w:ascii="仿宋" w:hAnsi="仿宋" w:eastAsia="仿宋"/>
          <w:color w:val="auto"/>
          <w:highlight w:val="none"/>
        </w:rPr>
      </w:pPr>
      <w:bookmarkStart w:id="101" w:name="_Toc15396626"/>
      <w:bookmarkStart w:id="102" w:name="_Toc10641"/>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01"/>
      <w:bookmarkEnd w:id="102"/>
    </w:p>
    <w:p>
      <w:pPr>
        <w:pStyle w:val="4"/>
        <w:rPr>
          <w:rFonts w:ascii="仿宋" w:hAnsi="仿宋" w:eastAsia="仿宋"/>
          <w:color w:val="auto"/>
          <w:highlight w:val="none"/>
        </w:rPr>
      </w:pPr>
      <w:bookmarkStart w:id="103" w:name="_Toc15396627"/>
      <w:bookmarkStart w:id="104" w:name="_Toc17620"/>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03"/>
      <w:bookmarkEnd w:id="104"/>
    </w:p>
    <w:p>
      <w:pPr>
        <w:pStyle w:val="4"/>
        <w:rPr>
          <w:rFonts w:ascii="仿宋" w:hAnsi="仿宋" w:eastAsia="仿宋"/>
          <w:color w:val="auto"/>
          <w:highlight w:val="none"/>
        </w:rPr>
      </w:pPr>
      <w:bookmarkStart w:id="105" w:name="_Toc15396628"/>
      <w:bookmarkStart w:id="106" w:name="_Toc30535"/>
      <w:r>
        <w:rPr>
          <w:rStyle w:val="28"/>
          <w:rFonts w:hint="eastAsia" w:ascii="仿宋" w:hAnsi="仿宋" w:eastAsia="仿宋"/>
          <w:b w:val="0"/>
          <w:bCs w:val="0"/>
          <w:color w:val="auto"/>
          <w:highlight w:val="none"/>
        </w:rPr>
        <w:t>十、</w:t>
      </w:r>
      <w:bookmarkEnd w:id="105"/>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06"/>
    </w:p>
    <w:p>
      <w:pPr>
        <w:pStyle w:val="4"/>
        <w:rPr>
          <w:rFonts w:ascii="仿宋" w:hAnsi="仿宋" w:eastAsia="仿宋"/>
          <w:color w:val="auto"/>
          <w:highlight w:val="none"/>
        </w:rPr>
      </w:pPr>
      <w:bookmarkStart w:id="107" w:name="_Toc15396629"/>
      <w:bookmarkStart w:id="108" w:name="_Toc20526"/>
      <w:r>
        <w:rPr>
          <w:rStyle w:val="28"/>
          <w:rFonts w:hint="eastAsia" w:ascii="仿宋" w:hAnsi="仿宋" w:eastAsia="仿宋"/>
          <w:b w:val="0"/>
          <w:bCs w:val="0"/>
          <w:color w:val="auto"/>
          <w:highlight w:val="none"/>
        </w:rPr>
        <w:t>十一、</w:t>
      </w:r>
      <w:bookmarkEnd w:id="107"/>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08"/>
    </w:p>
    <w:p>
      <w:pPr>
        <w:pStyle w:val="4"/>
        <w:rPr>
          <w:rFonts w:ascii="仿宋" w:hAnsi="仿宋" w:eastAsia="仿宋"/>
          <w:color w:val="auto"/>
          <w:highlight w:val="none"/>
        </w:rPr>
      </w:pPr>
      <w:bookmarkStart w:id="109" w:name="_Toc15396630"/>
      <w:bookmarkStart w:id="110" w:name="_Toc15847"/>
      <w:r>
        <w:rPr>
          <w:rStyle w:val="28"/>
          <w:rFonts w:hint="eastAsia" w:ascii="仿宋" w:hAnsi="仿宋" w:eastAsia="仿宋"/>
          <w:b w:val="0"/>
          <w:bCs w:val="0"/>
          <w:color w:val="auto"/>
          <w:highlight w:val="none"/>
        </w:rPr>
        <w:t>十二、</w:t>
      </w:r>
      <w:bookmarkEnd w:id="109"/>
      <w:r>
        <w:rPr>
          <w:rStyle w:val="28"/>
          <w:rFonts w:hint="eastAsia" w:ascii="仿宋" w:hAnsi="仿宋" w:eastAsia="仿宋"/>
          <w:b w:val="0"/>
          <w:bCs w:val="0"/>
          <w:color w:val="auto"/>
          <w:highlight w:val="none"/>
          <w:lang w:eastAsia="zh-CN"/>
        </w:rPr>
        <w:t>国有资本经营预算财政拨款支出决算表</w:t>
      </w:r>
      <w:bookmarkEnd w:id="110"/>
    </w:p>
    <w:p>
      <w:pPr>
        <w:pStyle w:val="4"/>
        <w:rPr>
          <w:rStyle w:val="28"/>
          <w:rFonts w:hint="eastAsia" w:ascii="仿宋" w:hAnsi="仿宋" w:eastAsia="仿宋"/>
          <w:b w:val="0"/>
          <w:bCs w:val="0"/>
          <w:color w:val="auto"/>
          <w:highlight w:val="none"/>
          <w:lang w:eastAsia="zh-CN"/>
        </w:rPr>
      </w:pPr>
      <w:bookmarkStart w:id="111" w:name="_Toc15396631"/>
      <w:bookmarkStart w:id="112" w:name="_Toc28641"/>
      <w:r>
        <w:rPr>
          <w:rStyle w:val="28"/>
          <w:rFonts w:hint="eastAsia" w:ascii="仿宋" w:hAnsi="仿宋" w:eastAsia="仿宋"/>
          <w:b w:val="0"/>
          <w:bCs w:val="0"/>
          <w:color w:val="auto"/>
          <w:highlight w:val="none"/>
        </w:rPr>
        <w:t>十三、</w:t>
      </w:r>
      <w:bookmarkEnd w:id="111"/>
      <w:r>
        <w:rPr>
          <w:rStyle w:val="28"/>
          <w:rFonts w:hint="eastAsia" w:ascii="仿宋" w:hAnsi="仿宋" w:eastAsia="仿宋"/>
          <w:b w:val="0"/>
          <w:bCs w:val="0"/>
          <w:color w:val="auto"/>
          <w:highlight w:val="none"/>
          <w:lang w:eastAsia="zh-CN"/>
        </w:rPr>
        <w:t>财政拨款“三公”经费支出决算表</w:t>
      </w:r>
      <w:bookmarkEnd w:id="112"/>
    </w:p>
    <w:p>
      <w:pPr>
        <w:rPr>
          <w:rFonts w:hint="eastAsia"/>
          <w:lang w:eastAsia="zh-CN"/>
        </w:rPr>
      </w:pPr>
      <w:r>
        <w:rPr>
          <w:rFonts w:hint="eastAsia" w:ascii="仿宋_GB2312" w:hAnsi="仿宋_GB2312" w:eastAsia="仿宋_GB2312" w:cs="仿宋_GB2312"/>
          <w:color w:val="auto"/>
          <w:sz w:val="32"/>
          <w:szCs w:val="32"/>
          <w:highlight w:val="none"/>
          <w:lang w:val="en-US" w:eastAsia="zh-CN"/>
        </w:rPr>
        <w:t>十四、部门预算项目支出绩效自评表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EF323"/>
    <w:multiLevelType w:val="singleLevel"/>
    <w:tmpl w:val="DEBEF323"/>
    <w:lvl w:ilvl="0" w:tentative="0">
      <w:start w:val="4"/>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0166907"/>
    <w:multiLevelType w:val="singleLevel"/>
    <w:tmpl w:val="40166907"/>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7E2D"/>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7EB6"/>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C7290"/>
    <w:rsid w:val="015975B8"/>
    <w:rsid w:val="01F178BE"/>
    <w:rsid w:val="02143E91"/>
    <w:rsid w:val="023C44BA"/>
    <w:rsid w:val="032469B6"/>
    <w:rsid w:val="03E2226C"/>
    <w:rsid w:val="04DA2804"/>
    <w:rsid w:val="05264E82"/>
    <w:rsid w:val="05473FC9"/>
    <w:rsid w:val="05D84CA5"/>
    <w:rsid w:val="05E661B9"/>
    <w:rsid w:val="05EA66B5"/>
    <w:rsid w:val="05F509D2"/>
    <w:rsid w:val="066E0107"/>
    <w:rsid w:val="068837C4"/>
    <w:rsid w:val="06F32E73"/>
    <w:rsid w:val="075B4E21"/>
    <w:rsid w:val="07996F6E"/>
    <w:rsid w:val="07D337E6"/>
    <w:rsid w:val="07E61182"/>
    <w:rsid w:val="086552D4"/>
    <w:rsid w:val="08BF46E8"/>
    <w:rsid w:val="094F2171"/>
    <w:rsid w:val="09884131"/>
    <w:rsid w:val="0A2032A3"/>
    <w:rsid w:val="0A4E0677"/>
    <w:rsid w:val="0A8F10E0"/>
    <w:rsid w:val="0B16263E"/>
    <w:rsid w:val="0BC02AD7"/>
    <w:rsid w:val="0BD41778"/>
    <w:rsid w:val="0C747FFC"/>
    <w:rsid w:val="0CEC743A"/>
    <w:rsid w:val="0D3600BA"/>
    <w:rsid w:val="0D755621"/>
    <w:rsid w:val="0D930454"/>
    <w:rsid w:val="0D9A7DDF"/>
    <w:rsid w:val="0DF9132A"/>
    <w:rsid w:val="0F1605D0"/>
    <w:rsid w:val="0F2E5C77"/>
    <w:rsid w:val="0F950E9E"/>
    <w:rsid w:val="0F98263C"/>
    <w:rsid w:val="101860EC"/>
    <w:rsid w:val="10774D14"/>
    <w:rsid w:val="107D3B46"/>
    <w:rsid w:val="10C055FF"/>
    <w:rsid w:val="118107EC"/>
    <w:rsid w:val="11E23F66"/>
    <w:rsid w:val="12AF7E37"/>
    <w:rsid w:val="13021E3F"/>
    <w:rsid w:val="13D50BC4"/>
    <w:rsid w:val="143556B4"/>
    <w:rsid w:val="14861FBB"/>
    <w:rsid w:val="149C635D"/>
    <w:rsid w:val="14C15298"/>
    <w:rsid w:val="151C212F"/>
    <w:rsid w:val="157079BA"/>
    <w:rsid w:val="157524C8"/>
    <w:rsid w:val="15D43E5C"/>
    <w:rsid w:val="15DD476B"/>
    <w:rsid w:val="15ED27D3"/>
    <w:rsid w:val="161575A4"/>
    <w:rsid w:val="16196B4E"/>
    <w:rsid w:val="16BB723D"/>
    <w:rsid w:val="16D62785"/>
    <w:rsid w:val="17C46B8A"/>
    <w:rsid w:val="17C85100"/>
    <w:rsid w:val="185D4605"/>
    <w:rsid w:val="189D7525"/>
    <w:rsid w:val="18B36492"/>
    <w:rsid w:val="18FD340F"/>
    <w:rsid w:val="1906049B"/>
    <w:rsid w:val="192A51D8"/>
    <w:rsid w:val="193070E1"/>
    <w:rsid w:val="19823668"/>
    <w:rsid w:val="1AE24529"/>
    <w:rsid w:val="1AF112C0"/>
    <w:rsid w:val="1B4C3F58"/>
    <w:rsid w:val="1B697C85"/>
    <w:rsid w:val="1BA16EE5"/>
    <w:rsid w:val="1BB629AE"/>
    <w:rsid w:val="1BE8440E"/>
    <w:rsid w:val="1BFE5F7A"/>
    <w:rsid w:val="1C990377"/>
    <w:rsid w:val="1D0C6137"/>
    <w:rsid w:val="1D155CEE"/>
    <w:rsid w:val="1DDA0D6B"/>
    <w:rsid w:val="1EA74AFC"/>
    <w:rsid w:val="1EE45D3E"/>
    <w:rsid w:val="1F665012"/>
    <w:rsid w:val="1F796231"/>
    <w:rsid w:val="1FA13B72"/>
    <w:rsid w:val="1FAD7985"/>
    <w:rsid w:val="1FF35744"/>
    <w:rsid w:val="20101C28"/>
    <w:rsid w:val="20164CF7"/>
    <w:rsid w:val="21733A6D"/>
    <w:rsid w:val="22694385"/>
    <w:rsid w:val="226D6646"/>
    <w:rsid w:val="22F464E8"/>
    <w:rsid w:val="23796741"/>
    <w:rsid w:val="23860B96"/>
    <w:rsid w:val="23AC5C96"/>
    <w:rsid w:val="240371BF"/>
    <w:rsid w:val="24217E53"/>
    <w:rsid w:val="24335B6F"/>
    <w:rsid w:val="257D06D5"/>
    <w:rsid w:val="25862F9E"/>
    <w:rsid w:val="260F1BFD"/>
    <w:rsid w:val="265213ED"/>
    <w:rsid w:val="26691012"/>
    <w:rsid w:val="267B202D"/>
    <w:rsid w:val="26900ED2"/>
    <w:rsid w:val="27C55A4B"/>
    <w:rsid w:val="28357004"/>
    <w:rsid w:val="28370309"/>
    <w:rsid w:val="28886E0E"/>
    <w:rsid w:val="28A7603E"/>
    <w:rsid w:val="28D5368A"/>
    <w:rsid w:val="29311825"/>
    <w:rsid w:val="295D22E9"/>
    <w:rsid w:val="29764AB6"/>
    <w:rsid w:val="299219A6"/>
    <w:rsid w:val="29C97F88"/>
    <w:rsid w:val="29FD04D3"/>
    <w:rsid w:val="2A827ECE"/>
    <w:rsid w:val="2A90019B"/>
    <w:rsid w:val="2B316D6D"/>
    <w:rsid w:val="2B8354F2"/>
    <w:rsid w:val="2C8A61B5"/>
    <w:rsid w:val="2CD6709D"/>
    <w:rsid w:val="2DBE739B"/>
    <w:rsid w:val="2DCC4132"/>
    <w:rsid w:val="2DF04E50"/>
    <w:rsid w:val="2E316055"/>
    <w:rsid w:val="2E8D676F"/>
    <w:rsid w:val="2ECF6B4B"/>
    <w:rsid w:val="2F040D46"/>
    <w:rsid w:val="2F074DB3"/>
    <w:rsid w:val="2F89790B"/>
    <w:rsid w:val="2FAF42C8"/>
    <w:rsid w:val="2FCC5DF6"/>
    <w:rsid w:val="2FD46A86"/>
    <w:rsid w:val="3024558B"/>
    <w:rsid w:val="303D06B3"/>
    <w:rsid w:val="307E6F1F"/>
    <w:rsid w:val="30987E31"/>
    <w:rsid w:val="31184F79"/>
    <w:rsid w:val="31526EF7"/>
    <w:rsid w:val="319F7F4E"/>
    <w:rsid w:val="32265FD5"/>
    <w:rsid w:val="323C0179"/>
    <w:rsid w:val="328B377B"/>
    <w:rsid w:val="32BC3F4B"/>
    <w:rsid w:val="32E05404"/>
    <w:rsid w:val="3304709D"/>
    <w:rsid w:val="33055644"/>
    <w:rsid w:val="331C5269"/>
    <w:rsid w:val="33F42D4E"/>
    <w:rsid w:val="33FF79CA"/>
    <w:rsid w:val="34110FF9"/>
    <w:rsid w:val="342844A1"/>
    <w:rsid w:val="354635F4"/>
    <w:rsid w:val="36042D04"/>
    <w:rsid w:val="36460F99"/>
    <w:rsid w:val="36AA5135"/>
    <w:rsid w:val="36E5561F"/>
    <w:rsid w:val="36EE26AB"/>
    <w:rsid w:val="36FA1D41"/>
    <w:rsid w:val="37032650"/>
    <w:rsid w:val="370C1C5B"/>
    <w:rsid w:val="376D39B2"/>
    <w:rsid w:val="37D42B23"/>
    <w:rsid w:val="37E16F03"/>
    <w:rsid w:val="386B2E9C"/>
    <w:rsid w:val="38C757B4"/>
    <w:rsid w:val="38D469F0"/>
    <w:rsid w:val="38E5161D"/>
    <w:rsid w:val="39A83F3F"/>
    <w:rsid w:val="39E65C0C"/>
    <w:rsid w:val="39E772A0"/>
    <w:rsid w:val="39F44F22"/>
    <w:rsid w:val="3ABF1172"/>
    <w:rsid w:val="3AFC5754"/>
    <w:rsid w:val="3B0350DF"/>
    <w:rsid w:val="3B8A62BD"/>
    <w:rsid w:val="3C631823"/>
    <w:rsid w:val="3CBD31B6"/>
    <w:rsid w:val="3CCD7BCD"/>
    <w:rsid w:val="3D98207C"/>
    <w:rsid w:val="3DFB3A93"/>
    <w:rsid w:val="3DFF057B"/>
    <w:rsid w:val="3E116F60"/>
    <w:rsid w:val="3E6B1BF8"/>
    <w:rsid w:val="3E78745D"/>
    <w:rsid w:val="3E7B0B8E"/>
    <w:rsid w:val="3E9A1443"/>
    <w:rsid w:val="3FD57CB9"/>
    <w:rsid w:val="40543C97"/>
    <w:rsid w:val="40B9143D"/>
    <w:rsid w:val="41015FC0"/>
    <w:rsid w:val="41101E4C"/>
    <w:rsid w:val="41A945C9"/>
    <w:rsid w:val="41B03F53"/>
    <w:rsid w:val="41B71360"/>
    <w:rsid w:val="422C131F"/>
    <w:rsid w:val="42513ADD"/>
    <w:rsid w:val="427F3327"/>
    <w:rsid w:val="429C7054"/>
    <w:rsid w:val="42B30F5D"/>
    <w:rsid w:val="42F73568"/>
    <w:rsid w:val="43374CD4"/>
    <w:rsid w:val="43577787"/>
    <w:rsid w:val="4413593C"/>
    <w:rsid w:val="443E2003"/>
    <w:rsid w:val="444F35A2"/>
    <w:rsid w:val="448C5EF6"/>
    <w:rsid w:val="44A9520F"/>
    <w:rsid w:val="44E268DA"/>
    <w:rsid w:val="44FD6BBE"/>
    <w:rsid w:val="45582750"/>
    <w:rsid w:val="458266D9"/>
    <w:rsid w:val="45A52CD8"/>
    <w:rsid w:val="460054E7"/>
    <w:rsid w:val="46657B5B"/>
    <w:rsid w:val="46A401F3"/>
    <w:rsid w:val="47065D8D"/>
    <w:rsid w:val="4730365B"/>
    <w:rsid w:val="47393DE0"/>
    <w:rsid w:val="4748397E"/>
    <w:rsid w:val="478C26EF"/>
    <w:rsid w:val="47A120FB"/>
    <w:rsid w:val="48E575E8"/>
    <w:rsid w:val="49091077"/>
    <w:rsid w:val="4A244932"/>
    <w:rsid w:val="4A391054"/>
    <w:rsid w:val="4A627F82"/>
    <w:rsid w:val="4A8E6560"/>
    <w:rsid w:val="4A9007B6"/>
    <w:rsid w:val="4AA8710A"/>
    <w:rsid w:val="4B0E749A"/>
    <w:rsid w:val="4B423A85"/>
    <w:rsid w:val="4B4F25DA"/>
    <w:rsid w:val="4BC30B5B"/>
    <w:rsid w:val="4BE068DB"/>
    <w:rsid w:val="4C552648"/>
    <w:rsid w:val="4C7C1670"/>
    <w:rsid w:val="4CBD45F6"/>
    <w:rsid w:val="4CC01CF8"/>
    <w:rsid w:val="4D000563"/>
    <w:rsid w:val="4D577224"/>
    <w:rsid w:val="4DB72B03"/>
    <w:rsid w:val="4DDE46CE"/>
    <w:rsid w:val="4DF176EF"/>
    <w:rsid w:val="4E1A0CAF"/>
    <w:rsid w:val="4E963E7C"/>
    <w:rsid w:val="4E9D3807"/>
    <w:rsid w:val="4EAB630A"/>
    <w:rsid w:val="4EC549CB"/>
    <w:rsid w:val="4ECE2238"/>
    <w:rsid w:val="4F6841D5"/>
    <w:rsid w:val="4F874A89"/>
    <w:rsid w:val="4F9D6C2D"/>
    <w:rsid w:val="4FA61ABB"/>
    <w:rsid w:val="500A39DE"/>
    <w:rsid w:val="507C629B"/>
    <w:rsid w:val="50A306D9"/>
    <w:rsid w:val="50AB1369"/>
    <w:rsid w:val="514A216C"/>
    <w:rsid w:val="51A072F7"/>
    <w:rsid w:val="52612434"/>
    <w:rsid w:val="52684B42"/>
    <w:rsid w:val="52F543A6"/>
    <w:rsid w:val="537E6D0A"/>
    <w:rsid w:val="54672089"/>
    <w:rsid w:val="54E41652"/>
    <w:rsid w:val="555E131C"/>
    <w:rsid w:val="55704ABA"/>
    <w:rsid w:val="559B2D67"/>
    <w:rsid w:val="559D2106"/>
    <w:rsid w:val="55B058A3"/>
    <w:rsid w:val="55B4134C"/>
    <w:rsid w:val="55E96D02"/>
    <w:rsid w:val="564C5721"/>
    <w:rsid w:val="56687250"/>
    <w:rsid w:val="567B3726"/>
    <w:rsid w:val="56CF7EF9"/>
    <w:rsid w:val="579A5A03"/>
    <w:rsid w:val="57DB7132"/>
    <w:rsid w:val="58106307"/>
    <w:rsid w:val="5A214DED"/>
    <w:rsid w:val="5A612353"/>
    <w:rsid w:val="5A902EA3"/>
    <w:rsid w:val="5AF92295"/>
    <w:rsid w:val="5B5828EC"/>
    <w:rsid w:val="5BEE6662"/>
    <w:rsid w:val="5C01471F"/>
    <w:rsid w:val="5C5E2199"/>
    <w:rsid w:val="5C7133B8"/>
    <w:rsid w:val="5CB62246"/>
    <w:rsid w:val="5CC52E42"/>
    <w:rsid w:val="5CD71FC4"/>
    <w:rsid w:val="5CF3268D"/>
    <w:rsid w:val="5D142BC1"/>
    <w:rsid w:val="5D335675"/>
    <w:rsid w:val="5D7755A6"/>
    <w:rsid w:val="5DB65803"/>
    <w:rsid w:val="5DBE305A"/>
    <w:rsid w:val="5DF33D20"/>
    <w:rsid w:val="5E1849EE"/>
    <w:rsid w:val="5ECE0C99"/>
    <w:rsid w:val="5EDB6FBA"/>
    <w:rsid w:val="5F7D55BA"/>
    <w:rsid w:val="5FEA016C"/>
    <w:rsid w:val="601E603C"/>
    <w:rsid w:val="60E173FF"/>
    <w:rsid w:val="61435156"/>
    <w:rsid w:val="619523A6"/>
    <w:rsid w:val="61B067D3"/>
    <w:rsid w:val="624C6651"/>
    <w:rsid w:val="62E66850"/>
    <w:rsid w:val="6304198A"/>
    <w:rsid w:val="63467B6E"/>
    <w:rsid w:val="63546E84"/>
    <w:rsid w:val="64056CA7"/>
    <w:rsid w:val="645D7336"/>
    <w:rsid w:val="64FD39BC"/>
    <w:rsid w:val="654805B8"/>
    <w:rsid w:val="65A80F95"/>
    <w:rsid w:val="66770C40"/>
    <w:rsid w:val="66A03F4A"/>
    <w:rsid w:val="67172DB2"/>
    <w:rsid w:val="674D7A09"/>
    <w:rsid w:val="678D29F1"/>
    <w:rsid w:val="68192323"/>
    <w:rsid w:val="694036BC"/>
    <w:rsid w:val="69A433E0"/>
    <w:rsid w:val="6B44508B"/>
    <w:rsid w:val="6B7E1913"/>
    <w:rsid w:val="6BF825B0"/>
    <w:rsid w:val="6C030941"/>
    <w:rsid w:val="6C25078E"/>
    <w:rsid w:val="6C4A05C8"/>
    <w:rsid w:val="6E3D05EC"/>
    <w:rsid w:val="6E5A4318"/>
    <w:rsid w:val="6E7E3605"/>
    <w:rsid w:val="6E8B036B"/>
    <w:rsid w:val="6EA27F90"/>
    <w:rsid w:val="6FAD1747"/>
    <w:rsid w:val="6FF5CC65"/>
    <w:rsid w:val="700E5D96"/>
    <w:rsid w:val="70A906E5"/>
    <w:rsid w:val="70E33D42"/>
    <w:rsid w:val="715C0E4B"/>
    <w:rsid w:val="71ED7A78"/>
    <w:rsid w:val="71F1067C"/>
    <w:rsid w:val="721C44EB"/>
    <w:rsid w:val="72734D90"/>
    <w:rsid w:val="72B10ABA"/>
    <w:rsid w:val="72D51F74"/>
    <w:rsid w:val="731F586B"/>
    <w:rsid w:val="73AD73D5"/>
    <w:rsid w:val="73B6EB34"/>
    <w:rsid w:val="73BE2DEE"/>
    <w:rsid w:val="73C50902"/>
    <w:rsid w:val="73E56A12"/>
    <w:rsid w:val="744731E5"/>
    <w:rsid w:val="749B605C"/>
    <w:rsid w:val="74F457F1"/>
    <w:rsid w:val="74F72EF3"/>
    <w:rsid w:val="750E639B"/>
    <w:rsid w:val="75186CAB"/>
    <w:rsid w:val="75A44310"/>
    <w:rsid w:val="75CB674E"/>
    <w:rsid w:val="761017F8"/>
    <w:rsid w:val="76381300"/>
    <w:rsid w:val="768E7B11"/>
    <w:rsid w:val="76DA24BD"/>
    <w:rsid w:val="76E3355F"/>
    <w:rsid w:val="773B556B"/>
    <w:rsid w:val="774614BE"/>
    <w:rsid w:val="77727D83"/>
    <w:rsid w:val="778769C8"/>
    <w:rsid w:val="77B10B6D"/>
    <w:rsid w:val="78306EBD"/>
    <w:rsid w:val="783F74EA"/>
    <w:rsid w:val="785712FB"/>
    <w:rsid w:val="787231A9"/>
    <w:rsid w:val="78941160"/>
    <w:rsid w:val="78C43EAD"/>
    <w:rsid w:val="79BA526E"/>
    <w:rsid w:val="79EE5BA4"/>
    <w:rsid w:val="79FF3C35"/>
    <w:rsid w:val="7A080CC1"/>
    <w:rsid w:val="7A894339"/>
    <w:rsid w:val="7B1B7885"/>
    <w:rsid w:val="7B2777EF"/>
    <w:rsid w:val="7B2D00E9"/>
    <w:rsid w:val="7B402043"/>
    <w:rsid w:val="7C237D3B"/>
    <w:rsid w:val="7CD868E1"/>
    <w:rsid w:val="7CDB7866"/>
    <w:rsid w:val="7D06473B"/>
    <w:rsid w:val="7E6305E6"/>
    <w:rsid w:val="7E7056FE"/>
    <w:rsid w:val="7E734104"/>
    <w:rsid w:val="7EEF11D3"/>
    <w:rsid w:val="7EEF3A4D"/>
    <w:rsid w:val="7F2406A4"/>
    <w:rsid w:val="7F2D3532"/>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4">
    <w:name w:val="WPSOffice手动目录 1"/>
    <w:uiPriority w:val="0"/>
    <w:pPr>
      <w:ind w:leftChars="0"/>
    </w:pPr>
    <w:rPr>
      <w:sz w:val="20"/>
      <w:szCs w:val="20"/>
    </w:rPr>
  </w:style>
  <w:style w:type="paragraph" w:customStyle="1" w:styleId="35">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决算收支总计</c:v>
                </c:pt>
              </c:strCache>
            </c:strRef>
          </c:tx>
          <c:spPr>
            <a:solidFill>
              <a:schemeClr val="accent1"/>
            </a:solidFill>
            <a:ln>
              <a:noFill/>
            </a:ln>
            <a:effectLst/>
          </c:spPr>
          <c:invertIfNegative val="0"/>
          <c:dLbls>
            <c:delete val="1"/>
          </c:dLbls>
          <c:cat>
            <c:strRef>
              <c:f>Sheet1!$A$2:$A$5</c:f>
              <c:strCache>
                <c:ptCount val="4"/>
                <c:pt idx="0">
                  <c:v>2022年</c:v>
                </c:pt>
                <c:pt idx="1">
                  <c:v>2021年</c:v>
                </c:pt>
              </c:strCache>
            </c:strRef>
          </c:cat>
          <c:val>
            <c:numRef>
              <c:f>Sheet1!$B$2:$B$5</c:f>
              <c:numCache>
                <c:formatCode>General</c:formatCode>
                <c:ptCount val="4"/>
                <c:pt idx="0">
                  <c:v>131.35</c:v>
                </c:pt>
                <c:pt idx="1">
                  <c:v>122.25</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2022年</c:v>
                </c:pt>
                <c:pt idx="1">
                  <c:v>2021年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2022年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42206372"/>
        <c:axId val="138031601"/>
      </c:barChart>
      <c:catAx>
        <c:axId val="1422063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031601"/>
        <c:crosses val="autoZero"/>
        <c:auto val="1"/>
        <c:lblAlgn val="ctr"/>
        <c:lblOffset val="100"/>
        <c:noMultiLvlLbl val="0"/>
      </c:catAx>
      <c:valAx>
        <c:axId val="1380316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22063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strCache>
            </c:strRef>
          </c:cat>
          <c:val>
            <c:numRef>
              <c:f>Sheet1!$B$2:$B$5</c:f>
              <c:numCache>
                <c:formatCode>General</c:formatCode>
                <c:ptCount val="4"/>
                <c:pt idx="0">
                  <c:v>131.35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111.75</c:v>
                </c:pt>
                <c:pt idx="1">
                  <c:v>19.6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财政拨款收支总计</c:v>
                </c:pt>
              </c:strCache>
            </c:strRef>
          </c:tx>
          <c:spPr>
            <a:solidFill>
              <a:schemeClr val="accent1"/>
            </a:solidFill>
            <a:ln>
              <a:noFill/>
            </a:ln>
            <a:effectLst/>
          </c:spPr>
          <c:invertIfNegative val="0"/>
          <c:dLbls>
            <c:delete val="1"/>
          </c:dLbls>
          <c:cat>
            <c:strRef>
              <c:f>Sheet1!$A$2:$A$5</c:f>
              <c:strCache>
                <c:ptCount val="4"/>
                <c:pt idx="0">
                  <c:v>2022年</c:v>
                </c:pt>
                <c:pt idx="1">
                  <c:v>2021年</c:v>
                </c:pt>
              </c:strCache>
            </c:strRef>
          </c:cat>
          <c:val>
            <c:numRef>
              <c:f>Sheet1!$B$2:$B$5</c:f>
              <c:numCache>
                <c:formatCode>General</c:formatCode>
                <c:ptCount val="4"/>
                <c:pt idx="0">
                  <c:v>131.35</c:v>
                </c:pt>
                <c:pt idx="1">
                  <c:v>122.25</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2022年</c:v>
                </c:pt>
                <c:pt idx="1">
                  <c:v>2021年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2022年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3814656"/>
        <c:axId val="25287572"/>
      </c:barChart>
      <c:catAx>
        <c:axId val="2038146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87572"/>
        <c:crosses val="autoZero"/>
        <c:auto val="1"/>
        <c:lblAlgn val="ctr"/>
        <c:lblOffset val="100"/>
        <c:noMultiLvlLbl val="0"/>
      </c:catAx>
      <c:valAx>
        <c:axId val="252875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814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strRef>
              <c:f>Sheet1!$A$2:$A$5</c:f>
              <c:strCache>
                <c:ptCount val="4"/>
                <c:pt idx="0">
                  <c:v>2022年</c:v>
                </c:pt>
                <c:pt idx="1">
                  <c:v>2021年</c:v>
                </c:pt>
              </c:strCache>
            </c:strRef>
          </c:cat>
          <c:val>
            <c:numRef>
              <c:f>Sheet1!$B$2:$B$5</c:f>
              <c:numCache>
                <c:formatCode>General</c:formatCode>
                <c:ptCount val="4"/>
                <c:pt idx="0">
                  <c:v>131.35</c:v>
                </c:pt>
                <c:pt idx="1">
                  <c:v>122.25</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2022年</c:v>
                </c:pt>
                <c:pt idx="1">
                  <c:v>2021年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2022年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71460164"/>
        <c:axId val="620587700"/>
      </c:barChart>
      <c:catAx>
        <c:axId val="6714601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587700"/>
        <c:crosses val="autoZero"/>
        <c:auto val="1"/>
        <c:lblAlgn val="ctr"/>
        <c:lblOffset val="100"/>
        <c:noMultiLvlLbl val="0"/>
      </c:catAx>
      <c:valAx>
        <c:axId val="6205877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4601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科学技术支出</c:v>
                </c:pt>
                <c:pt idx="1">
                  <c:v>社会保障和就业支出</c:v>
                </c:pt>
                <c:pt idx="2">
                  <c:v>卫生健康支出</c:v>
                </c:pt>
                <c:pt idx="3">
                  <c:v>住房保障支出</c:v>
                </c:pt>
              </c:strCache>
            </c:strRef>
          </c:cat>
          <c:val>
            <c:numRef>
              <c:f>Sheet1!$B$2:$B$5</c:f>
              <c:numCache>
                <c:formatCode>General</c:formatCode>
                <c:ptCount val="4"/>
                <c:pt idx="0">
                  <c:v>106.2</c:v>
                </c:pt>
                <c:pt idx="1">
                  <c:v>12.74</c:v>
                </c:pt>
                <c:pt idx="2">
                  <c:v>4.19</c:v>
                </c:pt>
                <c:pt idx="3">
                  <c:v>8.23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因公出国（境）经费</c:v>
                </c:pt>
                <c:pt idx="1">
                  <c:v>公务用车购置及运行维护费</c:v>
                </c:pt>
                <c:pt idx="2">
                  <c:v>公务接待费</c:v>
                </c:pt>
              </c:strCache>
            </c:strRef>
          </c:cat>
          <c:val>
            <c:numRef>
              <c:f>Sheet1!$B$2:$B$5</c:f>
              <c:numCache>
                <c:formatCode>General</c:formatCode>
                <c:ptCount val="4"/>
                <c:pt idx="0">
                  <c:v>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莓子</cp:lastModifiedBy>
  <cp:lastPrinted>2023-07-31T02:35:00Z</cp:lastPrinted>
  <dcterms:modified xsi:type="dcterms:W3CDTF">2023-08-29T02:50:15Z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11E8A82742B8493282A9BAAE730D4BD3</vt:lpwstr>
  </property>
</Properties>
</file>