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0" w:name="_Toc15396475"/>
      <w:bookmarkStart w:id="1" w:name="_Toc15396597"/>
      <w:bookmarkStart w:id="2" w:name="_Toc15377425"/>
      <w:bookmarkStart w:id="3" w:name="_Toc15378441"/>
      <w:bookmarkStart w:id="4" w:name="_Toc15377193"/>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5" w:name="_Toc15377426"/>
      <w:bookmarkStart w:id="6" w:name="_Toc15377194"/>
      <w:bookmarkStart w:id="7" w:name="_Toc15396476"/>
      <w:bookmarkStart w:id="8" w:name="_Toc15378442"/>
      <w:bookmarkStart w:id="9" w:name="_Toc15396598"/>
      <w:r>
        <w:rPr>
          <w:rFonts w:hint="eastAsia" w:ascii="方正小标宋简体" w:hAnsi="方正小标宋简体" w:eastAsia="方正小标宋简体" w:cs="方正小标宋简体"/>
          <w:color w:val="auto"/>
          <w:sz w:val="44"/>
          <w:szCs w:val="44"/>
          <w:highlight w:val="none"/>
        </w:rPr>
        <w:t>四川省</w:t>
      </w:r>
      <w:bookmarkStart w:id="10" w:name="_Toc15306268"/>
      <w:r>
        <w:rPr>
          <w:rFonts w:hint="eastAsia" w:ascii="方正小标宋简体" w:hAnsi="方正小标宋简体" w:eastAsia="方正小标宋简体" w:cs="方正小标宋简体"/>
          <w:color w:val="auto"/>
          <w:sz w:val="44"/>
          <w:szCs w:val="44"/>
          <w:highlight w:val="none"/>
          <w:lang w:eastAsia="zh-CN"/>
        </w:rPr>
        <w:t>资阳市雁江区畜牧中心决算</w:t>
      </w:r>
      <w:bookmarkEnd w:id="5"/>
      <w:bookmarkEnd w:id="6"/>
      <w:bookmarkEnd w:id="7"/>
      <w:bookmarkEnd w:id="8"/>
      <w:bookmarkEnd w:id="9"/>
      <w:bookmarkEnd w:id="10"/>
    </w:p>
    <w:p>
      <w:pPr>
        <w:adjustRightInd w:val="0"/>
        <w:snapToGrid w:val="0"/>
        <w:spacing w:line="360" w:lineRule="auto"/>
        <w:jc w:val="both"/>
        <w:outlineLvl w:val="0"/>
        <w:rPr>
          <w:rFonts w:ascii="方正小标宋简体" w:hAnsi="宋体" w:eastAsia="方正小标宋简体"/>
          <w:color w:val="auto"/>
          <w:sz w:val="52"/>
          <w:szCs w:val="52"/>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7"/>
        <w:rPr>
          <w:rFonts w:hint="eastAsia" w:ascii="Times New Roman" w:hAnsi="Times New Roman" w:eastAsia="宋体" w:cs="Times New Roman"/>
          <w:color w:val="auto"/>
          <w:kern w:val="2"/>
          <w:sz w:val="32"/>
          <w:szCs w:val="32"/>
          <w:highlight w:val="none"/>
          <w:lang w:val="en-US" w:eastAsia="zh-CN" w:bidi="ar-SA"/>
        </w:rPr>
      </w:pPr>
      <w:r>
        <w:rPr>
          <w:rFonts w:hint="eastAsia" w:ascii="Times New Roman" w:hAnsi="Times New Roman" w:eastAsia="宋体" w:cs="Times New Roman"/>
          <w:color w:val="auto"/>
          <w:kern w:val="2"/>
          <w:sz w:val="32"/>
          <w:szCs w:val="32"/>
          <w:highlight w:val="none"/>
          <w:lang w:val="en-US" w:eastAsia="zh-CN" w:bidi="ar-SA"/>
        </w:rPr>
        <w:t>公开时间：2023年8 月23 日</w:t>
      </w:r>
    </w:p>
    <w:p>
      <w:pPr>
        <w:rPr>
          <w:color w:val="auto"/>
          <w:highlight w:val="none"/>
        </w:rPr>
      </w:pPr>
    </w:p>
    <w:p>
      <w:pPr>
        <w:pStyle w:val="8"/>
        <w:keepNext w:val="0"/>
        <w:keepLines w:val="0"/>
        <w:pageBreakBefore w:val="0"/>
        <w:widowControl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 xml:space="preserve">第一部分 </w:t>
      </w:r>
      <w:r>
        <w:rPr>
          <w:rFonts w:hint="eastAsia"/>
          <w:color w:val="auto"/>
          <w:sz w:val="32"/>
          <w:szCs w:val="32"/>
          <w:highlight w:val="none"/>
          <w:lang w:eastAsia="zh-CN"/>
        </w:rPr>
        <w:t>单位</w:t>
      </w:r>
      <w:r>
        <w:rPr>
          <w:rFonts w:hint="eastAsia"/>
          <w:color w:val="auto"/>
          <w:sz w:val="32"/>
          <w:szCs w:val="32"/>
          <w:highlight w:val="none"/>
        </w:rPr>
        <w:t>概况</w:t>
      </w:r>
      <w:r>
        <w:rPr>
          <w:rFonts w:hint="eastAsia"/>
          <w:color w:val="auto"/>
          <w:sz w:val="32"/>
          <w:szCs w:val="32"/>
          <w:highlight w:val="none"/>
          <w:lang w:val="en-US" w:eastAsia="zh-CN"/>
        </w:rPr>
        <w:tab/>
      </w:r>
      <w:r>
        <w:rPr>
          <w:rFonts w:hint="eastAsia"/>
          <w:color w:val="auto"/>
          <w:sz w:val="32"/>
          <w:szCs w:val="32"/>
          <w:highlight w:val="none"/>
          <w:lang w:val="en-US" w:eastAsia="zh-CN"/>
        </w:rPr>
        <w:t>4</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lang w:val="en-US" w:eastAsia="zh-CN"/>
        </w:rPr>
      </w:pPr>
      <w:r>
        <w:rPr>
          <w:rFonts w:hint="eastAsia"/>
          <w:color w:val="auto"/>
          <w:sz w:val="32"/>
          <w:szCs w:val="32"/>
          <w:highlight w:val="none"/>
        </w:rPr>
        <w:t>一、</w:t>
      </w:r>
      <w:r>
        <w:rPr>
          <w:rFonts w:hint="eastAsia"/>
          <w:color w:val="auto"/>
          <w:sz w:val="32"/>
          <w:szCs w:val="32"/>
          <w:highlight w:val="none"/>
          <w:lang w:eastAsia="zh-CN"/>
        </w:rPr>
        <w:t>主要职责</w:t>
      </w:r>
      <w:r>
        <w:rPr>
          <w:rFonts w:hint="eastAsia"/>
          <w:color w:val="auto"/>
          <w:sz w:val="32"/>
          <w:szCs w:val="32"/>
          <w:highlight w:val="none"/>
          <w:lang w:val="en-US" w:eastAsia="zh-CN"/>
        </w:rPr>
        <w:tab/>
      </w:r>
      <w:r>
        <w:rPr>
          <w:rFonts w:hint="eastAsia"/>
          <w:color w:val="auto"/>
          <w:sz w:val="32"/>
          <w:szCs w:val="32"/>
          <w:highlight w:val="none"/>
          <w:lang w:val="en-US" w:eastAsia="zh-CN"/>
        </w:rPr>
        <w:t>4</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color w:val="auto"/>
          <w:sz w:val="32"/>
          <w:szCs w:val="32"/>
          <w:highlight w:val="none"/>
          <w:lang w:val="en-US" w:eastAsia="zh-CN"/>
        </w:rPr>
      </w:pPr>
      <w:r>
        <w:rPr>
          <w:rFonts w:hint="eastAsia"/>
          <w:color w:val="auto"/>
          <w:sz w:val="32"/>
          <w:szCs w:val="32"/>
          <w:highlight w:val="none"/>
          <w:lang w:eastAsia="zh-CN"/>
        </w:rPr>
        <w:t>二</w:t>
      </w:r>
      <w:r>
        <w:rPr>
          <w:rFonts w:hint="eastAsia"/>
          <w:color w:val="auto"/>
          <w:sz w:val="32"/>
          <w:szCs w:val="32"/>
          <w:highlight w:val="none"/>
        </w:rPr>
        <w:t>、</w:t>
      </w:r>
      <w:r>
        <w:rPr>
          <w:rFonts w:hint="eastAsia"/>
          <w:color w:val="auto"/>
          <w:sz w:val="32"/>
          <w:szCs w:val="32"/>
          <w:highlight w:val="none"/>
          <w:lang w:eastAsia="zh-CN"/>
        </w:rPr>
        <w:t>机构设置</w:t>
      </w:r>
      <w:r>
        <w:rPr>
          <w:rFonts w:hint="eastAsia"/>
          <w:color w:val="auto"/>
          <w:sz w:val="32"/>
          <w:szCs w:val="32"/>
          <w:highlight w:val="none"/>
          <w:lang w:val="en-US" w:eastAsia="zh-CN"/>
        </w:rPr>
        <w:tab/>
      </w:r>
      <w:r>
        <w:rPr>
          <w:rFonts w:hint="eastAsia"/>
          <w:color w:val="auto"/>
          <w:sz w:val="32"/>
          <w:szCs w:val="32"/>
          <w:highlight w:val="none"/>
          <w:lang w:val="en-US" w:eastAsia="zh-CN"/>
        </w:rPr>
        <w:t>4</w:t>
      </w:r>
    </w:p>
    <w:p>
      <w:pPr>
        <w:pStyle w:val="8"/>
        <w:keepNext w:val="0"/>
        <w:keepLines w:val="0"/>
        <w:pageBreakBefore w:val="0"/>
        <w:widowControl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第二部分</w:t>
      </w:r>
      <w:r>
        <w:rPr>
          <w:rFonts w:hint="eastAsia"/>
          <w:color w:val="auto"/>
          <w:sz w:val="32"/>
          <w:szCs w:val="32"/>
          <w:highlight w:val="none"/>
          <w:lang w:val="en-US" w:eastAsia="zh-CN"/>
        </w:rPr>
        <w:t xml:space="preserve"> 2022年度</w:t>
      </w:r>
      <w:r>
        <w:rPr>
          <w:rFonts w:hint="eastAsia"/>
          <w:color w:val="auto"/>
          <w:sz w:val="32"/>
          <w:szCs w:val="32"/>
          <w:highlight w:val="none"/>
          <w:lang w:eastAsia="zh-CN"/>
        </w:rPr>
        <w:t>单位</w:t>
      </w:r>
      <w:r>
        <w:rPr>
          <w:rFonts w:hint="eastAsia"/>
          <w:color w:val="auto"/>
          <w:sz w:val="32"/>
          <w:szCs w:val="32"/>
          <w:highlight w:val="none"/>
        </w:rPr>
        <w:t>决算情况</w:t>
      </w:r>
      <w:r>
        <w:rPr>
          <w:rFonts w:hint="eastAsia"/>
          <w:color w:val="auto"/>
          <w:sz w:val="32"/>
          <w:szCs w:val="32"/>
          <w:highlight w:val="none"/>
          <w:lang w:val="en-US" w:eastAsia="zh-CN"/>
        </w:rPr>
        <w:tab/>
      </w:r>
      <w:r>
        <w:rPr>
          <w:rFonts w:hint="eastAsia"/>
          <w:color w:val="auto"/>
          <w:sz w:val="32"/>
          <w:szCs w:val="32"/>
          <w:highlight w:val="none"/>
          <w:lang w:val="en-US" w:eastAsia="zh-CN"/>
        </w:rPr>
        <w:t>5</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一、收入支出决算总体情况说明</w:t>
      </w:r>
      <w:r>
        <w:rPr>
          <w:rFonts w:hint="eastAsia"/>
          <w:color w:val="auto"/>
          <w:sz w:val="32"/>
          <w:szCs w:val="32"/>
          <w:highlight w:val="none"/>
          <w:lang w:val="en-US" w:eastAsia="zh-CN"/>
        </w:rPr>
        <w:tab/>
      </w:r>
      <w:r>
        <w:rPr>
          <w:rFonts w:hint="eastAsia"/>
          <w:color w:val="auto"/>
          <w:sz w:val="32"/>
          <w:szCs w:val="32"/>
          <w:highlight w:val="none"/>
          <w:lang w:val="en-US" w:eastAsia="zh-CN"/>
        </w:rPr>
        <w:t>5</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二、收入决算情况说明</w:t>
      </w:r>
      <w:r>
        <w:rPr>
          <w:rFonts w:hint="eastAsia"/>
          <w:color w:val="auto"/>
          <w:sz w:val="32"/>
          <w:szCs w:val="32"/>
          <w:highlight w:val="none"/>
          <w:lang w:val="en-US" w:eastAsia="zh-CN"/>
        </w:rPr>
        <w:tab/>
      </w:r>
      <w:r>
        <w:rPr>
          <w:rFonts w:hint="eastAsia"/>
          <w:color w:val="auto"/>
          <w:sz w:val="32"/>
          <w:szCs w:val="32"/>
          <w:highlight w:val="none"/>
          <w:lang w:val="en-US" w:eastAsia="zh-CN"/>
        </w:rPr>
        <w:t>5</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三、支出决算情况说明</w:t>
      </w:r>
      <w:r>
        <w:rPr>
          <w:rFonts w:hint="eastAsia"/>
          <w:color w:val="auto"/>
          <w:sz w:val="32"/>
          <w:szCs w:val="32"/>
          <w:highlight w:val="none"/>
          <w:lang w:val="en-US" w:eastAsia="zh-CN"/>
        </w:rPr>
        <w:tab/>
      </w:r>
      <w:r>
        <w:rPr>
          <w:rFonts w:hint="eastAsia"/>
          <w:color w:val="auto"/>
          <w:sz w:val="32"/>
          <w:szCs w:val="32"/>
          <w:highlight w:val="none"/>
          <w:lang w:val="en-US" w:eastAsia="zh-CN"/>
        </w:rPr>
        <w:t>6</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四、财政拨款收入支出决算总体情况说明</w:t>
      </w:r>
      <w:r>
        <w:rPr>
          <w:rFonts w:hint="eastAsia"/>
          <w:color w:val="auto"/>
          <w:sz w:val="32"/>
          <w:szCs w:val="32"/>
          <w:highlight w:val="none"/>
          <w:lang w:val="en-US" w:eastAsia="zh-CN"/>
        </w:rPr>
        <w:tab/>
      </w:r>
      <w:r>
        <w:rPr>
          <w:rFonts w:hint="eastAsia"/>
          <w:color w:val="auto"/>
          <w:sz w:val="32"/>
          <w:szCs w:val="32"/>
          <w:highlight w:val="none"/>
          <w:lang w:val="en-US" w:eastAsia="zh-CN"/>
        </w:rPr>
        <w:t>7</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五、一般公共预算财政拨款支出决算情况说明</w:t>
      </w:r>
      <w:r>
        <w:rPr>
          <w:rFonts w:hint="eastAsia"/>
          <w:color w:val="auto"/>
          <w:sz w:val="32"/>
          <w:szCs w:val="32"/>
          <w:highlight w:val="none"/>
          <w:lang w:val="en-US" w:eastAsia="zh-CN"/>
        </w:rPr>
        <w:tab/>
      </w:r>
      <w:r>
        <w:rPr>
          <w:rFonts w:hint="eastAsia"/>
          <w:color w:val="auto"/>
          <w:sz w:val="32"/>
          <w:szCs w:val="32"/>
          <w:highlight w:val="none"/>
          <w:lang w:val="en-US" w:eastAsia="zh-CN"/>
        </w:rPr>
        <w:t>8</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六、一般公共预算财政拨款基本支出决算情况说明</w:t>
      </w:r>
      <w:r>
        <w:rPr>
          <w:rFonts w:hint="eastAsia"/>
          <w:color w:val="auto"/>
          <w:sz w:val="32"/>
          <w:szCs w:val="32"/>
          <w:highlight w:val="none"/>
          <w:lang w:val="en-US" w:eastAsia="zh-CN"/>
        </w:rPr>
        <w:tab/>
      </w:r>
      <w:r>
        <w:rPr>
          <w:rFonts w:hint="eastAsia"/>
          <w:color w:val="auto"/>
          <w:sz w:val="32"/>
          <w:szCs w:val="32"/>
          <w:highlight w:val="none"/>
          <w:lang w:val="en-US" w:eastAsia="zh-CN"/>
        </w:rPr>
        <w:t>11</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七、财政拨款</w:t>
      </w:r>
      <w:r>
        <w:rPr>
          <w:rFonts w:hint="eastAsia"/>
          <w:color w:val="auto"/>
          <w:sz w:val="32"/>
          <w:szCs w:val="32"/>
          <w:highlight w:val="none"/>
          <w:lang w:eastAsia="zh-CN"/>
        </w:rPr>
        <w:t>“</w:t>
      </w:r>
      <w:r>
        <w:rPr>
          <w:rFonts w:hint="eastAsia"/>
          <w:color w:val="auto"/>
          <w:sz w:val="32"/>
          <w:szCs w:val="32"/>
          <w:highlight w:val="none"/>
        </w:rPr>
        <w:t>三公”经费支出决算情况说明</w:t>
      </w:r>
      <w:r>
        <w:rPr>
          <w:rFonts w:hint="eastAsia"/>
          <w:color w:val="auto"/>
          <w:sz w:val="32"/>
          <w:szCs w:val="32"/>
          <w:highlight w:val="none"/>
          <w:lang w:val="en-US" w:eastAsia="zh-CN"/>
        </w:rPr>
        <w:tab/>
      </w:r>
      <w:r>
        <w:rPr>
          <w:rFonts w:hint="eastAsia"/>
          <w:color w:val="auto"/>
          <w:sz w:val="32"/>
          <w:szCs w:val="32"/>
          <w:highlight w:val="none"/>
          <w:lang w:val="en-US" w:eastAsia="zh-CN"/>
        </w:rPr>
        <w:t>11</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八、政府性基金预算支出决算情况说明</w:t>
      </w:r>
      <w:r>
        <w:rPr>
          <w:rFonts w:hint="eastAsia"/>
          <w:color w:val="auto"/>
          <w:sz w:val="32"/>
          <w:szCs w:val="32"/>
          <w:highlight w:val="none"/>
          <w:lang w:val="en-US" w:eastAsia="zh-CN"/>
        </w:rPr>
        <w:tab/>
      </w:r>
      <w:r>
        <w:rPr>
          <w:rFonts w:hint="eastAsia"/>
          <w:color w:val="auto"/>
          <w:sz w:val="32"/>
          <w:szCs w:val="32"/>
          <w:highlight w:val="none"/>
          <w:lang w:val="en-US" w:eastAsia="zh-CN"/>
        </w:rPr>
        <w:t>13</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九、国有资本经营预算支出决算情况说明</w:t>
      </w:r>
      <w:r>
        <w:rPr>
          <w:rFonts w:hint="eastAsia"/>
          <w:color w:val="auto"/>
          <w:sz w:val="32"/>
          <w:szCs w:val="32"/>
          <w:highlight w:val="none"/>
          <w:lang w:val="en-US" w:eastAsia="zh-CN"/>
        </w:rPr>
        <w:tab/>
      </w:r>
      <w:r>
        <w:rPr>
          <w:rFonts w:hint="eastAsia"/>
          <w:color w:val="auto"/>
          <w:sz w:val="32"/>
          <w:szCs w:val="32"/>
          <w:highlight w:val="none"/>
          <w:lang w:val="en-US" w:eastAsia="zh-CN"/>
        </w:rPr>
        <w:t>13</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十、其他重要事项的情况说明</w:t>
      </w:r>
      <w:r>
        <w:rPr>
          <w:rFonts w:hint="eastAsia"/>
          <w:color w:val="auto"/>
          <w:sz w:val="32"/>
          <w:szCs w:val="32"/>
          <w:highlight w:val="none"/>
          <w:lang w:val="en-US" w:eastAsia="zh-CN"/>
        </w:rPr>
        <w:tab/>
      </w:r>
      <w:r>
        <w:rPr>
          <w:rFonts w:hint="eastAsia"/>
          <w:color w:val="auto"/>
          <w:sz w:val="32"/>
          <w:szCs w:val="32"/>
          <w:highlight w:val="none"/>
          <w:lang w:val="en-US" w:eastAsia="zh-CN"/>
        </w:rPr>
        <w:t>13</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第三部分 名词解释</w:t>
      </w:r>
      <w:r>
        <w:rPr>
          <w:rFonts w:hint="eastAsia"/>
          <w:color w:val="auto"/>
          <w:sz w:val="32"/>
          <w:szCs w:val="32"/>
          <w:highlight w:val="none"/>
          <w:lang w:val="en-US" w:eastAsia="zh-CN"/>
        </w:rPr>
        <w:tab/>
      </w:r>
      <w:r>
        <w:rPr>
          <w:rFonts w:hint="eastAsia"/>
          <w:color w:val="auto"/>
          <w:sz w:val="32"/>
          <w:szCs w:val="32"/>
          <w:highlight w:val="none"/>
          <w:lang w:val="en-US" w:eastAsia="zh-CN"/>
        </w:rPr>
        <w:t>15</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第四部分 附件</w:t>
      </w:r>
      <w:r>
        <w:rPr>
          <w:rFonts w:hint="eastAsia"/>
          <w:color w:val="auto"/>
          <w:sz w:val="32"/>
          <w:szCs w:val="32"/>
          <w:highlight w:val="none"/>
          <w:lang w:val="en-US" w:eastAsia="zh-CN"/>
        </w:rPr>
        <w:tab/>
      </w:r>
      <w:r>
        <w:rPr>
          <w:rFonts w:hint="eastAsia"/>
          <w:color w:val="auto"/>
          <w:sz w:val="32"/>
          <w:szCs w:val="32"/>
          <w:highlight w:val="none"/>
          <w:lang w:val="en-US" w:eastAsia="zh-CN"/>
        </w:rPr>
        <w:t>19</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第五部分 附表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widowControl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24"/>
          <w:highlight w:val="none"/>
          <w:lang w:val="en-US" w:eastAsia="zh-CN"/>
        </w:rPr>
      </w:pPr>
      <w:r>
        <w:rPr>
          <w:rFonts w:hint="eastAsia"/>
          <w:color w:val="auto"/>
          <w:sz w:val="32"/>
          <w:szCs w:val="32"/>
          <w:highlight w:val="none"/>
        </w:rPr>
        <w:t>一、收入支出决算总表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二、收入决算表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三、支出决算表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四、财政拨款收入支出决算总表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五、财政拨款支出决算明细表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六、一般公共预算财政拨款支出决算表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七、一般公共预算财政拨款支出决算明细表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八、一般公共预算财政拨款基本支出决算</w:t>
      </w:r>
      <w:r>
        <w:rPr>
          <w:rFonts w:hint="eastAsia"/>
          <w:color w:val="auto"/>
          <w:sz w:val="32"/>
          <w:szCs w:val="32"/>
          <w:highlight w:val="none"/>
          <w:lang w:eastAsia="zh-CN"/>
        </w:rPr>
        <w:t>明细</w:t>
      </w:r>
      <w:r>
        <w:rPr>
          <w:rFonts w:hint="eastAsia"/>
          <w:color w:val="auto"/>
          <w:sz w:val="32"/>
          <w:szCs w:val="32"/>
          <w:highlight w:val="none"/>
        </w:rPr>
        <w:t>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九、一般公共预算财政拨款项目支出决算表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十、政府性基金预算财政拨款收入支出决算表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十一、国有资本经营预算财政拨款收入支出决算表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color w:val="auto"/>
          <w:sz w:val="32"/>
          <w:szCs w:val="32"/>
          <w:highlight w:val="none"/>
          <w:lang w:val="en-US"/>
        </w:rPr>
      </w:pPr>
      <w:r>
        <w:rPr>
          <w:rFonts w:hint="eastAsia"/>
          <w:color w:val="auto"/>
          <w:sz w:val="32"/>
          <w:szCs w:val="32"/>
          <w:highlight w:val="none"/>
        </w:rPr>
        <w:t>十二、</w:t>
      </w:r>
      <w:r>
        <w:rPr>
          <w:rFonts w:hint="eastAsia"/>
          <w:color w:val="auto"/>
          <w:sz w:val="32"/>
          <w:szCs w:val="32"/>
          <w:highlight w:val="none"/>
          <w:lang w:val="en-US" w:eastAsia="zh-CN"/>
        </w:rPr>
        <w:t>国有资本经营预算财政拨款支出决算表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pStyle w:val="8"/>
        <w:keepNext w:val="0"/>
        <w:keepLines w:val="0"/>
        <w:pageBreakBefore w:val="0"/>
        <w:tabs>
          <w:tab w:val="right" w:leader="dot" w:pos="7980"/>
          <w:tab w:val="right" w:pos="8296"/>
        </w:tabs>
        <w:kinsoku/>
        <w:wordWrap/>
        <w:overflowPunct/>
        <w:topLinePunct w:val="0"/>
        <w:autoSpaceDE/>
        <w:autoSpaceDN/>
        <w:bidi w:val="0"/>
        <w:adjustRightInd w:val="0"/>
        <w:snapToGrid w:val="0"/>
        <w:spacing w:line="600" w:lineRule="exact"/>
        <w:jc w:val="left"/>
        <w:textAlignment w:val="auto"/>
        <w:rPr>
          <w:rFonts w:hint="default" w:eastAsia="宋体"/>
          <w:color w:val="auto"/>
          <w:sz w:val="32"/>
          <w:szCs w:val="32"/>
          <w:highlight w:val="none"/>
          <w:lang w:val="en-US" w:eastAsia="zh-CN"/>
        </w:rPr>
      </w:pPr>
      <w:r>
        <w:rPr>
          <w:rFonts w:hint="eastAsia"/>
          <w:color w:val="auto"/>
          <w:sz w:val="32"/>
          <w:szCs w:val="32"/>
          <w:highlight w:val="none"/>
        </w:rPr>
        <w:t>十三、财政拨款“三公”经费支出决算表</w:t>
      </w:r>
      <w:r>
        <w:rPr>
          <w:rFonts w:hint="eastAsia"/>
          <w:color w:val="auto"/>
          <w:sz w:val="32"/>
          <w:szCs w:val="32"/>
          <w:highlight w:val="none"/>
          <w:lang w:val="en-US" w:eastAsia="zh-CN"/>
        </w:rPr>
        <w:tab/>
      </w:r>
      <w:r>
        <w:rPr>
          <w:rFonts w:hint="eastAsia"/>
          <w:color w:val="auto"/>
          <w:sz w:val="32"/>
          <w:szCs w:val="32"/>
          <w:highlight w:val="none"/>
          <w:lang w:val="en-US" w:eastAsia="zh-CN"/>
        </w:rPr>
        <w:t>20</w:t>
      </w:r>
    </w:p>
    <w:p>
      <w:pPr>
        <w:keepNext w:val="0"/>
        <w:keepLines w:val="0"/>
        <w:pageBreakBefore w:val="0"/>
        <w:widowControl/>
        <w:tabs>
          <w:tab w:val="right" w:leader="dot" w:pos="7980"/>
          <w:tab w:val="right" w:pos="8296"/>
        </w:tabs>
        <w:kinsoku/>
        <w:wordWrap/>
        <w:overflowPunct/>
        <w:topLinePunct w:val="0"/>
        <w:autoSpaceDE/>
        <w:autoSpaceDN/>
        <w:bidi w:val="0"/>
        <w:spacing w:line="600" w:lineRule="exact"/>
        <w:jc w:val="left"/>
        <w:textAlignment w:val="auto"/>
        <w:rPr>
          <w:rFonts w:ascii="仿宋" w:hAnsi="仿宋" w:eastAsia="仿宋"/>
          <w:bCs/>
          <w:color w:val="auto"/>
          <w:kern w:val="44"/>
          <w:sz w:val="24"/>
          <w:highlight w:val="none"/>
        </w:rPr>
      </w:pPr>
      <w:bookmarkStart w:id="11" w:name="_Toc15396599"/>
      <w:bookmarkStart w:id="12" w:name="_Toc15377196"/>
      <w:r>
        <w:rPr>
          <w:rFonts w:ascii="仿宋" w:hAnsi="仿宋" w:eastAsia="仿宋"/>
          <w:b/>
          <w:color w:val="auto"/>
          <w:sz w:val="24"/>
          <w:highlight w:val="none"/>
        </w:rPr>
        <w:br w:type="page"/>
      </w:r>
    </w:p>
    <w:p>
      <w:pPr>
        <w:pStyle w:val="3"/>
        <w:jc w:val="center"/>
        <w:rPr>
          <w:rStyle w:val="12"/>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12"/>
          <w:rFonts w:hint="eastAsia" w:ascii="黑体" w:hAnsi="黑体" w:eastAsia="黑体"/>
          <w:b w:val="0"/>
          <w:bCs w:val="0"/>
          <w:color w:val="auto"/>
          <w:highlight w:val="none"/>
        </w:rPr>
        <w:t>概况</w:t>
      </w:r>
      <w:bookmarkEnd w:id="11"/>
      <w:bookmarkEnd w:id="12"/>
    </w:p>
    <w:p>
      <w:pPr>
        <w:widowControl/>
        <w:jc w:val="left"/>
        <w:rPr>
          <w:rFonts w:ascii="黑体" w:eastAsia="黑体"/>
          <w:color w:val="auto"/>
          <w:sz w:val="32"/>
          <w:szCs w:val="32"/>
          <w:highlight w:val="none"/>
        </w:rPr>
      </w:pPr>
    </w:p>
    <w:p>
      <w:pPr>
        <w:pStyle w:val="4"/>
        <w:numPr>
          <w:ilvl w:val="0"/>
          <w:numId w:val="1"/>
        </w:numPr>
        <w:rPr>
          <w:rStyle w:val="13"/>
          <w:rFonts w:hint="eastAsia" w:ascii="黑体" w:hAnsi="黑体" w:eastAsia="黑体"/>
          <w:b w:val="0"/>
          <w:bCs w:val="0"/>
          <w:color w:val="auto"/>
          <w:highlight w:val="none"/>
          <w:lang w:eastAsia="zh-CN"/>
        </w:rPr>
      </w:pPr>
      <w:bookmarkStart w:id="13" w:name="_Toc15396600"/>
      <w:bookmarkStart w:id="14" w:name="_Toc15377197"/>
      <w:r>
        <w:rPr>
          <w:rStyle w:val="13"/>
          <w:rFonts w:hint="eastAsia" w:ascii="黑体" w:hAnsi="黑体" w:eastAsia="黑体"/>
          <w:b w:val="0"/>
          <w:bCs w:val="0"/>
          <w:color w:val="auto"/>
          <w:highlight w:val="none"/>
          <w:lang w:eastAsia="zh-CN"/>
        </w:rPr>
        <w:t>主要职责</w:t>
      </w:r>
    </w:p>
    <w:p>
      <w:pPr>
        <w:ind w:firstLine="640" w:firstLineChars="200"/>
        <w:rPr>
          <w:rFonts w:hint="eastAsia" w:ascii="仿宋" w:hAnsi="仿宋" w:eastAsia="仿宋"/>
          <w:sz w:val="32"/>
          <w:szCs w:val="32"/>
        </w:rPr>
      </w:pPr>
      <w:r>
        <w:rPr>
          <w:rFonts w:hint="eastAsia" w:ascii="仿宋" w:hAnsi="仿宋" w:eastAsia="仿宋"/>
          <w:sz w:val="32"/>
          <w:szCs w:val="32"/>
        </w:rPr>
        <w:t>依法承担行政区域内动物防疫和强制免疫的组织实施，动物疫情调查、监测与报告；履行畜牧业生产先进实用技术的推广和畜禽新品种的引种、试验、示范、草原管理，生产统计等公益性职能；承担动物卫生和动物产品的检疫、兽药和饲料等养殖投入品的监督管理等职责。</w:t>
      </w:r>
    </w:p>
    <w:p>
      <w:pPr>
        <w:pStyle w:val="4"/>
        <w:numPr>
          <w:ilvl w:val="0"/>
          <w:numId w:val="1"/>
        </w:numPr>
        <w:ind w:left="0" w:leftChars="0" w:firstLine="0" w:firstLineChars="0"/>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机构设置</w:t>
      </w:r>
    </w:p>
    <w:p>
      <w:pPr>
        <w:snapToGrid w:val="0"/>
        <w:spacing w:line="5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资阳市雁江区畜牧中心是独立核算的一级预算事业单位，分别由资阳市雁江区动物疫病预防控制中心和本畜牧中心组成。人员编制共19人,其中：资阳市雁江区动物疫病预防控制中心编制16人和本中心编制3人。年末实有人数共15人, 其中：资阳市雁江区动物疫病预防控制中心13人和本中心2人；比上年减少1人。2022调出1人；遗嘱人员2人。享受独生子女政策1人。</w:t>
      </w:r>
    </w:p>
    <w:p>
      <w:pPr>
        <w:snapToGrid w:val="0"/>
        <w:spacing w:line="520" w:lineRule="exact"/>
        <w:ind w:firstLine="640" w:firstLineChars="200"/>
        <w:rPr>
          <w:rFonts w:hint="eastAsia" w:ascii="仿宋" w:hAnsi="仿宋" w:eastAsia="仿宋"/>
          <w:sz w:val="32"/>
          <w:szCs w:val="32"/>
          <w:lang w:val="en-US" w:eastAsia="zh-CN"/>
        </w:rPr>
      </w:pPr>
    </w:p>
    <w:p>
      <w:pPr>
        <w:numPr>
          <w:ilvl w:val="0"/>
          <w:numId w:val="0"/>
        </w:numPr>
        <w:ind w:leftChars="0"/>
        <w:rPr>
          <w:rFonts w:hint="eastAsia"/>
          <w:lang w:val="en-US" w:eastAsia="zh-CN"/>
        </w:rPr>
      </w:pPr>
    </w:p>
    <w:bookmarkEnd w:id="13"/>
    <w:bookmarkEnd w:id="14"/>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12"/>
          <w:rFonts w:ascii="黑体" w:hAnsi="黑体" w:eastAsia="黑体"/>
          <w:b w:val="0"/>
          <w:bCs/>
          <w:color w:val="auto"/>
          <w:highlight w:val="none"/>
        </w:rPr>
      </w:pPr>
      <w:bookmarkStart w:id="15" w:name="_Toc15377204"/>
      <w:bookmarkStart w:id="16"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12"/>
          <w:rFonts w:hint="eastAsia" w:ascii="黑体" w:hAnsi="黑体" w:eastAsia="黑体"/>
          <w:b w:val="0"/>
          <w:bCs/>
          <w:color w:val="auto"/>
          <w:highlight w:val="none"/>
          <w:lang w:eastAsia="zh-CN"/>
        </w:rPr>
        <w:t>单位</w:t>
      </w:r>
      <w:r>
        <w:rPr>
          <w:rStyle w:val="12"/>
          <w:rFonts w:hint="eastAsia" w:ascii="黑体" w:hAnsi="黑体" w:eastAsia="黑体"/>
          <w:b w:val="0"/>
          <w:bCs/>
          <w:color w:val="auto"/>
          <w:highlight w:val="none"/>
        </w:rPr>
        <w:t>决算情况说明</w:t>
      </w:r>
      <w:bookmarkEnd w:id="15"/>
      <w:bookmarkEnd w:id="16"/>
    </w:p>
    <w:p>
      <w:pPr>
        <w:rPr>
          <w:color w:val="auto"/>
          <w:highlight w:val="none"/>
        </w:rPr>
      </w:pPr>
    </w:p>
    <w:p>
      <w:pPr>
        <w:pStyle w:val="14"/>
        <w:numPr>
          <w:ilvl w:val="0"/>
          <w:numId w:val="2"/>
        </w:numPr>
        <w:spacing w:line="600" w:lineRule="exact"/>
        <w:ind w:firstLineChars="0"/>
        <w:outlineLvl w:val="1"/>
        <w:rPr>
          <w:rStyle w:val="13"/>
          <w:rFonts w:ascii="黑体" w:hAnsi="黑体" w:eastAsia="黑体"/>
          <w:b w:val="0"/>
          <w:color w:val="auto"/>
          <w:highlight w:val="none"/>
        </w:rPr>
      </w:pPr>
      <w:bookmarkStart w:id="17" w:name="_Toc15396603"/>
      <w:bookmarkStart w:id="18" w:name="_Toc15377205"/>
      <w:r>
        <w:rPr>
          <w:rFonts w:hint="eastAsia" w:ascii="黑体" w:hAnsi="黑体" w:eastAsia="黑体"/>
          <w:color w:val="auto"/>
          <w:sz w:val="32"/>
          <w:szCs w:val="32"/>
          <w:highlight w:val="none"/>
        </w:rPr>
        <w:t>收</w:t>
      </w:r>
      <w:r>
        <w:rPr>
          <w:rStyle w:val="13"/>
          <w:rFonts w:hint="eastAsia" w:ascii="黑体" w:hAnsi="黑体" w:eastAsia="黑体"/>
          <w:b w:val="0"/>
          <w:color w:val="auto"/>
          <w:highlight w:val="none"/>
        </w:rPr>
        <w:t>入支出决算总体情况说明</w:t>
      </w:r>
      <w:bookmarkEnd w:id="17"/>
      <w:bookmarkEnd w:id="18"/>
    </w:p>
    <w:p>
      <w:pPr>
        <w:snapToGrid w:val="0"/>
        <w:spacing w:line="520" w:lineRule="exact"/>
        <w:ind w:firstLine="640" w:firstLineChars="200"/>
        <w:rPr>
          <w:rFonts w:hint="eastAsia" w:ascii="仿宋" w:hAnsi="仿宋" w:eastAsia="仿宋"/>
          <w:sz w:val="32"/>
          <w:szCs w:val="32"/>
          <w:lang w:val="en-US" w:eastAsia="zh-CN"/>
        </w:rPr>
      </w:pPr>
      <w:r>
        <w:rPr>
          <w:rFonts w:hint="eastAsia" w:ascii="仿宋" w:hAnsi="仿宋" w:eastAsia="仿宋" w:cs="Times New Roman"/>
          <w:sz w:val="32"/>
          <w:szCs w:val="32"/>
          <w:lang w:val="en-US" w:eastAsia="zh-CN"/>
        </w:rPr>
        <w:t>资阳市雁江区畜牧中心2022年收入331.29万元、支出331.29万元，2022年初预算安排225.4万元，与2021年</w:t>
      </w:r>
      <w:r>
        <w:rPr>
          <w:rFonts w:hint="eastAsia" w:ascii="仿宋" w:hAnsi="仿宋" w:eastAsia="仿宋" w:cs="Times New Roman"/>
          <w:sz w:val="32"/>
          <w:szCs w:val="32"/>
          <w:highlight w:val="none"/>
          <w:lang w:val="en-US" w:eastAsia="zh-CN"/>
        </w:rPr>
        <w:t>收入</w:t>
      </w:r>
      <w:r>
        <w:rPr>
          <w:rFonts w:hint="eastAsia" w:ascii="仿宋" w:hAnsi="仿宋" w:eastAsia="仿宋" w:cs="Times New Roman"/>
          <w:sz w:val="32"/>
          <w:szCs w:val="32"/>
          <w:lang w:val="en-US" w:eastAsia="zh-CN"/>
        </w:rPr>
        <w:t>562.9</w:t>
      </w:r>
      <w:r>
        <w:rPr>
          <w:rFonts w:hint="eastAsia" w:ascii="仿宋" w:hAnsi="仿宋" w:eastAsia="仿宋" w:cs="Times New Roman"/>
          <w:sz w:val="32"/>
          <w:szCs w:val="32"/>
          <w:highlight w:val="none"/>
          <w:lang w:val="en-US" w:eastAsia="zh-CN"/>
        </w:rPr>
        <w:t>万元、支出562.9万元、2021年年初</w:t>
      </w:r>
      <w:r>
        <w:rPr>
          <w:rFonts w:hint="eastAsia" w:ascii="仿宋" w:hAnsi="仿宋" w:eastAsia="仿宋" w:cs="Times New Roman"/>
          <w:sz w:val="32"/>
          <w:szCs w:val="32"/>
          <w:lang w:val="en-US" w:eastAsia="zh-CN"/>
        </w:rPr>
        <w:t>预算576万元对比，2022年收入、支出比2021年收入、支出减少231.61万元，下降42%，2022年年初预算与2021年年初预算相比减少350.6万元，比2021年下降61%。</w:t>
      </w:r>
      <w:r>
        <w:rPr>
          <w:rFonts w:hint="eastAsia" w:ascii="仿宋" w:hAnsi="仿宋" w:eastAsia="仿宋"/>
          <w:sz w:val="32"/>
          <w:szCs w:val="32"/>
          <w:lang w:val="en-US" w:eastAsia="zh-CN"/>
        </w:rPr>
        <w:t>主要原因是</w:t>
      </w:r>
      <w:r>
        <w:rPr>
          <w:rFonts w:hint="eastAsia" w:ascii="仿宋" w:hAnsi="仿宋" w:eastAsia="仿宋"/>
          <w:sz w:val="32"/>
          <w:szCs w:val="32"/>
        </w:rPr>
        <w:t>资阳市雁江区动物卫生监督所</w:t>
      </w:r>
      <w:r>
        <w:rPr>
          <w:rFonts w:hint="eastAsia" w:ascii="仿宋" w:hAnsi="仿宋" w:eastAsia="仿宋"/>
          <w:sz w:val="32"/>
          <w:szCs w:val="32"/>
          <w:lang w:val="en-US" w:eastAsia="zh-CN"/>
        </w:rPr>
        <w:t>2021年机构划转并入资阳市雁江区农业农村局26人员调出、退休。</w:t>
      </w:r>
    </w:p>
    <w:p>
      <w:pPr>
        <w:pStyle w:val="2"/>
        <w:rPr>
          <w:rFonts w:hint="eastAsia" w:ascii="仿宋" w:hAnsi="仿宋" w:eastAsia="仿宋" w:cs="Times New Roman"/>
          <w:sz w:val="32"/>
          <w:szCs w:val="32"/>
          <w:lang w:val="en-US" w:eastAsia="zh-CN"/>
        </w:rPr>
      </w:pPr>
      <w:r>
        <w:rPr>
          <w:rFonts w:hint="eastAsia" w:eastAsia="宋体"/>
          <w:lang w:eastAsia="zh-CN"/>
        </w:rPr>
        <w:drawing>
          <wp:inline distT="0" distB="0" distL="114300" distR="114300">
            <wp:extent cx="5128895" cy="3001645"/>
            <wp:effectExtent l="4445" t="4445" r="17780" b="1143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14"/>
        <w:numPr>
          <w:ilvl w:val="0"/>
          <w:numId w:val="0"/>
        </w:numPr>
        <w:spacing w:line="600" w:lineRule="exact"/>
        <w:outlineLvl w:val="1"/>
        <w:rPr>
          <w:rStyle w:val="13"/>
          <w:rFonts w:ascii="黑体" w:hAnsi="黑体" w:eastAsia="黑体"/>
          <w:b w:val="0"/>
          <w:color w:val="auto"/>
          <w:highlight w:val="none"/>
        </w:rPr>
      </w:pPr>
      <w:bookmarkStart w:id="19" w:name="_Toc15377206"/>
      <w:bookmarkStart w:id="20" w:name="_Toc15396604"/>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13"/>
          <w:rFonts w:hint="eastAsia" w:ascii="黑体" w:hAnsi="黑体" w:eastAsia="黑体"/>
          <w:b w:val="0"/>
          <w:color w:val="auto"/>
          <w:highlight w:val="none"/>
        </w:rPr>
        <w:t>入决算情况说明</w:t>
      </w:r>
      <w:bookmarkEnd w:id="19"/>
      <w:bookmarkEnd w:id="20"/>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331.29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331.29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211445" cy="3451860"/>
            <wp:effectExtent l="5080" t="4445" r="10795" b="184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1600" w:firstLineChars="5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14"/>
        <w:numPr>
          <w:ilvl w:val="0"/>
          <w:numId w:val="0"/>
        </w:numPr>
        <w:spacing w:line="600" w:lineRule="exact"/>
        <w:ind w:firstLine="320" w:firstLineChars="100"/>
        <w:outlineLvl w:val="1"/>
        <w:rPr>
          <w:rStyle w:val="13"/>
          <w:rFonts w:ascii="黑体" w:hAnsi="黑体" w:eastAsia="黑体"/>
          <w:b w:val="0"/>
          <w:color w:val="auto"/>
          <w:highlight w:val="none"/>
        </w:rPr>
      </w:pPr>
      <w:bookmarkStart w:id="21" w:name="_Toc15396605"/>
      <w:bookmarkStart w:id="22" w:name="_Toc15377207"/>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13"/>
          <w:rFonts w:hint="eastAsia" w:ascii="黑体" w:hAnsi="黑体" w:eastAsia="黑体"/>
          <w:b w:val="0"/>
          <w:color w:val="auto"/>
          <w:highlight w:val="none"/>
        </w:rPr>
        <w:t>出决算情况说明</w:t>
      </w:r>
      <w:bookmarkEnd w:id="21"/>
      <w:bookmarkEnd w:id="22"/>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331.29</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331.29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rPr>
          <w:rFonts w:ascii="仿宋" w:hAnsi="仿宋" w:eastAsia="仿宋"/>
          <w:color w:val="auto"/>
          <w:sz w:val="32"/>
          <w:szCs w:val="32"/>
          <w:highlight w:val="none"/>
          <w:shd w:val="pct10" w:color="auto" w:fill="FFFFFF"/>
        </w:rPr>
      </w:pPr>
    </w:p>
    <w:p>
      <w:pPr>
        <w:rPr>
          <w:rFonts w:hint="eastAsia" w:ascii="仿宋" w:hAnsi="仿宋" w:eastAsia="仿宋"/>
          <w:color w:val="auto"/>
          <w:sz w:val="32"/>
          <w:szCs w:val="32"/>
          <w:highlight w:val="none"/>
          <w:shd w:val="pct10" w:color="auto" w:fill="FFFFFF"/>
          <w:lang w:eastAsia="zh-CN"/>
        </w:rPr>
      </w:pPr>
      <w:r>
        <w:rPr>
          <w:rFonts w:hint="eastAsia" w:ascii="仿宋" w:hAnsi="仿宋" w:eastAsia="仿宋"/>
          <w:color w:val="auto"/>
          <w:sz w:val="32"/>
          <w:szCs w:val="32"/>
          <w:highlight w:val="none"/>
          <w:shd w:val="pct10" w:color="auto" w:fill="FFFFFF"/>
          <w:lang w:eastAsia="zh-CN"/>
        </w:rPr>
        <w:drawing>
          <wp:inline distT="0" distB="0" distL="114300" distR="114300">
            <wp:extent cx="5080000" cy="4048125"/>
            <wp:effectExtent l="4445" t="4445" r="5715" b="1651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920" w:firstLineChars="600"/>
      </w:pPr>
      <w:r>
        <w:rPr>
          <w:rFonts w:hint="eastAsia" w:ascii="仿宋" w:hAnsi="仿宋" w:eastAsia="仿宋"/>
          <w:color w:val="auto"/>
          <w:sz w:val="32"/>
          <w:szCs w:val="32"/>
          <w:highlight w:val="none"/>
        </w:rPr>
        <w:t>（图3：支出决算结构图）</w:t>
      </w:r>
    </w:p>
    <w:p>
      <w:pPr>
        <w:spacing w:line="600" w:lineRule="exact"/>
        <w:ind w:firstLine="320" w:firstLineChars="100"/>
        <w:outlineLvl w:val="1"/>
        <w:rPr>
          <w:rStyle w:val="13"/>
          <w:rFonts w:ascii="黑体" w:hAnsi="黑体" w:eastAsia="黑体"/>
          <w:b w:val="0"/>
          <w:color w:val="auto"/>
          <w:highlight w:val="none"/>
        </w:rPr>
      </w:pPr>
      <w:bookmarkStart w:id="23" w:name="_Toc15377208"/>
      <w:bookmarkStart w:id="24" w:name="_Toc15396606"/>
      <w:r>
        <w:rPr>
          <w:rFonts w:hint="eastAsia" w:ascii="黑体" w:hAnsi="黑体" w:eastAsia="黑体"/>
          <w:color w:val="auto"/>
          <w:sz w:val="32"/>
          <w:szCs w:val="32"/>
          <w:highlight w:val="none"/>
        </w:rPr>
        <w:t>四、财</w:t>
      </w:r>
      <w:r>
        <w:rPr>
          <w:rStyle w:val="13"/>
          <w:rFonts w:hint="eastAsia" w:ascii="黑体" w:hAnsi="黑体" w:eastAsia="黑体"/>
          <w:b w:val="0"/>
          <w:color w:val="auto"/>
          <w:highlight w:val="none"/>
        </w:rPr>
        <w:t>政拨款收入支出决算总体情况说明</w:t>
      </w:r>
      <w:bookmarkEnd w:id="23"/>
      <w:bookmarkEnd w:id="24"/>
    </w:p>
    <w:p>
      <w:pPr>
        <w:snapToGrid w:val="0"/>
        <w:spacing w:line="520" w:lineRule="exact"/>
        <w:ind w:firstLine="640" w:firstLineChars="200"/>
        <w:rPr>
          <w:rFonts w:hint="eastAsia" w:ascii="仿宋" w:hAnsi="仿宋" w:eastAsia="仿宋"/>
          <w:sz w:val="32"/>
          <w:szCs w:val="32"/>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331.29</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231.61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w:t>
      </w:r>
      <w:r>
        <w:rPr>
          <w:rFonts w:hint="eastAsia" w:ascii="仿宋" w:hAnsi="仿宋" w:eastAsia="仿宋"/>
          <w:sz w:val="32"/>
          <w:szCs w:val="32"/>
        </w:rPr>
        <w:t>资阳市雁江区动物卫生监督所</w:t>
      </w:r>
      <w:r>
        <w:rPr>
          <w:rFonts w:hint="eastAsia" w:ascii="仿宋" w:hAnsi="仿宋" w:eastAsia="仿宋"/>
          <w:sz w:val="32"/>
          <w:szCs w:val="32"/>
          <w:lang w:val="en-US" w:eastAsia="zh-CN"/>
        </w:rPr>
        <w:t>2021年机构划转并入资阳市雁江区农业农村局26人员调出、退休。</w:t>
      </w:r>
    </w:p>
    <w:p>
      <w:pPr>
        <w:spacing w:line="600" w:lineRule="exact"/>
        <w:rPr>
          <w:rFonts w:ascii="仿宋" w:hAnsi="仿宋" w:eastAsia="仿宋"/>
          <w:b/>
          <w:color w:val="auto"/>
          <w:sz w:val="32"/>
          <w:szCs w:val="32"/>
          <w:highlight w:val="none"/>
        </w:rPr>
      </w:pPr>
    </w:p>
    <w:p>
      <w:pPr>
        <w:pStyle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5080000" cy="3810000"/>
            <wp:effectExtent l="4445" t="4445" r="5715" b="1079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spacing w:line="600" w:lineRule="exact"/>
        <w:ind w:firstLine="320" w:firstLineChars="100"/>
        <w:outlineLvl w:val="1"/>
        <w:rPr>
          <w:rStyle w:val="13"/>
          <w:rFonts w:ascii="黑体" w:hAnsi="黑体" w:eastAsia="黑体"/>
          <w:b w:val="0"/>
          <w:color w:val="auto"/>
          <w:highlight w:val="none"/>
        </w:rPr>
      </w:pPr>
      <w:bookmarkStart w:id="25" w:name="_Toc15396607"/>
      <w:bookmarkStart w:id="26"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13"/>
          <w:rFonts w:hint="eastAsia" w:ascii="黑体" w:hAnsi="黑体" w:eastAsia="黑体"/>
          <w:b w:val="0"/>
          <w:color w:val="auto"/>
          <w:highlight w:val="none"/>
        </w:rPr>
        <w:t>般公共预算财政拨款支出决算情况说明</w:t>
      </w:r>
      <w:bookmarkEnd w:id="25"/>
      <w:bookmarkEnd w:id="26"/>
    </w:p>
    <w:p>
      <w:pPr>
        <w:spacing w:line="600" w:lineRule="exact"/>
        <w:ind w:firstLine="640" w:firstLineChars="200"/>
        <w:outlineLvl w:val="2"/>
        <w:rPr>
          <w:rFonts w:ascii="仿宋" w:hAnsi="仿宋" w:eastAsia="仿宋"/>
          <w:b/>
          <w:color w:val="auto"/>
          <w:sz w:val="32"/>
          <w:szCs w:val="32"/>
          <w:highlight w:val="none"/>
        </w:rPr>
      </w:pPr>
      <w:bookmarkStart w:id="27" w:name="_Toc15377210"/>
      <w:r>
        <w:rPr>
          <w:rFonts w:hint="eastAsia" w:ascii="仿宋" w:hAnsi="仿宋" w:eastAsia="仿宋"/>
          <w:b/>
          <w:color w:val="auto"/>
          <w:sz w:val="32"/>
          <w:szCs w:val="32"/>
          <w:highlight w:val="none"/>
        </w:rPr>
        <w:t>（一）一般公共预算财政拨款支出决算总体情况</w:t>
      </w:r>
      <w:bookmarkEnd w:id="27"/>
    </w:p>
    <w:p>
      <w:pPr>
        <w:snapToGrid w:val="0"/>
        <w:spacing w:line="520" w:lineRule="exact"/>
        <w:ind w:firstLine="640" w:firstLineChars="200"/>
        <w:rPr>
          <w:rFonts w:hint="eastAsia" w:ascii="仿宋" w:hAnsi="仿宋" w:eastAsia="仿宋"/>
          <w:sz w:val="32"/>
          <w:szCs w:val="32"/>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331.29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231.61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sz w:val="32"/>
          <w:szCs w:val="32"/>
        </w:rPr>
        <w:t>资阳市雁江区动物卫生监督所</w:t>
      </w:r>
      <w:r>
        <w:rPr>
          <w:rFonts w:hint="eastAsia" w:ascii="仿宋" w:hAnsi="仿宋" w:eastAsia="仿宋"/>
          <w:sz w:val="32"/>
          <w:szCs w:val="32"/>
          <w:lang w:val="en-US" w:eastAsia="zh-CN"/>
        </w:rPr>
        <w:t>2021年机构划转并入资阳市雁江区农业农村局26人员调出、退休。</w:t>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004435" cy="3049270"/>
            <wp:effectExtent l="4445" t="4445" r="508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320" w:firstLineChars="100"/>
        <w:outlineLvl w:val="2"/>
        <w:rPr>
          <w:rFonts w:ascii="仿宋" w:hAnsi="仿宋" w:eastAsia="仿宋"/>
          <w:b/>
          <w:color w:val="auto"/>
          <w:sz w:val="32"/>
          <w:szCs w:val="32"/>
          <w:highlight w:val="none"/>
        </w:rPr>
      </w:pPr>
      <w:bookmarkStart w:id="28" w:name="_Toc15377211"/>
      <w:r>
        <w:rPr>
          <w:rFonts w:hint="eastAsia" w:ascii="仿宋" w:hAnsi="仿宋" w:eastAsia="仿宋"/>
          <w:b/>
          <w:color w:val="auto"/>
          <w:sz w:val="32"/>
          <w:szCs w:val="32"/>
          <w:highlight w:val="none"/>
        </w:rPr>
        <w:t>（二）一般公共预算财政拨款支出决算结构情况</w:t>
      </w:r>
      <w:bookmarkEnd w:id="28"/>
    </w:p>
    <w:p>
      <w:pPr>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331.29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社会和保障就业支出为76.7万元，占总收入的24%；卫生健康支出为12.3万元，占总收入的3%；农林水支出227万元，占总收入的69%；住房保障支出15.3万元，占总收入的4%。</w:t>
      </w:r>
    </w:p>
    <w:p>
      <w:pPr>
        <w:spacing w:line="600" w:lineRule="exact"/>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5080000" cy="3810000"/>
            <wp:effectExtent l="4445" t="4445" r="5715" b="1079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320" w:firstLineChars="100"/>
        <w:outlineLvl w:val="2"/>
        <w:rPr>
          <w:rFonts w:ascii="仿宋" w:hAnsi="仿宋" w:eastAsia="仿宋"/>
          <w:b/>
          <w:color w:val="auto"/>
          <w:sz w:val="32"/>
          <w:szCs w:val="32"/>
          <w:highlight w:val="none"/>
        </w:rPr>
      </w:pPr>
      <w:bookmarkStart w:id="29" w:name="_Toc15377212"/>
      <w:r>
        <w:rPr>
          <w:rFonts w:hint="eastAsia" w:ascii="仿宋" w:hAnsi="仿宋" w:eastAsia="仿宋"/>
          <w:b/>
          <w:color w:val="auto"/>
          <w:sz w:val="32"/>
          <w:szCs w:val="32"/>
          <w:highlight w:val="none"/>
        </w:rPr>
        <w:t>（三）一般公共预算财政拨款支出决算具体情况</w:t>
      </w:r>
      <w:bookmarkEnd w:id="29"/>
    </w:p>
    <w:p>
      <w:pPr>
        <w:spacing w:line="600" w:lineRule="exact"/>
        <w:ind w:firstLine="640" w:firstLineChars="200"/>
        <w:outlineLvl w:val="2"/>
        <w:rPr>
          <w:rFonts w:ascii="仿宋" w:hAnsi="仿宋" w:eastAsia="仿宋"/>
          <w:color w:val="auto"/>
          <w:sz w:val="32"/>
          <w:szCs w:val="32"/>
          <w:highlight w:val="none"/>
        </w:rPr>
      </w:pPr>
      <w:bookmarkStart w:id="30" w:name="_Toc15378460"/>
      <w:bookmarkStart w:id="31" w:name="_Toc15377444"/>
      <w:bookmarkStart w:id="32"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331.29</w:t>
      </w:r>
      <w:r>
        <w:rPr>
          <w:rFonts w:hint="eastAsia" w:ascii="仿宋" w:hAnsi="仿宋" w:eastAsia="仿宋"/>
          <w:color w:val="auto"/>
          <w:sz w:val="32"/>
          <w:szCs w:val="32"/>
          <w:highlight w:val="none"/>
        </w:rPr>
        <w:t>，</w:t>
      </w:r>
      <w:r>
        <w:rPr>
          <w:rStyle w:val="11"/>
          <w:rFonts w:hint="eastAsia" w:ascii="仿宋" w:hAnsi="仿宋" w:eastAsia="仿宋"/>
          <w:bCs/>
          <w:color w:val="auto"/>
          <w:sz w:val="32"/>
          <w:szCs w:val="32"/>
          <w:highlight w:val="none"/>
        </w:rPr>
        <w:t>完成预算</w:t>
      </w:r>
      <w:r>
        <w:rPr>
          <w:rStyle w:val="11"/>
          <w:rFonts w:hint="eastAsia" w:ascii="仿宋" w:hAnsi="仿宋" w:eastAsia="仿宋"/>
          <w:bCs/>
          <w:color w:val="auto"/>
          <w:sz w:val="32"/>
          <w:szCs w:val="32"/>
          <w:highlight w:val="none"/>
          <w:lang w:val="en-US" w:eastAsia="zh-CN"/>
        </w:rPr>
        <w:t>100</w:t>
      </w:r>
      <w:r>
        <w:rPr>
          <w:rStyle w:val="11"/>
          <w:rFonts w:ascii="仿宋" w:hAnsi="仿宋" w:eastAsia="仿宋"/>
          <w:bCs/>
          <w:color w:val="auto"/>
          <w:sz w:val="32"/>
          <w:szCs w:val="32"/>
          <w:highlight w:val="none"/>
        </w:rPr>
        <w:t>%</w:t>
      </w:r>
      <w:r>
        <w:rPr>
          <w:rStyle w:val="11"/>
          <w:rFonts w:hint="eastAsia" w:ascii="仿宋" w:hAnsi="仿宋" w:eastAsia="仿宋"/>
          <w:bCs/>
          <w:color w:val="auto"/>
          <w:sz w:val="32"/>
          <w:szCs w:val="32"/>
          <w:highlight w:val="none"/>
        </w:rPr>
        <w:t>。其中：</w:t>
      </w:r>
      <w:bookmarkEnd w:id="30"/>
      <w:bookmarkEnd w:id="31"/>
      <w:bookmarkEnd w:id="32"/>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（1）2080502事业单位离退休预算41.27万元、收入支出41.27万元，决算数与预算数一致。 </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（2）2080505机关事业单位基本养老保险缴费支出预算20.79万元，收入支出20.79万元，决算数与预算数一致。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（3）2080506机关事业单位职业年金缴费支出预算0万元、收入支出0万元，决算数与预算数一致。</w:t>
      </w:r>
    </w:p>
    <w:p>
      <w:pPr>
        <w:pStyle w:val="2"/>
        <w:jc w:val="both"/>
        <w:rPr>
          <w:rFonts w:hint="default"/>
          <w:lang w:val="en-US" w:eastAsia="zh-CN"/>
        </w:rPr>
      </w:pPr>
      <w:r>
        <w:rPr>
          <w:rFonts w:hint="eastAsia" w:ascii="仿宋" w:hAnsi="仿宋" w:eastAsia="仿宋"/>
          <w:sz w:val="32"/>
          <w:szCs w:val="32"/>
          <w:lang w:val="en-US" w:eastAsia="zh-CN"/>
        </w:rPr>
        <w:t xml:space="preserve">    （4）2080801死亡抚恤支出预算13.65万元，收入支出13.65万元，决算数与预算数一致。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（5）2089999其他社会保障和就业支出预算0.95万元，收入支出0.95万元，决算数与预算数一致。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（6）2101102事业单位医疗预算8.71万元，收入支出8.71万元，决算数与预算数一致。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（7）2101103公务员医疗补助预算3.62万元，收入支出3.62万元.，决算数与预算数一致。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（8）2130104事业运行预算226.98万元，收入支出226.98万元，决算数与预算数一致。</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（9）2210201住房公积金预算15.32万元，收入支出15.32万元，决算数与预算数一致。</w:t>
      </w:r>
    </w:p>
    <w:p>
      <w:pPr>
        <w:tabs>
          <w:tab w:val="right" w:pos="8306"/>
        </w:tabs>
        <w:spacing w:line="600" w:lineRule="exact"/>
        <w:ind w:firstLine="640" w:firstLineChars="200"/>
        <w:outlineLvl w:val="1"/>
        <w:rPr>
          <w:rStyle w:val="13"/>
          <w:color w:val="auto"/>
          <w:highlight w:val="none"/>
        </w:rPr>
      </w:pPr>
      <w:bookmarkStart w:id="33" w:name="_Toc15377214"/>
      <w:bookmarkStart w:id="34"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13"/>
          <w:rFonts w:hint="eastAsia" w:ascii="黑体" w:hAnsi="黑体" w:eastAsia="黑体"/>
          <w:b w:val="0"/>
          <w:color w:val="auto"/>
          <w:highlight w:val="none"/>
        </w:rPr>
        <w:t>般公共预算财政拨款基本支出决算情况说明</w:t>
      </w:r>
      <w:bookmarkEnd w:id="33"/>
      <w:bookmarkEnd w:id="34"/>
      <w:r>
        <w:rPr>
          <w:rStyle w:val="13"/>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331.29</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317.82</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13.47</w:t>
      </w:r>
      <w:r>
        <w:rPr>
          <w:rFonts w:hint="eastAsia" w:ascii="仿宋" w:hAnsi="仿宋" w:eastAsia="仿宋"/>
          <w:color w:val="auto"/>
          <w:sz w:val="32"/>
          <w:szCs w:val="32"/>
          <w:highlight w:val="none"/>
        </w:rPr>
        <w:t>万元，主要包括：办公费、差旅费、培训费、工会经费、福利费等。</w:t>
      </w:r>
    </w:p>
    <w:p>
      <w:pPr>
        <w:spacing w:line="600" w:lineRule="exact"/>
        <w:ind w:firstLine="640" w:firstLineChars="200"/>
        <w:outlineLvl w:val="1"/>
        <w:rPr>
          <w:rStyle w:val="13"/>
          <w:rFonts w:ascii="黑体" w:hAnsi="黑体" w:eastAsia="黑体"/>
          <w:b w:val="0"/>
          <w:color w:val="auto"/>
          <w:highlight w:val="none"/>
        </w:rPr>
      </w:pPr>
      <w:bookmarkStart w:id="35" w:name="_Toc15396609"/>
      <w:bookmarkStart w:id="36" w:name="_Toc15377215"/>
      <w:r>
        <w:rPr>
          <w:rFonts w:hint="eastAsia" w:ascii="黑体" w:eastAsia="黑体"/>
          <w:color w:val="auto"/>
          <w:sz w:val="32"/>
          <w:szCs w:val="32"/>
          <w:highlight w:val="none"/>
        </w:rPr>
        <w:t>七、</w:t>
      </w:r>
      <w:r>
        <w:rPr>
          <w:rStyle w:val="13"/>
          <w:rFonts w:hint="eastAsia" w:ascii="黑体" w:hAnsi="黑体" w:eastAsia="黑体"/>
          <w:b w:val="0"/>
          <w:color w:val="auto"/>
          <w:highlight w:val="none"/>
        </w:rPr>
        <w:t>财政拨款</w:t>
      </w:r>
      <w:r>
        <w:rPr>
          <w:rStyle w:val="13"/>
          <w:rFonts w:hint="eastAsia" w:ascii="黑体" w:hAnsi="黑体" w:eastAsia="黑体"/>
          <w:color w:val="auto"/>
          <w:highlight w:val="none"/>
        </w:rPr>
        <w:t>“</w:t>
      </w:r>
      <w:r>
        <w:rPr>
          <w:rStyle w:val="13"/>
          <w:rFonts w:hint="eastAsia" w:ascii="黑体" w:hAnsi="黑体" w:eastAsia="黑体"/>
          <w:b w:val="0"/>
          <w:color w:val="auto"/>
          <w:highlight w:val="none"/>
        </w:rPr>
        <w:t>三公”经费支出决算情况说明</w:t>
      </w:r>
      <w:bookmarkEnd w:id="35"/>
      <w:bookmarkEnd w:id="36"/>
    </w:p>
    <w:p>
      <w:pPr>
        <w:spacing w:line="600" w:lineRule="exact"/>
        <w:ind w:firstLine="640"/>
        <w:outlineLvl w:val="2"/>
        <w:rPr>
          <w:rFonts w:ascii="仿宋" w:hAnsi="仿宋" w:eastAsia="仿宋"/>
          <w:b/>
          <w:color w:val="auto"/>
          <w:sz w:val="32"/>
          <w:szCs w:val="32"/>
          <w:highlight w:val="none"/>
        </w:rPr>
      </w:pPr>
      <w:bookmarkStart w:id="37" w:name="_Toc15377216"/>
      <w:r>
        <w:rPr>
          <w:rFonts w:hint="eastAsia" w:ascii="仿宋" w:hAnsi="仿宋" w:eastAsia="仿宋"/>
          <w:b/>
          <w:color w:val="auto"/>
          <w:sz w:val="32"/>
          <w:szCs w:val="32"/>
          <w:highlight w:val="none"/>
        </w:rPr>
        <w:t>（一）“三公”经费财政拨款支出决算总体情况说明</w:t>
      </w:r>
      <w:bookmarkEnd w:id="3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减少1.29万元，下降100%。</w:t>
      </w:r>
      <w:r>
        <w:rPr>
          <w:rFonts w:hint="eastAsia" w:ascii="仿宋" w:hAnsi="仿宋" w:eastAsia="仿宋"/>
          <w:color w:val="auto"/>
          <w:sz w:val="32"/>
          <w:szCs w:val="32"/>
          <w:highlight w:val="none"/>
        </w:rPr>
        <w:t>决算数小于预算数的主要原因是</w:t>
      </w:r>
      <w:r>
        <w:rPr>
          <w:rFonts w:hint="eastAsia" w:ascii="仿宋" w:hAnsi="仿宋" w:eastAsia="仿宋"/>
          <w:sz w:val="32"/>
          <w:szCs w:val="32"/>
          <w:lang w:val="en-US" w:eastAsia="zh-CN"/>
        </w:rPr>
        <w:t>2022年无“三公”经费支出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8" w:name="_Toc15377217"/>
      <w:r>
        <w:rPr>
          <w:rFonts w:hint="eastAsia" w:ascii="仿宋" w:hAnsi="仿宋" w:eastAsia="仿宋"/>
          <w:b/>
          <w:color w:val="auto"/>
          <w:sz w:val="32"/>
          <w:szCs w:val="32"/>
          <w:highlight w:val="none"/>
        </w:rPr>
        <w:t>（二）“三公”经费财政拨款支出决算具体情况说明</w:t>
      </w:r>
      <w:bookmarkEnd w:id="38"/>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984750" cy="3619500"/>
            <wp:effectExtent l="4445" t="4445" r="9525" b="1841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1"/>
          <w:rFonts w:hint="eastAsia" w:ascii="仿宋" w:hAnsi="仿宋" w:eastAsia="仿宋"/>
          <w:b w:val="0"/>
          <w:bCs/>
          <w:color w:val="auto"/>
          <w:sz w:val="32"/>
          <w:szCs w:val="32"/>
          <w:highlight w:val="none"/>
        </w:rPr>
        <w:t>完成预算</w:t>
      </w:r>
      <w:r>
        <w:rPr>
          <w:rStyle w:val="11"/>
          <w:rFonts w:hint="eastAsia" w:ascii="仿宋" w:hAnsi="仿宋" w:eastAsia="仿宋"/>
          <w:b w:val="0"/>
          <w:bCs/>
          <w:color w:val="auto"/>
          <w:sz w:val="32"/>
          <w:szCs w:val="32"/>
          <w:highlight w:val="none"/>
          <w:lang w:val="en-US" w:eastAsia="zh-CN"/>
        </w:rPr>
        <w:t>0</w:t>
      </w:r>
      <w:r>
        <w:rPr>
          <w:rStyle w:val="11"/>
          <w:rFonts w:ascii="仿宋" w:hAnsi="仿宋" w:eastAsia="仿宋"/>
          <w:b w:val="0"/>
          <w:bCs/>
          <w:color w:val="auto"/>
          <w:sz w:val="32"/>
          <w:szCs w:val="32"/>
          <w:highlight w:val="none"/>
        </w:rPr>
        <w:t>%</w:t>
      </w:r>
      <w:r>
        <w:rPr>
          <w:rStyle w:val="11"/>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本单位无</w:t>
      </w:r>
      <w:r>
        <w:rPr>
          <w:rFonts w:hint="eastAsia" w:ascii="仿宋_GB2312" w:eastAsia="仿宋_GB2312"/>
          <w:color w:val="auto"/>
          <w:sz w:val="32"/>
          <w:szCs w:val="32"/>
          <w:highlight w:val="none"/>
        </w:rPr>
        <w:t>因公出国（境）支出。</w:t>
      </w:r>
    </w:p>
    <w:p>
      <w:pPr>
        <w:spacing w:line="600" w:lineRule="exact"/>
        <w:ind w:firstLine="643" w:firstLineChars="20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1"/>
          <w:rFonts w:hint="eastAsia" w:ascii="仿宋" w:hAnsi="仿宋" w:eastAsia="仿宋"/>
          <w:b w:val="0"/>
          <w:bCs/>
          <w:color w:val="auto"/>
          <w:sz w:val="32"/>
          <w:szCs w:val="32"/>
          <w:highlight w:val="none"/>
        </w:rPr>
        <w:t>完成预算</w:t>
      </w:r>
      <w:r>
        <w:rPr>
          <w:rStyle w:val="11"/>
          <w:rFonts w:hint="eastAsia" w:ascii="仿宋" w:hAnsi="仿宋" w:eastAsia="仿宋"/>
          <w:b w:val="0"/>
          <w:bCs/>
          <w:color w:val="auto"/>
          <w:sz w:val="32"/>
          <w:szCs w:val="32"/>
          <w:highlight w:val="none"/>
          <w:lang w:val="en-US" w:eastAsia="zh-CN"/>
        </w:rPr>
        <w:t>0</w:t>
      </w:r>
      <w:r>
        <w:rPr>
          <w:rStyle w:val="11"/>
          <w:rFonts w:ascii="仿宋" w:hAnsi="仿宋" w:eastAsia="仿宋"/>
          <w:b w:val="0"/>
          <w:bCs/>
          <w:color w:val="auto"/>
          <w:sz w:val="32"/>
          <w:szCs w:val="32"/>
          <w:highlight w:val="none"/>
        </w:rPr>
        <w:t>%</w:t>
      </w:r>
      <w:r>
        <w:rPr>
          <w:rStyle w:val="11"/>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本单位无公务用车购置及运行维护费支出</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1"/>
          <w:rFonts w:hint="eastAsia" w:ascii="仿宋" w:hAnsi="仿宋" w:eastAsia="仿宋"/>
          <w:b w:val="0"/>
          <w:bCs/>
          <w:color w:val="auto"/>
          <w:sz w:val="32"/>
          <w:szCs w:val="32"/>
          <w:highlight w:val="none"/>
        </w:rPr>
        <w:t>完成预算</w:t>
      </w:r>
      <w:r>
        <w:rPr>
          <w:rStyle w:val="11"/>
          <w:rFonts w:hint="eastAsia" w:ascii="仿宋" w:hAnsi="仿宋" w:eastAsia="仿宋"/>
          <w:b w:val="0"/>
          <w:bCs/>
          <w:color w:val="auto"/>
          <w:sz w:val="32"/>
          <w:szCs w:val="32"/>
          <w:highlight w:val="none"/>
          <w:lang w:val="en-US" w:eastAsia="zh-CN"/>
        </w:rPr>
        <w:t>0</w:t>
      </w:r>
      <w:r>
        <w:rPr>
          <w:rStyle w:val="11"/>
          <w:rFonts w:ascii="仿宋" w:hAnsi="仿宋" w:eastAsia="仿宋"/>
          <w:b w:val="0"/>
          <w:bCs/>
          <w:color w:val="auto"/>
          <w:sz w:val="32"/>
          <w:szCs w:val="32"/>
          <w:highlight w:val="none"/>
        </w:rPr>
        <w:t>%</w:t>
      </w:r>
      <w:r>
        <w:rPr>
          <w:rStyle w:val="11"/>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1.29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sz w:val="32"/>
          <w:szCs w:val="32"/>
          <w:lang w:val="en-US" w:eastAsia="zh-CN"/>
        </w:rPr>
        <w:t>2022年无“三公”经费支出</w:t>
      </w:r>
      <w:r>
        <w:rPr>
          <w:rFonts w:hint="eastAsia" w:ascii="仿宋_GB2312" w:eastAsia="仿宋_GB2312"/>
          <w:color w:val="auto"/>
          <w:sz w:val="32"/>
          <w:szCs w:val="32"/>
          <w:highlight w:val="none"/>
        </w:rPr>
        <w:t>。其中：</w:t>
      </w:r>
    </w:p>
    <w:p>
      <w:pPr>
        <w:spacing w:line="600" w:lineRule="exact"/>
        <w:ind w:firstLine="64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万元，主要用于国内公务接待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lang w:eastAsia="zh-CN"/>
        </w:rPr>
        <w:t>无</w:t>
      </w:r>
      <w:r>
        <w:rPr>
          <w:rFonts w:hint="eastAsia" w:ascii="仿宋" w:hAnsi="仿宋" w:eastAsia="仿宋"/>
          <w:b/>
          <w:color w:val="auto"/>
          <w:sz w:val="32"/>
          <w:szCs w:val="32"/>
          <w:highlight w:val="none"/>
        </w:rPr>
        <w:t>外事接待支出</w:t>
      </w:r>
      <w:r>
        <w:rPr>
          <w:rFonts w:hint="eastAsia" w:ascii="仿宋_GB2312" w:eastAsia="仿宋_GB2312"/>
          <w:color w:val="auto"/>
          <w:sz w:val="32"/>
          <w:szCs w:val="32"/>
          <w:highlight w:val="none"/>
        </w:rPr>
        <w:t>。</w:t>
      </w:r>
    </w:p>
    <w:p>
      <w:pPr>
        <w:spacing w:line="600" w:lineRule="exact"/>
        <w:outlineLvl w:val="1"/>
        <w:rPr>
          <w:rStyle w:val="13"/>
          <w:rFonts w:ascii="黑体" w:hAnsi="黑体" w:eastAsia="黑体"/>
          <w:color w:val="auto"/>
          <w:highlight w:val="none"/>
        </w:rPr>
      </w:pPr>
      <w:bookmarkStart w:id="39" w:name="_Toc15377218"/>
      <w:bookmarkStart w:id="40" w:name="_Toc15396610"/>
      <w:r>
        <w:rPr>
          <w:rFonts w:hint="eastAsia" w:ascii="黑体" w:eastAsia="黑体"/>
          <w:color w:val="auto"/>
          <w:sz w:val="32"/>
          <w:szCs w:val="32"/>
          <w:highlight w:val="none"/>
        </w:rPr>
        <w:t>八、</w:t>
      </w:r>
      <w:r>
        <w:rPr>
          <w:rStyle w:val="13"/>
          <w:rFonts w:hint="eastAsia" w:ascii="黑体" w:hAnsi="黑体" w:eastAsia="黑体"/>
          <w:b w:val="0"/>
          <w:color w:val="auto"/>
          <w:highlight w:val="none"/>
        </w:rPr>
        <w:t>政府性基金预算支出决算情况说明</w:t>
      </w:r>
      <w:bookmarkEnd w:id="39"/>
      <w:bookmarkEnd w:id="40"/>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p>
    <w:p>
      <w:pPr>
        <w:numPr>
          <w:ilvl w:val="0"/>
          <w:numId w:val="0"/>
        </w:numPr>
        <w:spacing w:line="600" w:lineRule="exact"/>
        <w:outlineLvl w:val="1"/>
        <w:rPr>
          <w:rStyle w:val="13"/>
          <w:rFonts w:ascii="黑体" w:hAnsi="黑体" w:eastAsia="黑体"/>
          <w:b w:val="0"/>
          <w:color w:val="auto"/>
          <w:highlight w:val="none"/>
        </w:rPr>
      </w:pPr>
      <w:bookmarkStart w:id="41" w:name="_Toc15377219"/>
      <w:bookmarkStart w:id="42" w:name="_Toc15396611"/>
      <w:r>
        <w:rPr>
          <w:rStyle w:val="13"/>
          <w:rFonts w:hint="eastAsia" w:ascii="黑体" w:hAnsi="黑体" w:eastAsia="黑体"/>
          <w:b w:val="0"/>
          <w:color w:val="auto"/>
          <w:highlight w:val="none"/>
          <w:lang w:eastAsia="zh-CN"/>
        </w:rPr>
        <w:t>九、</w:t>
      </w:r>
      <w:r>
        <w:rPr>
          <w:rStyle w:val="13"/>
          <w:rFonts w:hint="eastAsia" w:ascii="黑体" w:hAnsi="黑体" w:eastAsia="黑体"/>
          <w:b w:val="0"/>
          <w:color w:val="auto"/>
          <w:highlight w:val="none"/>
        </w:rPr>
        <w:t>国有资本经营预算支出决算情况说明</w:t>
      </w:r>
      <w:bookmarkEnd w:id="41"/>
      <w:bookmarkEnd w:id="4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p>
    <w:p>
      <w:pPr>
        <w:numPr>
          <w:ilvl w:val="0"/>
          <w:numId w:val="0"/>
        </w:numPr>
        <w:spacing w:line="600" w:lineRule="exact"/>
        <w:outlineLvl w:val="1"/>
        <w:rPr>
          <w:rStyle w:val="13"/>
          <w:rFonts w:hint="eastAsia" w:ascii="黑体" w:hAnsi="黑体" w:eastAsia="黑体"/>
          <w:b w:val="0"/>
          <w:color w:val="auto"/>
          <w:highlight w:val="none"/>
        </w:rPr>
      </w:pPr>
      <w:bookmarkStart w:id="43" w:name="_Toc15396612"/>
      <w:bookmarkStart w:id="44" w:name="_Toc15377221"/>
      <w:r>
        <w:rPr>
          <w:rStyle w:val="13"/>
          <w:rFonts w:hint="eastAsia" w:ascii="黑体" w:hAnsi="黑体" w:eastAsia="黑体"/>
          <w:b w:val="0"/>
          <w:color w:val="auto"/>
          <w:highlight w:val="none"/>
          <w:lang w:eastAsia="zh-CN"/>
        </w:rPr>
        <w:t>十、</w:t>
      </w:r>
      <w:r>
        <w:rPr>
          <w:rStyle w:val="13"/>
          <w:rFonts w:hint="eastAsia" w:ascii="黑体" w:hAnsi="黑体" w:eastAsia="黑体"/>
          <w:b w:val="0"/>
          <w:color w:val="auto"/>
          <w:highlight w:val="none"/>
        </w:rPr>
        <w:t>其他重要事项的情况说明</w:t>
      </w:r>
      <w:bookmarkEnd w:id="43"/>
      <w:bookmarkEnd w:id="44"/>
    </w:p>
    <w:p>
      <w:pPr>
        <w:spacing w:line="600" w:lineRule="exact"/>
        <w:ind w:firstLine="640" w:firstLineChars="200"/>
        <w:outlineLvl w:val="2"/>
        <w:rPr>
          <w:rFonts w:ascii="仿宋" w:hAnsi="仿宋" w:eastAsia="仿宋"/>
          <w:color w:val="auto"/>
          <w:sz w:val="32"/>
          <w:szCs w:val="32"/>
          <w:highlight w:val="none"/>
        </w:rPr>
      </w:pPr>
      <w:bookmarkStart w:id="45" w:name="_Toc15377222"/>
      <w:r>
        <w:rPr>
          <w:rFonts w:hint="eastAsia" w:ascii="仿宋" w:hAnsi="仿宋" w:eastAsia="仿宋"/>
          <w:b/>
          <w:color w:val="auto"/>
          <w:sz w:val="32"/>
          <w:szCs w:val="32"/>
          <w:highlight w:val="none"/>
        </w:rPr>
        <w:t>（一）机关运行经费支出情况</w:t>
      </w:r>
      <w:bookmarkEnd w:id="45"/>
    </w:p>
    <w:p>
      <w:pPr>
        <w:snapToGrid w:val="0"/>
        <w:spacing w:line="520" w:lineRule="exact"/>
        <w:ind w:firstLine="640" w:firstLineChars="200"/>
        <w:rPr>
          <w:rFonts w:hint="eastAsia" w:ascii="仿宋" w:hAnsi="仿宋" w:eastAsia="仿宋"/>
          <w:sz w:val="32"/>
          <w:szCs w:val="32"/>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雁江区畜牧中心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lang w:eastAsia="zh-CN"/>
        </w:rPr>
        <w:t>年持平</w:t>
      </w:r>
      <w:r>
        <w:rPr>
          <w:rFonts w:hint="eastAsia" w:ascii="仿宋_GB2312" w:eastAsia="仿宋_GB2312"/>
          <w:color w:val="auto"/>
          <w:sz w:val="32"/>
          <w:szCs w:val="32"/>
          <w:highlight w:val="none"/>
        </w:rPr>
        <w:t>。主要原因是</w:t>
      </w:r>
      <w:r>
        <w:rPr>
          <w:rFonts w:hint="eastAsia" w:ascii="仿宋" w:hAnsi="仿宋" w:eastAsia="仿宋"/>
          <w:sz w:val="32"/>
          <w:szCs w:val="32"/>
        </w:rPr>
        <w:t>资阳市雁江区动物卫生监督所</w:t>
      </w:r>
      <w:r>
        <w:rPr>
          <w:rFonts w:hint="eastAsia" w:ascii="仿宋" w:hAnsi="仿宋" w:eastAsia="仿宋"/>
          <w:sz w:val="32"/>
          <w:szCs w:val="32"/>
          <w:lang w:val="en-US" w:eastAsia="zh-CN"/>
        </w:rPr>
        <w:t>2021年机构划转并入资阳市雁江区农业农村局26人员调出，无机关运行经费，不属于行政单位或参照公务员法管理事业单位。</w:t>
      </w:r>
    </w:p>
    <w:p>
      <w:pPr>
        <w:autoSpaceDE w:val="0"/>
        <w:autoSpaceDN w:val="0"/>
        <w:adjustRightInd w:val="0"/>
        <w:spacing w:line="600" w:lineRule="exact"/>
        <w:ind w:firstLine="640" w:firstLineChars="200"/>
        <w:jc w:val="left"/>
        <w:outlineLvl w:val="2"/>
        <w:rPr>
          <w:rFonts w:ascii="仿宋" w:hAnsi="仿宋" w:eastAsia="仿宋"/>
          <w:b/>
          <w:color w:val="auto"/>
          <w:sz w:val="32"/>
          <w:szCs w:val="32"/>
          <w:highlight w:val="none"/>
        </w:rPr>
      </w:pPr>
      <w:bookmarkStart w:id="46" w:name="_Toc15377223"/>
      <w:r>
        <w:rPr>
          <w:rFonts w:hint="eastAsia" w:ascii="仿宋" w:hAnsi="仿宋" w:eastAsia="仿宋"/>
          <w:b/>
          <w:color w:val="auto"/>
          <w:sz w:val="32"/>
          <w:szCs w:val="32"/>
          <w:highlight w:val="none"/>
        </w:rPr>
        <w:t>（二）政府采购支出情况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雁江区畜牧中心无</w:t>
      </w:r>
      <w:r>
        <w:rPr>
          <w:rFonts w:hint="eastAsia" w:ascii="仿宋_GB2312" w:eastAsia="仿宋_GB2312"/>
          <w:color w:val="auto"/>
          <w:sz w:val="32"/>
          <w:szCs w:val="32"/>
          <w:highlight w:val="none"/>
        </w:rPr>
        <w:t>政府采购支出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0" w:firstLineChars="200"/>
        <w:jc w:val="left"/>
        <w:outlineLvl w:val="2"/>
        <w:rPr>
          <w:rFonts w:ascii="仿宋" w:hAnsi="仿宋" w:eastAsia="仿宋"/>
          <w:b/>
          <w:color w:val="auto"/>
          <w:sz w:val="32"/>
          <w:szCs w:val="32"/>
          <w:highlight w:val="none"/>
        </w:rPr>
      </w:pPr>
      <w:bookmarkStart w:id="47" w:name="_Toc15377224"/>
      <w:r>
        <w:rPr>
          <w:rFonts w:hint="eastAsia" w:ascii="仿宋" w:hAnsi="仿宋" w:eastAsia="仿宋"/>
          <w:b/>
          <w:color w:val="auto"/>
          <w:sz w:val="32"/>
          <w:szCs w:val="32"/>
          <w:highlight w:val="none"/>
        </w:rPr>
        <w:t>（三）国有资产占有使用情况</w:t>
      </w:r>
      <w:bookmarkEnd w:id="47"/>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雁江区畜牧中心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0"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2"/>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w:t>
      </w:r>
      <w:r>
        <w:rPr>
          <w:rFonts w:hint="eastAsia" w:ascii="仿宋" w:hAnsi="仿宋" w:eastAsia="仿宋"/>
          <w:color w:val="auto"/>
          <w:sz w:val="32"/>
          <w:szCs w:val="32"/>
          <w:lang w:val="en-US" w:eastAsia="zh-CN"/>
        </w:rPr>
        <w:t>严格按照预算制定项目绩效目标，实施过程中严格按照相关要求执行，已按要求完成年初预算绩效目标，本单位年初预算中无大于50万元的项目预算；全年预算指</w:t>
      </w:r>
      <w:r>
        <w:rPr>
          <w:rFonts w:hint="eastAsia" w:ascii="仿宋" w:hAnsi="仿宋" w:eastAsia="仿宋"/>
          <w:sz w:val="32"/>
          <w:szCs w:val="32"/>
          <w:lang w:val="en-US" w:eastAsia="zh-CN"/>
        </w:rPr>
        <w:t>标中无大于50万元的项目，本单位无大于50万元的项目支出。</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12"/>
          <w:rFonts w:ascii="黑体" w:hAnsi="黑体" w:eastAsia="黑体"/>
          <w:b w:val="0"/>
          <w:color w:val="auto"/>
          <w:highlight w:val="none"/>
        </w:rPr>
      </w:pPr>
      <w:bookmarkStart w:id="48" w:name="_Toc15396613"/>
      <w:bookmarkStart w:id="49" w:name="_Toc15377225"/>
      <w:r>
        <w:rPr>
          <w:rFonts w:hint="eastAsia" w:ascii="黑体" w:hAnsi="黑体" w:eastAsia="黑体"/>
          <w:color w:val="auto"/>
          <w:sz w:val="44"/>
          <w:szCs w:val="44"/>
          <w:highlight w:val="none"/>
        </w:rPr>
        <w:t>名</w:t>
      </w:r>
      <w:r>
        <w:rPr>
          <w:rStyle w:val="12"/>
          <w:rFonts w:hint="eastAsia" w:ascii="黑体" w:hAnsi="黑体" w:eastAsia="黑体"/>
          <w:b w:val="0"/>
          <w:color w:val="auto"/>
          <w:highlight w:val="none"/>
        </w:rPr>
        <w:t>词解释</w:t>
      </w:r>
      <w:bookmarkEnd w:id="48"/>
      <w:bookmarkEnd w:id="49"/>
    </w:p>
    <w:p>
      <w:pPr>
        <w:pStyle w:val="1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2130101行政运行：指农林水支出类农业支出。反映行政单位（包括实行公务员管理的事业单位）的基本支出。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2130104事业运行：指农林水支出类农业支出。反映用于农业事业单位基本支出，单位设施、系统运行与资产维护等方面的支出。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2080502事业单位离退休：指社会保障和就业支出类事业单位离退休支出。反映实行归口管理的事业单位开支的离退休经费。</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2080505机关事业单位基本养老保险缴费支出：指社会保障和就业支出类机关事业单位基本养老保险缴费支出。反映机关事业单位实施养老保险制度由单位缴纳的基本养老保险费支出。</w:t>
      </w:r>
    </w:p>
    <w:p>
      <w:pPr>
        <w:pStyle w:val="2"/>
        <w:ind w:firstLine="320" w:firstLineChars="100"/>
        <w:rPr>
          <w:rFonts w:hint="default" w:eastAsia="仿宋_GB2312"/>
          <w:lang w:val="en-US" w:eastAsia="zh-CN"/>
        </w:rPr>
      </w:pPr>
      <w:r>
        <w:rPr>
          <w:rFonts w:hint="eastAsia" w:ascii="仿宋_GB2312" w:eastAsia="仿宋_GB2312"/>
          <w:color w:val="000000"/>
          <w:sz w:val="32"/>
          <w:szCs w:val="32"/>
          <w:lang w:val="en-US" w:eastAsia="zh-CN"/>
        </w:rPr>
        <w:t>13.2080801死亡抚恤反映按规定用于烈士和牺牲、病故人员家属的一次性和定期抚恤金、丧葬费补助费以及烈士褒扬金。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2101102事业单位医疗：指反映财政部门安排的事业单位基本医疗保险缴费经费，未参加医疗保险的事业单位的公费医疗经费，按国家规定享受离休人员待遇的医疗经费。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2130108病虫害控制：指农林水支出类农业支出。反映用于病虫鼠害及疫情监测、预报、预防、控制、检疫、防疫所需的仪器、设施、药物、疫苗、种苗，疫畜（禽、鱼、植物）防治、扑杀补偿及劳务补助、菌（毒）种保藏及动植物检疫及产品检疫、监测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2130109农产品质量安全：指农林水支出类农业支出。反映用于农业质量标准制定、实施和监督，投入品监管、残留监控、农产品质量认证、普查、标准化生产示范等方面的支出。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2130110执法监管：指农林水支出类农业支出。反映用于农业法制建设、执法监督、纠纷处理、行政复议诉讼，安全生产、农产品质量监管、农资打假与市场监管，农机监理、跨区作业管理、农业机械使用跟踪调查及试验鉴定，渔政、兽医医政、药政管理、防疫检疫监督管理及实验室生物安全管理、农业基本建设项目监管等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2210201住房公积金：指住房保障支出类的住房改革支出。反映行政事业单位按人力资源和社会保障部、财政部规定的基本工资和津贴补贴以及规定比例为职工缴纳的住房公积金。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2080506机关事业单位职业年金缴费支出：指社会保障和就业支出类机关事业单位职业年金缴费支出。反映机关事业单位实施养老保险制度由单位实际缴纳的职业年金支出。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22</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1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5"/>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24</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textAlignment w:val="center"/>
        <w:rPr>
          <w:rFonts w:hint="eastAsia" w:ascii="仿宋_GB2312" w:hAnsi="仿宋" w:eastAsia="仿宋_GB2312"/>
          <w:sz w:val="32"/>
          <w:szCs w:val="32"/>
        </w:rPr>
      </w:pPr>
    </w:p>
    <w:p>
      <w:pPr>
        <w:widowControl/>
        <w:ind w:firstLine="0" w:firstLineChars="0"/>
        <w:textAlignment w:val="center"/>
        <w:rPr>
          <w:rFonts w:hint="eastAsia" w:ascii="仿宋_GB2312" w:hAnsi="仿宋" w:eastAsia="仿宋_GB2312"/>
          <w:sz w:val="32"/>
          <w:szCs w:val="32"/>
        </w:rPr>
      </w:pPr>
    </w:p>
    <w:p>
      <w:pPr>
        <w:spacing w:line="600" w:lineRule="exact"/>
        <w:jc w:val="left"/>
        <w:rPr>
          <w:rFonts w:ascii="宋体"/>
          <w:b/>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bookmarkStart w:id="50" w:name="_Toc15396614"/>
      <w:bookmarkStart w:id="51"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12"/>
          <w:rFonts w:ascii="黑体" w:hAnsi="黑体" w:eastAsia="黑体"/>
          <w:b w:val="0"/>
          <w:color w:val="auto"/>
          <w:highlight w:val="none"/>
        </w:rPr>
      </w:pPr>
      <w:r>
        <w:rPr>
          <w:rFonts w:hint="eastAsia" w:ascii="黑体" w:hAnsi="黑体" w:eastAsia="黑体"/>
          <w:color w:val="auto"/>
          <w:sz w:val="44"/>
          <w:szCs w:val="44"/>
          <w:highlight w:val="none"/>
        </w:rPr>
        <w:t>第</w:t>
      </w:r>
      <w:r>
        <w:rPr>
          <w:rStyle w:val="12"/>
          <w:rFonts w:hint="eastAsia" w:ascii="黑体" w:hAnsi="黑体" w:eastAsia="黑体"/>
          <w:b w:val="0"/>
          <w:color w:val="auto"/>
          <w:highlight w:val="none"/>
        </w:rPr>
        <w:t>四部分 附件</w:t>
      </w:r>
      <w:bookmarkEnd w:id="50"/>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52" w:name="_Toc15396618"/>
      <w:r>
        <w:rPr>
          <w:rFonts w:hint="eastAsia" w:ascii="宋体" w:hAnsi="宋体" w:eastAsia="宋体" w:cs="宋体"/>
          <w:color w:val="auto"/>
          <w:kern w:val="0"/>
          <w:sz w:val="32"/>
          <w:szCs w:val="32"/>
          <w:highlight w:val="none"/>
          <w:lang w:val="en-US" w:eastAsia="zh-CN" w:bidi="ar-SA"/>
        </w:rPr>
        <w:t>部门预算项目支出绩效自评表（2022年度）</w:t>
      </w:r>
    </w:p>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spacing w:line="600" w:lineRule="exact"/>
        <w:ind w:firstLine="640" w:firstLineChars="200"/>
        <w:jc w:val="left"/>
        <w:outlineLvl w:val="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附件1、雁江区畜牧中心部门预算项目支出绩效自评表</w:t>
      </w: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66" w:name="_GoBack"/>
      <w:bookmarkEnd w:id="66"/>
      <w:r>
        <w:rPr>
          <w:rFonts w:hint="eastAsia" w:ascii="黑体" w:hAnsi="黑体" w:eastAsia="黑体"/>
          <w:color w:val="auto"/>
          <w:sz w:val="44"/>
          <w:szCs w:val="44"/>
          <w:highlight w:val="none"/>
        </w:rPr>
        <w:t>第</w:t>
      </w:r>
      <w:r>
        <w:rPr>
          <w:rStyle w:val="12"/>
          <w:rFonts w:hint="eastAsia" w:ascii="黑体" w:hAnsi="黑体" w:eastAsia="黑体"/>
          <w:b w:val="0"/>
          <w:color w:val="auto"/>
          <w:highlight w:val="none"/>
        </w:rPr>
        <w:t>五部分 附表</w:t>
      </w:r>
      <w:bookmarkEnd w:id="51"/>
      <w:bookmarkEnd w:id="52"/>
      <w:bookmarkStart w:id="53"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13"/>
          <w:rFonts w:hint="eastAsia" w:ascii="仿宋" w:hAnsi="仿宋" w:eastAsia="仿宋"/>
          <w:b w:val="0"/>
          <w:bCs w:val="0"/>
          <w:color w:val="auto"/>
          <w:highlight w:val="none"/>
        </w:rPr>
        <w:t>入支出决算总表</w:t>
      </w:r>
      <w:bookmarkEnd w:id="53"/>
    </w:p>
    <w:p>
      <w:pPr>
        <w:pStyle w:val="4"/>
        <w:rPr>
          <w:rFonts w:ascii="仿宋" w:hAnsi="仿宋" w:eastAsia="仿宋"/>
          <w:color w:val="auto"/>
          <w:highlight w:val="none"/>
        </w:rPr>
      </w:pPr>
      <w:bookmarkStart w:id="54" w:name="_Toc15396620"/>
      <w:r>
        <w:rPr>
          <w:rFonts w:hint="eastAsia" w:ascii="仿宋" w:hAnsi="仿宋" w:eastAsia="仿宋"/>
          <w:b w:val="0"/>
          <w:color w:val="auto"/>
          <w:highlight w:val="none"/>
        </w:rPr>
        <w:t>二、收</w:t>
      </w:r>
      <w:r>
        <w:rPr>
          <w:rStyle w:val="13"/>
          <w:rFonts w:hint="eastAsia" w:ascii="仿宋" w:hAnsi="仿宋" w:eastAsia="仿宋"/>
          <w:b w:val="0"/>
          <w:bCs w:val="0"/>
          <w:color w:val="auto"/>
          <w:highlight w:val="none"/>
        </w:rPr>
        <w:t>入决算表</w:t>
      </w:r>
      <w:bookmarkEnd w:id="54"/>
    </w:p>
    <w:p>
      <w:pPr>
        <w:pStyle w:val="4"/>
        <w:rPr>
          <w:rFonts w:ascii="仿宋" w:hAnsi="仿宋" w:eastAsia="仿宋"/>
          <w:color w:val="auto"/>
          <w:highlight w:val="none"/>
        </w:rPr>
      </w:pPr>
      <w:bookmarkStart w:id="55" w:name="_Toc15396621"/>
      <w:r>
        <w:rPr>
          <w:rStyle w:val="13"/>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13"/>
          <w:rFonts w:hint="eastAsia" w:ascii="仿宋" w:hAnsi="仿宋" w:eastAsia="仿宋"/>
          <w:b w:val="0"/>
          <w:bCs w:val="0"/>
          <w:color w:val="auto"/>
          <w:highlight w:val="none"/>
        </w:rPr>
        <w:t>出决算表</w:t>
      </w:r>
      <w:bookmarkEnd w:id="55"/>
    </w:p>
    <w:p>
      <w:pPr>
        <w:pStyle w:val="4"/>
        <w:rPr>
          <w:rFonts w:ascii="仿宋" w:hAnsi="仿宋" w:eastAsia="仿宋"/>
          <w:b w:val="0"/>
          <w:color w:val="auto"/>
          <w:highlight w:val="none"/>
        </w:rPr>
      </w:pPr>
      <w:bookmarkStart w:id="56" w:name="_Toc15396622"/>
      <w:r>
        <w:rPr>
          <w:rStyle w:val="13"/>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13"/>
          <w:rFonts w:hint="eastAsia" w:ascii="仿宋" w:hAnsi="仿宋" w:eastAsia="仿宋"/>
          <w:b w:val="0"/>
          <w:bCs w:val="0"/>
          <w:color w:val="auto"/>
          <w:highlight w:val="none"/>
        </w:rPr>
        <w:t>政拨款收入支出决算总表</w:t>
      </w:r>
      <w:bookmarkEnd w:id="56"/>
    </w:p>
    <w:p>
      <w:pPr>
        <w:pStyle w:val="4"/>
        <w:rPr>
          <w:rStyle w:val="13"/>
          <w:rFonts w:ascii="仿宋" w:hAnsi="仿宋" w:eastAsia="仿宋"/>
          <w:b w:val="0"/>
          <w:bCs w:val="0"/>
          <w:color w:val="auto"/>
          <w:highlight w:val="none"/>
        </w:rPr>
      </w:pPr>
      <w:bookmarkStart w:id="57" w:name="_Toc15396623"/>
      <w:r>
        <w:rPr>
          <w:rStyle w:val="13"/>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13"/>
          <w:rFonts w:hint="eastAsia" w:ascii="仿宋" w:hAnsi="仿宋" w:eastAsia="仿宋"/>
          <w:b w:val="0"/>
          <w:bCs w:val="0"/>
          <w:color w:val="auto"/>
          <w:highlight w:val="none"/>
        </w:rPr>
        <w:t>政拨款支出决算明细表</w:t>
      </w:r>
      <w:bookmarkEnd w:id="57"/>
      <w:bookmarkStart w:id="58" w:name="_Toc15396624"/>
    </w:p>
    <w:p>
      <w:pPr>
        <w:pStyle w:val="4"/>
        <w:rPr>
          <w:rFonts w:ascii="仿宋" w:hAnsi="仿宋" w:eastAsia="仿宋"/>
          <w:color w:val="auto"/>
          <w:highlight w:val="none"/>
        </w:rPr>
      </w:pPr>
      <w:r>
        <w:rPr>
          <w:rStyle w:val="13"/>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13"/>
          <w:rFonts w:hint="eastAsia" w:ascii="仿宋" w:hAnsi="仿宋" w:eastAsia="仿宋"/>
          <w:b w:val="0"/>
          <w:bCs w:val="0"/>
          <w:color w:val="auto"/>
          <w:highlight w:val="none"/>
        </w:rPr>
        <w:t>般公共预算财政拨款支出决算表</w:t>
      </w:r>
      <w:bookmarkEnd w:id="58"/>
    </w:p>
    <w:p>
      <w:pPr>
        <w:pStyle w:val="4"/>
        <w:rPr>
          <w:rFonts w:ascii="仿宋" w:hAnsi="仿宋" w:eastAsia="仿宋"/>
          <w:color w:val="auto"/>
          <w:highlight w:val="none"/>
        </w:rPr>
      </w:pPr>
      <w:bookmarkStart w:id="59" w:name="_Toc15396625"/>
      <w:r>
        <w:rPr>
          <w:rStyle w:val="13"/>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13"/>
          <w:rFonts w:hint="eastAsia" w:ascii="仿宋" w:hAnsi="仿宋" w:eastAsia="仿宋"/>
          <w:b w:val="0"/>
          <w:bCs w:val="0"/>
          <w:color w:val="auto"/>
          <w:highlight w:val="none"/>
        </w:rPr>
        <w:t>般公共预算财政拨款支出决算明细表</w:t>
      </w:r>
      <w:bookmarkEnd w:id="59"/>
    </w:p>
    <w:p>
      <w:pPr>
        <w:pStyle w:val="4"/>
        <w:rPr>
          <w:rFonts w:ascii="仿宋" w:hAnsi="仿宋" w:eastAsia="仿宋"/>
          <w:color w:val="auto"/>
          <w:highlight w:val="none"/>
        </w:rPr>
      </w:pPr>
      <w:bookmarkStart w:id="60" w:name="_Toc15396626"/>
      <w:r>
        <w:rPr>
          <w:rStyle w:val="13"/>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13"/>
          <w:rFonts w:hint="eastAsia" w:ascii="仿宋" w:hAnsi="仿宋" w:eastAsia="仿宋"/>
          <w:b w:val="0"/>
          <w:bCs w:val="0"/>
          <w:color w:val="auto"/>
          <w:highlight w:val="none"/>
        </w:rPr>
        <w:t>般公共预算财政拨款基本支出决算表</w:t>
      </w:r>
      <w:bookmarkEnd w:id="60"/>
    </w:p>
    <w:p>
      <w:pPr>
        <w:pStyle w:val="4"/>
        <w:rPr>
          <w:rFonts w:ascii="仿宋" w:hAnsi="仿宋" w:eastAsia="仿宋"/>
          <w:color w:val="auto"/>
          <w:highlight w:val="none"/>
        </w:rPr>
      </w:pPr>
      <w:bookmarkStart w:id="61" w:name="_Toc15396627"/>
      <w:r>
        <w:rPr>
          <w:rStyle w:val="13"/>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13"/>
          <w:rFonts w:hint="eastAsia" w:ascii="仿宋" w:hAnsi="仿宋" w:eastAsia="仿宋"/>
          <w:b w:val="0"/>
          <w:bCs w:val="0"/>
          <w:color w:val="auto"/>
          <w:highlight w:val="none"/>
        </w:rPr>
        <w:t>般公共预算财政拨款项目支出决算表</w:t>
      </w:r>
      <w:bookmarkEnd w:id="61"/>
    </w:p>
    <w:p>
      <w:pPr>
        <w:pStyle w:val="4"/>
        <w:rPr>
          <w:rFonts w:ascii="仿宋" w:hAnsi="仿宋" w:eastAsia="仿宋"/>
          <w:color w:val="auto"/>
          <w:highlight w:val="none"/>
        </w:rPr>
      </w:pPr>
      <w:bookmarkStart w:id="62" w:name="_Toc15396628"/>
      <w:r>
        <w:rPr>
          <w:rStyle w:val="13"/>
          <w:rFonts w:hint="eastAsia" w:ascii="仿宋" w:hAnsi="仿宋" w:eastAsia="仿宋"/>
          <w:b w:val="0"/>
          <w:bCs w:val="0"/>
          <w:color w:val="auto"/>
          <w:highlight w:val="none"/>
        </w:rPr>
        <w:t>十、</w:t>
      </w:r>
      <w:bookmarkEnd w:id="62"/>
      <w:r>
        <w:rPr>
          <w:rFonts w:hint="eastAsia" w:ascii="仿宋" w:hAnsi="仿宋" w:eastAsia="仿宋"/>
          <w:b w:val="0"/>
          <w:color w:val="auto"/>
          <w:highlight w:val="none"/>
        </w:rPr>
        <w:t>政</w:t>
      </w:r>
      <w:r>
        <w:rPr>
          <w:rStyle w:val="13"/>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3" w:name="_Toc15396629"/>
      <w:r>
        <w:rPr>
          <w:rStyle w:val="13"/>
          <w:rFonts w:hint="eastAsia" w:ascii="仿宋" w:hAnsi="仿宋" w:eastAsia="仿宋"/>
          <w:b w:val="0"/>
          <w:bCs w:val="0"/>
          <w:color w:val="auto"/>
          <w:highlight w:val="none"/>
        </w:rPr>
        <w:t>十一、</w:t>
      </w:r>
      <w:bookmarkEnd w:id="63"/>
      <w:r>
        <w:rPr>
          <w:rFonts w:hint="eastAsia" w:ascii="仿宋" w:hAnsi="仿宋" w:eastAsia="仿宋"/>
          <w:b w:val="0"/>
          <w:color w:val="auto"/>
          <w:highlight w:val="none"/>
        </w:rPr>
        <w:t>国</w:t>
      </w:r>
      <w:r>
        <w:rPr>
          <w:rStyle w:val="13"/>
          <w:rFonts w:hint="eastAsia" w:ascii="仿宋" w:hAnsi="仿宋" w:eastAsia="仿宋"/>
          <w:b w:val="0"/>
          <w:bCs w:val="0"/>
          <w:color w:val="auto"/>
          <w:highlight w:val="none"/>
        </w:rPr>
        <w:t>有资本经营预算</w:t>
      </w:r>
      <w:r>
        <w:rPr>
          <w:rStyle w:val="13"/>
          <w:rFonts w:hint="eastAsia" w:ascii="仿宋" w:hAnsi="仿宋" w:eastAsia="仿宋"/>
          <w:b w:val="0"/>
          <w:bCs w:val="0"/>
          <w:color w:val="auto"/>
          <w:highlight w:val="none"/>
          <w:lang w:eastAsia="zh-CN"/>
        </w:rPr>
        <w:t>财政拨款收入</w:t>
      </w:r>
      <w:r>
        <w:rPr>
          <w:rStyle w:val="13"/>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4" w:name="_Toc15396630"/>
      <w:r>
        <w:rPr>
          <w:rStyle w:val="13"/>
          <w:rFonts w:hint="eastAsia" w:ascii="仿宋" w:hAnsi="仿宋" w:eastAsia="仿宋"/>
          <w:b w:val="0"/>
          <w:bCs w:val="0"/>
          <w:color w:val="auto"/>
          <w:highlight w:val="none"/>
        </w:rPr>
        <w:t>十二、</w:t>
      </w:r>
      <w:bookmarkEnd w:id="64"/>
      <w:r>
        <w:rPr>
          <w:rStyle w:val="13"/>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5" w:name="_Toc15396631"/>
      <w:r>
        <w:rPr>
          <w:rStyle w:val="13"/>
          <w:rFonts w:hint="eastAsia" w:ascii="仿宋" w:hAnsi="仿宋" w:eastAsia="仿宋"/>
          <w:b w:val="0"/>
          <w:bCs w:val="0"/>
          <w:color w:val="auto"/>
          <w:highlight w:val="none"/>
        </w:rPr>
        <w:t>十三、</w:t>
      </w:r>
      <w:bookmarkEnd w:id="65"/>
      <w:r>
        <w:rPr>
          <w:rStyle w:val="13"/>
          <w:rFonts w:hint="eastAsia" w:ascii="仿宋" w:hAnsi="仿宋" w:eastAsia="仿宋"/>
          <w:b w:val="0"/>
          <w:bCs w:val="0"/>
          <w:color w:val="auto"/>
          <w:highlight w:val="none"/>
          <w:lang w:eastAsia="zh-CN"/>
        </w:rPr>
        <w:t>财政拨款“三公”经费支出决算表</w:t>
      </w:r>
    </w:p>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auto"/>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96C4B"/>
    <w:rsid w:val="184B52CA"/>
    <w:rsid w:val="1AC81AC4"/>
    <w:rsid w:val="1F8C3341"/>
    <w:rsid w:val="429D4745"/>
    <w:rsid w:val="513E107B"/>
    <w:rsid w:val="575B23F8"/>
    <w:rsid w:val="60447D3D"/>
    <w:rsid w:val="6E032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3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character" w:styleId="11">
    <w:name w:val="Strong"/>
    <w:basedOn w:val="10"/>
    <w:qFormat/>
    <w:uiPriority w:val="99"/>
    <w:rPr>
      <w:b/>
    </w:rPr>
  </w:style>
  <w:style w:type="character" w:customStyle="1" w:styleId="12">
    <w:name w:val="标题 1 Char"/>
    <w:basedOn w:val="10"/>
    <w:link w:val="3"/>
    <w:qFormat/>
    <w:uiPriority w:val="9"/>
    <w:rPr>
      <w:b/>
      <w:bCs/>
      <w:kern w:val="44"/>
      <w:sz w:val="44"/>
      <w:szCs w:val="44"/>
    </w:rPr>
  </w:style>
  <w:style w:type="character" w:customStyle="1" w:styleId="13">
    <w:name w:val="标题 2 Char"/>
    <w:basedOn w:val="10"/>
    <w:link w:val="4"/>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style>
  <w:style w:type="paragraph" w:customStyle="1" w:styleId="1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manualLayout>
          <c:layoutTarget val="inner"/>
          <c:xMode val="edge"/>
          <c:yMode val="edge"/>
          <c:x val="0.0915297414342122"/>
          <c:y val="0.0857848179386957"/>
          <c:w val="0.903375366195389"/>
          <c:h val="0.650565727216622"/>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562.9</c:v>
                </c:pt>
                <c:pt idx="1">
                  <c:v>562.9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331.29</c:v>
                </c:pt>
                <c:pt idx="1">
                  <c:v>331.29</c:v>
                </c:pt>
              </c:numCache>
            </c:numRef>
          </c:val>
        </c:ser>
        <c:dLbls>
          <c:showLegendKey val="0"/>
          <c:showVal val="0"/>
          <c:showCatName val="0"/>
          <c:showSerName val="0"/>
          <c:showPercent val="0"/>
          <c:showBubbleSize val="0"/>
        </c:dLbls>
        <c:gapWidth val="219"/>
        <c:overlap val="-27"/>
        <c:axId val="61892952"/>
        <c:axId val="844726788"/>
      </c:barChart>
      <c:catAx>
        <c:axId val="618929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4726788"/>
        <c:crosses val="autoZero"/>
        <c:auto val="1"/>
        <c:lblAlgn val="ctr"/>
        <c:lblOffset val="100"/>
        <c:noMultiLvlLbl val="0"/>
      </c:catAx>
      <c:valAx>
        <c:axId val="8447267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929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2022年收入决算结构图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331.29</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2022年支出决算结构图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331.29</c:v>
                </c:pt>
                <c:pt idx="1">
                  <c:v>0</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562.9</c:v>
                </c:pt>
                <c:pt idx="1">
                  <c:v>331.29</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562.9</c:v>
                </c:pt>
                <c:pt idx="1">
                  <c:v>331.29</c:v>
                </c:pt>
              </c:numCache>
            </c:numRef>
          </c:val>
        </c:ser>
        <c:dLbls>
          <c:showLegendKey val="0"/>
          <c:showVal val="0"/>
          <c:showCatName val="0"/>
          <c:showSerName val="0"/>
          <c:showPercent val="0"/>
          <c:showBubbleSize val="0"/>
        </c:dLbls>
        <c:gapWidth val="219"/>
        <c:overlap val="-27"/>
        <c:axId val="549393195"/>
        <c:axId val="223844708"/>
      </c:barChart>
      <c:catAx>
        <c:axId val="5493931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3844708"/>
        <c:crosses val="autoZero"/>
        <c:auto val="1"/>
        <c:lblAlgn val="ctr"/>
        <c:lblOffset val="100"/>
        <c:noMultiLvlLbl val="0"/>
      </c:catAx>
      <c:valAx>
        <c:axId val="2238447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93931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562.9</c:v>
                </c:pt>
                <c:pt idx="1">
                  <c:v>331.29</c:v>
                </c:pt>
              </c:numCache>
            </c:numRef>
          </c:val>
        </c:ser>
        <c:dLbls>
          <c:showLegendKey val="0"/>
          <c:showVal val="0"/>
          <c:showCatName val="0"/>
          <c:showSerName val="0"/>
          <c:showPercent val="0"/>
          <c:showBubbleSize val="0"/>
        </c:dLbls>
        <c:gapWidth val="219"/>
        <c:overlap val="-27"/>
        <c:axId val="68932860"/>
        <c:axId val="557510258"/>
      </c:barChart>
      <c:catAx>
        <c:axId val="689328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7510258"/>
        <c:crosses val="autoZero"/>
        <c:auto val="1"/>
        <c:lblAlgn val="ctr"/>
        <c:lblOffset val="100"/>
        <c:noMultiLvlLbl val="0"/>
      </c:catAx>
      <c:valAx>
        <c:axId val="5575102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9328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社会和保障就业支出</c:v>
                </c:pt>
                <c:pt idx="1">
                  <c:v>卫生健康支出</c:v>
                </c:pt>
                <c:pt idx="2">
                  <c:v>农林水支出</c:v>
                </c:pt>
                <c:pt idx="3">
                  <c:v>住房保障支出</c:v>
                </c:pt>
              </c:strCache>
            </c:strRef>
          </c:cat>
          <c:val>
            <c:numRef>
              <c:f>Sheet1!$B$2:$B$5</c:f>
              <c:numCache>
                <c:formatCode>General</c:formatCode>
                <c:ptCount val="4"/>
                <c:pt idx="0">
                  <c:v>8.2</c:v>
                </c:pt>
                <c:pt idx="1">
                  <c:v>3.2</c:v>
                </c:pt>
                <c:pt idx="2">
                  <c:v>1.4</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2023-08-16T09:12:00Z</dcterms:created>
  <dc:creator>Administrator</dc:creator>
  <cp:lastModifiedBy>Administrator</cp:lastModifiedBy>
  <dcterms:modified xsi:type="dcterms:W3CDTF">2023-08-21T07:59:53Z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