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宋体" w:hAnsi="宋体" w:eastAsia="方正小标宋简体"/>
          <w:color w:val="auto"/>
          <w:sz w:val="21"/>
          <w:szCs w:val="21"/>
          <w:highlight w:val="none"/>
        </w:rPr>
      </w:pPr>
      <w:bookmarkStart w:id="0" w:name="_Toc15306267"/>
    </w:p>
    <w:p>
      <w:pPr>
        <w:spacing w:line="600" w:lineRule="exact"/>
        <w:jc w:val="center"/>
        <w:outlineLvl w:val="9"/>
        <w:rPr>
          <w:rFonts w:ascii="宋体" w:hAnsi="宋体" w:eastAsia="方正小标宋简体"/>
          <w:color w:val="auto"/>
          <w:sz w:val="72"/>
          <w:szCs w:val="72"/>
          <w:highlight w:val="none"/>
        </w:rPr>
      </w:pPr>
    </w:p>
    <w:p>
      <w:pPr>
        <w:spacing w:line="600" w:lineRule="exact"/>
        <w:jc w:val="center"/>
        <w:outlineLvl w:val="9"/>
        <w:rPr>
          <w:rFonts w:ascii="宋体" w:hAnsi="宋体" w:eastAsia="方正小标宋简体"/>
          <w:color w:val="auto"/>
          <w:sz w:val="72"/>
          <w:szCs w:val="72"/>
          <w:highlight w:val="none"/>
        </w:rPr>
      </w:pPr>
    </w:p>
    <w:p>
      <w:pPr>
        <w:adjustRightInd w:val="0"/>
        <w:snapToGrid w:val="0"/>
        <w:spacing w:line="360" w:lineRule="auto"/>
        <w:jc w:val="center"/>
        <w:outlineLvl w:val="0"/>
        <w:rPr>
          <w:rFonts w:hint="eastAsia" w:ascii="宋体" w:hAnsi="宋体" w:eastAsia="方正小标宋简体" w:cs="方正小标宋简体"/>
          <w:color w:val="auto"/>
          <w:sz w:val="72"/>
          <w:szCs w:val="72"/>
          <w:highlight w:val="none"/>
        </w:rPr>
      </w:pPr>
      <w:bookmarkStart w:id="1" w:name="_Toc15396475"/>
      <w:bookmarkStart w:id="2" w:name="_Toc15377193"/>
      <w:bookmarkStart w:id="3" w:name="_Toc15377425"/>
      <w:bookmarkStart w:id="4" w:name="_Toc15396597"/>
      <w:bookmarkStart w:id="5" w:name="_Toc7533"/>
      <w:bookmarkStart w:id="6" w:name="_Toc29135"/>
      <w:bookmarkStart w:id="7" w:name="_Toc15378441"/>
      <w:r>
        <w:rPr>
          <w:rFonts w:hint="eastAsia" w:ascii="宋体" w:hAnsi="宋体" w:eastAsia="方正小标宋简体" w:cs="方正小标宋简体"/>
          <w:color w:val="auto"/>
          <w:sz w:val="72"/>
          <w:szCs w:val="72"/>
          <w:highlight w:val="none"/>
        </w:rPr>
        <w:t>20</w:t>
      </w:r>
      <w:r>
        <w:rPr>
          <w:rFonts w:hint="eastAsia" w:ascii="宋体" w:hAnsi="宋体" w:eastAsia="方正小标宋简体" w:cs="方正小标宋简体"/>
          <w:color w:val="auto"/>
          <w:sz w:val="72"/>
          <w:szCs w:val="72"/>
          <w:highlight w:val="none"/>
          <w:lang w:val="en-US" w:eastAsia="zh-CN"/>
        </w:rPr>
        <w:t>22</w:t>
      </w:r>
      <w:r>
        <w:rPr>
          <w:rFonts w:hint="eastAsia" w:ascii="宋体" w:hAnsi="宋体" w:eastAsia="方正小标宋简体" w:cs="方正小标宋简体"/>
          <w:color w:val="auto"/>
          <w:sz w:val="72"/>
          <w:szCs w:val="72"/>
          <w:highlight w:val="none"/>
        </w:rPr>
        <w:t>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hint="eastAsia" w:ascii="宋体" w:hAnsi="宋体" w:eastAsia="方正小标宋简体" w:cs="方正小标宋简体"/>
          <w:color w:val="auto"/>
          <w:sz w:val="72"/>
          <w:szCs w:val="72"/>
          <w:highlight w:val="none"/>
        </w:rPr>
      </w:pPr>
      <w:bookmarkStart w:id="8" w:name="_Toc16445"/>
      <w:bookmarkStart w:id="9" w:name="_Toc15378442"/>
      <w:bookmarkStart w:id="10" w:name="_Toc15396598"/>
      <w:bookmarkStart w:id="11" w:name="_Toc15377194"/>
      <w:bookmarkStart w:id="12" w:name="_Toc15306268"/>
      <w:bookmarkStart w:id="13" w:name="_Toc15396476"/>
      <w:bookmarkStart w:id="14" w:name="_Toc13520"/>
      <w:bookmarkStart w:id="15" w:name="_Toc15377426"/>
      <w:r>
        <w:rPr>
          <w:rFonts w:hint="eastAsia" w:ascii="宋体" w:hAnsi="宋体" w:eastAsia="方正小标宋简体" w:cs="方正小标宋简体"/>
          <w:color w:val="auto"/>
          <w:sz w:val="72"/>
          <w:szCs w:val="72"/>
          <w:highlight w:val="none"/>
          <w:lang w:val="en-US" w:eastAsia="zh-CN"/>
        </w:rPr>
        <w:t>资阳市雁江区归国华侨侨眷联合会</w:t>
      </w:r>
      <w:r>
        <w:rPr>
          <w:rFonts w:hint="eastAsia" w:ascii="宋体" w:hAnsi="宋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sz w:val="44"/>
          <w:szCs w:val="44"/>
          <w:highlight w:val="none"/>
        </w:rPr>
      </w:pPr>
      <w:r>
        <w:rPr>
          <w:rFonts w:ascii="宋体" w:hAnsi="宋体" w:eastAsia="方正小标宋简体"/>
          <w:color w:val="auto"/>
          <w:sz w:val="36"/>
          <w:szCs w:val="36"/>
          <w:highlight w:val="none"/>
        </w:rPr>
        <w:br w:type="page"/>
      </w:r>
      <w:r>
        <w:rPr>
          <w:rFonts w:hint="eastAsia" w:ascii="方正小标宋_GBK" w:hAnsi="方正小标宋_GBK" w:eastAsia="方正小标宋_GBK" w:cs="方正小标宋_GBK"/>
          <w:color w:val="auto"/>
          <w:sz w:val="44"/>
          <w:szCs w:val="44"/>
          <w:highlight w:val="none"/>
        </w:rPr>
        <w:t>目</w:t>
      </w:r>
      <w:r>
        <w:rPr>
          <w:rFonts w:hint="eastAsia" w:ascii="方正小标宋_GBK" w:hAnsi="方正小标宋_GBK" w:eastAsia="方正小标宋_GBK" w:cs="方正小标宋_GBK"/>
          <w:color w:val="auto"/>
          <w:sz w:val="44"/>
          <w:szCs w:val="44"/>
          <w:highlight w:val="none"/>
          <w:lang w:val="en-US" w:eastAsia="zh-CN"/>
        </w:rPr>
        <w:t xml:space="preserve">  </w:t>
      </w:r>
      <w:r>
        <w:rPr>
          <w:rFonts w:hint="eastAsia" w:ascii="方正小标宋_GBK" w:hAnsi="方正小标宋_GBK" w:eastAsia="方正小标宋_GBK" w:cs="方正小标宋_GBK"/>
          <w:color w:val="auto"/>
          <w:sz w:val="44"/>
          <w:szCs w:val="44"/>
          <w:highlight w:val="none"/>
        </w:rPr>
        <w:t>录</w:t>
      </w:r>
    </w:p>
    <w:p>
      <w:pPr>
        <w:pStyle w:val="11"/>
        <w:keepNext w:val="0"/>
        <w:keepLines w:val="0"/>
        <w:pageBreakBefore w:val="0"/>
        <w:widowControl w:val="0"/>
        <w:kinsoku/>
        <w:wordWrap/>
        <w:overflowPunct/>
        <w:topLinePunct w:val="0"/>
        <w:autoSpaceDE/>
        <w:autoSpaceDN/>
        <w:bidi w:val="0"/>
        <w:adjustRightInd/>
        <w:snapToGrid/>
        <w:spacing w:before="0" w:line="590" w:lineRule="exact"/>
        <w:jc w:val="center"/>
        <w:textAlignment w:val="auto"/>
        <w:rPr>
          <w:rFonts w:hint="eastAsia" w:ascii="宋体" w:hAnsi="宋体" w:eastAsia="方正楷体_GBK" w:cs="方正楷体_GBK"/>
          <w:b/>
          <w:bCs/>
          <w:color w:val="auto"/>
          <w:sz w:val="33"/>
          <w:szCs w:val="33"/>
          <w:highlight w:val="none"/>
        </w:rPr>
      </w:pPr>
    </w:p>
    <w:p>
      <w:pPr>
        <w:pStyle w:val="11"/>
        <w:keepNext w:val="0"/>
        <w:keepLines w:val="0"/>
        <w:pageBreakBefore w:val="0"/>
        <w:widowControl w:val="0"/>
        <w:kinsoku/>
        <w:wordWrap/>
        <w:overflowPunct/>
        <w:topLinePunct w:val="0"/>
        <w:autoSpaceDE/>
        <w:autoSpaceDN/>
        <w:bidi w:val="0"/>
        <w:adjustRightInd/>
        <w:snapToGrid/>
        <w:spacing w:before="0" w:line="590" w:lineRule="exact"/>
        <w:jc w:val="center"/>
        <w:textAlignment w:val="auto"/>
        <w:rPr>
          <w:rFonts w:hint="eastAsia" w:ascii="宋体" w:hAnsi="宋体" w:eastAsia="方正楷体_GBK" w:cs="方正楷体_GBK"/>
          <w:b/>
          <w:bCs/>
          <w:color w:val="auto"/>
          <w:sz w:val="33"/>
          <w:szCs w:val="33"/>
          <w:highlight w:val="none"/>
        </w:rPr>
      </w:pPr>
      <w:r>
        <w:rPr>
          <w:rFonts w:hint="eastAsia" w:ascii="宋体" w:hAnsi="宋体" w:eastAsia="方正楷体_GBK" w:cs="方正楷体_GBK"/>
          <w:b/>
          <w:bCs/>
          <w:color w:val="auto"/>
          <w:sz w:val="33"/>
          <w:szCs w:val="33"/>
          <w:highlight w:val="none"/>
        </w:rPr>
        <w:t>公开时间：20</w:t>
      </w:r>
      <w:r>
        <w:rPr>
          <w:rFonts w:hint="eastAsia" w:ascii="宋体" w:hAnsi="宋体" w:eastAsia="方正楷体_GBK" w:cs="方正楷体_GBK"/>
          <w:b/>
          <w:bCs/>
          <w:color w:val="auto"/>
          <w:sz w:val="33"/>
          <w:szCs w:val="33"/>
          <w:highlight w:val="none"/>
          <w:lang w:val="en-US" w:eastAsia="zh-CN"/>
        </w:rPr>
        <w:t>23</w:t>
      </w:r>
      <w:r>
        <w:rPr>
          <w:rFonts w:hint="eastAsia" w:ascii="宋体" w:hAnsi="宋体" w:eastAsia="方正楷体_GBK" w:cs="方正楷体_GBK"/>
          <w:b/>
          <w:bCs/>
          <w:color w:val="auto"/>
          <w:sz w:val="33"/>
          <w:szCs w:val="33"/>
          <w:highlight w:val="none"/>
        </w:rPr>
        <w:t>年</w:t>
      </w:r>
      <w:r>
        <w:rPr>
          <w:rFonts w:hint="eastAsia" w:ascii="宋体" w:hAnsi="宋体" w:eastAsia="方正楷体_GBK" w:cs="方正楷体_GBK"/>
          <w:b/>
          <w:bCs/>
          <w:color w:val="auto"/>
          <w:sz w:val="33"/>
          <w:szCs w:val="33"/>
          <w:highlight w:val="none"/>
          <w:lang w:val="en-US" w:eastAsia="zh-CN"/>
        </w:rPr>
        <w:t>8</w:t>
      </w:r>
      <w:r>
        <w:rPr>
          <w:rFonts w:hint="eastAsia" w:ascii="宋体" w:hAnsi="宋体" w:eastAsia="方正楷体_GBK" w:cs="方正楷体_GBK"/>
          <w:b/>
          <w:bCs/>
          <w:color w:val="auto"/>
          <w:sz w:val="33"/>
          <w:szCs w:val="33"/>
          <w:highlight w:val="none"/>
        </w:rPr>
        <w:t>月</w:t>
      </w:r>
      <w:r>
        <w:rPr>
          <w:rFonts w:hint="eastAsia" w:ascii="宋体" w:hAnsi="宋体" w:eastAsia="方正楷体_GBK" w:cs="方正楷体_GBK"/>
          <w:b/>
          <w:bCs/>
          <w:color w:val="auto"/>
          <w:sz w:val="33"/>
          <w:szCs w:val="33"/>
          <w:highlight w:val="none"/>
          <w:lang w:val="en-US" w:eastAsia="zh-CN"/>
        </w:rPr>
        <w:t>28</w:t>
      </w:r>
      <w:bookmarkStart w:id="103" w:name="_GoBack"/>
      <w:bookmarkEnd w:id="103"/>
      <w:r>
        <w:rPr>
          <w:rFonts w:hint="eastAsia" w:ascii="宋体" w:hAnsi="宋体" w:eastAsia="方正楷体_GBK" w:cs="方正楷体_GBK"/>
          <w:b/>
          <w:bCs/>
          <w:color w:val="auto"/>
          <w:sz w:val="33"/>
          <w:szCs w:val="33"/>
          <w:highlight w:val="none"/>
        </w:rPr>
        <w:t>日</w:t>
      </w:r>
    </w:p>
    <w:sdt>
      <w:sdtPr>
        <w:rPr>
          <w:rFonts w:ascii="宋体" w:hAnsi="宋体" w:eastAsia="宋体" w:cs="Times New Roman"/>
          <w:kern w:val="2"/>
          <w:sz w:val="21"/>
          <w:szCs w:val="24"/>
          <w:lang w:val="en-US" w:eastAsia="zh-CN" w:bidi="ar-SA"/>
        </w:rPr>
        <w:id w:val="147476336"/>
        <w15:color w:val="DBDBDB"/>
        <w:docPartObj>
          <w:docPartGallery w:val="Table of Contents"/>
          <w:docPartUnique/>
        </w:docPartObj>
      </w:sdtPr>
      <w:sdtEndPr>
        <w:rPr>
          <w:rFonts w:hint="eastAsia" w:ascii="宋体" w:hAnsi="宋体" w:eastAsia="宋体" w:cs="Times New Roman"/>
          <w:b/>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90" w:lineRule="exact"/>
            <w:ind w:left="0" w:leftChars="0" w:right="0" w:rightChars="0" w:firstLine="0" w:firstLineChars="0"/>
            <w:jc w:val="center"/>
            <w:textAlignment w:val="auto"/>
            <w:rPr>
              <w:rFonts w:hint="eastAsia" w:ascii="宋体" w:hAnsi="宋体" w:eastAsia="方正仿宋_GBK" w:cs="方正仿宋_GBK"/>
              <w:b/>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TOC \o "1-2" \h \u </w:instrText>
          </w:r>
          <w:r>
            <w:rPr>
              <w:rFonts w:hint="eastAsia" w:ascii="宋体" w:hAnsi="宋体" w:eastAsia="方正仿宋_GBK" w:cs="方正仿宋_GBK"/>
              <w:sz w:val="33"/>
              <w:szCs w:val="33"/>
            </w:rPr>
            <w:fldChar w:fldCharType="separate"/>
          </w:r>
        </w:p>
        <w:p>
          <w:pPr>
            <w:pStyle w:val="33"/>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b/>
              <w:sz w:val="33"/>
              <w:szCs w:val="33"/>
            </w:rPr>
          </w:pP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HYPERLINK \l _Toc9316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highlight w:val="none"/>
            </w:rPr>
            <w:t>第一部分</w:t>
          </w:r>
          <w:r>
            <w:rPr>
              <w:rFonts w:hint="eastAsia" w:ascii="宋体" w:hAnsi="宋体" w:eastAsia="方正仿宋_GBK" w:cs="方正仿宋_GBK"/>
              <w:b/>
              <w:sz w:val="33"/>
              <w:szCs w:val="33"/>
              <w:highlight w:val="none"/>
              <w:lang w:val="en-US" w:eastAsia="zh-CN"/>
            </w:rPr>
            <w:t xml:space="preserve">  </w:t>
          </w:r>
          <w:r>
            <w:rPr>
              <w:rFonts w:hint="eastAsia" w:ascii="宋体" w:hAnsi="宋体" w:eastAsia="方正仿宋_GBK" w:cs="方正仿宋_GBK"/>
              <w:b/>
              <w:sz w:val="33"/>
              <w:szCs w:val="33"/>
              <w:highlight w:val="none"/>
              <w:lang w:eastAsia="zh-CN"/>
            </w:rPr>
            <w:t>单位</w:t>
          </w:r>
          <w:r>
            <w:rPr>
              <w:rFonts w:hint="eastAsia" w:ascii="宋体" w:hAnsi="宋体" w:eastAsia="方正仿宋_GBK" w:cs="方正仿宋_GBK"/>
              <w:b/>
              <w:bCs w:val="0"/>
              <w:sz w:val="33"/>
              <w:szCs w:val="33"/>
              <w:highlight w:val="none"/>
            </w:rPr>
            <w:t>概况</w:t>
          </w:r>
          <w:r>
            <w:rPr>
              <w:rFonts w:hint="eastAsia" w:ascii="宋体" w:hAnsi="宋体" w:eastAsia="方正仿宋_GBK" w:cs="方正仿宋_GBK"/>
              <w:b/>
              <w:sz w:val="33"/>
              <w:szCs w:val="33"/>
            </w:rPr>
            <w:tab/>
          </w: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PAGEREF _Toc9316 \h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rPr>
            <w:t>1</w:t>
          </w:r>
          <w:r>
            <w:rPr>
              <w:rFonts w:hint="eastAsia" w:ascii="宋体" w:hAnsi="宋体" w:eastAsia="方正仿宋_GBK" w:cs="方正仿宋_GBK"/>
              <w:b/>
              <w:sz w:val="33"/>
              <w:szCs w:val="33"/>
            </w:rPr>
            <w:fldChar w:fldCharType="end"/>
          </w:r>
          <w:r>
            <w:rPr>
              <w:rFonts w:hint="eastAsia" w:ascii="宋体" w:hAnsi="宋体" w:eastAsia="方正仿宋_GBK" w:cs="方正仿宋_GBK"/>
              <w:b/>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_Toc15833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lang w:val="en-US" w:eastAsia="zh-CN"/>
            </w:rPr>
            <w:t>一、</w:t>
          </w:r>
          <w:r>
            <w:rPr>
              <w:rFonts w:hint="eastAsia" w:ascii="宋体" w:hAnsi="宋体" w:eastAsia="方正仿宋_GBK" w:cs="方正仿宋_GBK"/>
              <w:bCs w:val="0"/>
              <w:sz w:val="33"/>
              <w:szCs w:val="33"/>
              <w:highlight w:val="none"/>
              <w:lang w:eastAsia="zh-CN"/>
            </w:rPr>
            <w:t>主要职责</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_Toc15833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_Toc18389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lang w:val="en-US" w:eastAsia="zh-CN"/>
            </w:rPr>
            <w:t>二、机构设置</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_Toc18389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3"/>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b/>
              <w:sz w:val="33"/>
              <w:szCs w:val="33"/>
            </w:rPr>
          </w:pP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HYPERLINK \l _Toc21482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bCs/>
              <w:sz w:val="33"/>
              <w:szCs w:val="33"/>
              <w:highlight w:val="none"/>
            </w:rPr>
            <w:t>第二部分</w:t>
          </w:r>
          <w:r>
            <w:rPr>
              <w:rFonts w:hint="eastAsia" w:ascii="宋体" w:hAnsi="宋体" w:eastAsia="方正仿宋_GBK" w:cs="方正仿宋_GBK"/>
              <w:b/>
              <w:bCs/>
              <w:sz w:val="33"/>
              <w:szCs w:val="33"/>
              <w:highlight w:val="none"/>
              <w:lang w:val="en-US" w:eastAsia="zh-CN"/>
            </w:rPr>
            <w:t xml:space="preserve"> </w:t>
          </w:r>
          <w:r>
            <w:rPr>
              <w:rFonts w:hint="eastAsia" w:ascii="宋体" w:hAnsi="宋体" w:eastAsia="方正仿宋_GBK" w:cs="方正仿宋_GBK"/>
              <w:b/>
              <w:bCs/>
              <w:sz w:val="33"/>
              <w:szCs w:val="33"/>
              <w:highlight w:val="none"/>
            </w:rPr>
            <w:t xml:space="preserve"> </w:t>
          </w:r>
          <w:r>
            <w:rPr>
              <w:rFonts w:hint="eastAsia" w:ascii="宋体" w:hAnsi="宋体" w:eastAsia="方正仿宋_GBK" w:cs="方正仿宋_GBK"/>
              <w:b/>
              <w:bCs/>
              <w:sz w:val="33"/>
              <w:szCs w:val="33"/>
              <w:highlight w:val="none"/>
              <w:lang w:val="en-US" w:eastAsia="zh-CN"/>
            </w:rPr>
            <w:t>2022年度</w:t>
          </w:r>
          <w:r>
            <w:rPr>
              <w:rFonts w:hint="eastAsia" w:ascii="宋体" w:hAnsi="宋体" w:eastAsia="方正仿宋_GBK" w:cs="方正仿宋_GBK"/>
              <w:b/>
              <w:bCs/>
              <w:sz w:val="33"/>
              <w:szCs w:val="33"/>
              <w:highlight w:val="none"/>
              <w:lang w:eastAsia="zh-CN"/>
            </w:rPr>
            <w:t>单位</w:t>
          </w:r>
          <w:r>
            <w:rPr>
              <w:rFonts w:hint="eastAsia" w:ascii="宋体" w:hAnsi="宋体" w:eastAsia="方正仿宋_GBK" w:cs="方正仿宋_GBK"/>
              <w:b/>
              <w:bCs/>
              <w:sz w:val="33"/>
              <w:szCs w:val="33"/>
              <w:highlight w:val="none"/>
            </w:rPr>
            <w:t>决算情况说明</w:t>
          </w:r>
          <w:r>
            <w:rPr>
              <w:rFonts w:hint="eastAsia" w:ascii="宋体" w:hAnsi="宋体" w:eastAsia="方正仿宋_GBK" w:cs="方正仿宋_GBK"/>
              <w:b/>
              <w:sz w:val="33"/>
              <w:szCs w:val="33"/>
            </w:rPr>
            <w:tab/>
          </w: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PAGEREF _Toc21482 \h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rPr>
            <w:t>2</w:t>
          </w:r>
          <w:r>
            <w:rPr>
              <w:rFonts w:hint="eastAsia" w:ascii="宋体" w:hAnsi="宋体" w:eastAsia="方正仿宋_GBK" w:cs="方正仿宋_GBK"/>
              <w:b/>
              <w:sz w:val="33"/>
              <w:szCs w:val="33"/>
            </w:rPr>
            <w:fldChar w:fldCharType="end"/>
          </w:r>
          <w:r>
            <w:rPr>
              <w:rFonts w:hint="eastAsia" w:ascii="宋体" w:hAnsi="宋体" w:eastAsia="方正仿宋_GBK" w:cs="方正仿宋_GBK"/>
              <w:b/>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_Toc6556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lang w:val="en-US" w:eastAsia="zh-CN"/>
            </w:rPr>
            <w:t>一、</w:t>
          </w:r>
          <w:r>
            <w:rPr>
              <w:rFonts w:hint="eastAsia" w:ascii="宋体" w:hAnsi="宋体" w:eastAsia="方正仿宋_GBK" w:cs="方正仿宋_GBK"/>
              <w:sz w:val="33"/>
              <w:szCs w:val="33"/>
              <w:highlight w:val="none"/>
            </w:rPr>
            <w:t>收入支出决算总体情况说明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_Toc6556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2</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_Toc21154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lang w:val="en-US" w:eastAsia="zh-CN"/>
            </w:rPr>
            <w:t>二、</w:t>
          </w:r>
          <w:r>
            <w:rPr>
              <w:rFonts w:hint="eastAsia" w:ascii="宋体" w:hAnsi="宋体" w:eastAsia="方正仿宋_GBK" w:cs="方正仿宋_GBK"/>
              <w:sz w:val="33"/>
              <w:szCs w:val="33"/>
              <w:highlight w:val="none"/>
            </w:rPr>
            <w:t>收入决算情况说明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_Toc21154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2</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_Toc650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lang w:val="en-US" w:eastAsia="zh-CN"/>
            </w:rPr>
            <w:t>三、</w:t>
          </w:r>
          <w:r>
            <w:rPr>
              <w:rFonts w:hint="eastAsia" w:ascii="宋体" w:hAnsi="宋体" w:eastAsia="方正仿宋_GBK" w:cs="方正仿宋_GBK"/>
              <w:sz w:val="33"/>
              <w:szCs w:val="33"/>
              <w:highlight w:val="none"/>
            </w:rPr>
            <w:t>支出决算情况说明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_Toc650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3</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_Toc24651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rPr>
            <w:t>四、财政拨款收入支出决算总体情况说明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_Toc24651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3</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_Toc30323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rPr>
            <w:t>五、一般公共预算财政拨款支出决算情况说明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_Toc30323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4</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_Toc17075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rPr>
            <w:t>六、一般公共预算财政拨款基本支出决算情况说明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_Toc17075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6</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_Toc26619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rPr>
            <w:t>七、财政拨款“三公”经费支出决算情况说明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_Toc26619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6</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_Toc30586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rPr>
            <w:t>八、政府性基金预算支出决算情况说明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_Toc30586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6</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_Toc12970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lang w:val="en-US" w:eastAsia="zh-CN"/>
            </w:rPr>
            <w:t>九、</w:t>
          </w:r>
          <w:r>
            <w:rPr>
              <w:rFonts w:hint="eastAsia" w:ascii="宋体" w:hAnsi="宋体" w:eastAsia="方正仿宋_GBK" w:cs="方正仿宋_GBK"/>
              <w:sz w:val="33"/>
              <w:szCs w:val="33"/>
              <w:highlight w:val="none"/>
            </w:rPr>
            <w:t>国有资本经营预算支出决算情况说明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_Toc12970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6</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_Toc19714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lang w:val="en-US" w:eastAsia="zh-CN"/>
            </w:rPr>
            <w:t>十、</w:t>
          </w:r>
          <w:r>
            <w:rPr>
              <w:rFonts w:hint="eastAsia" w:ascii="宋体" w:hAnsi="宋体" w:eastAsia="方正仿宋_GBK" w:cs="方正仿宋_GBK"/>
              <w:sz w:val="33"/>
              <w:szCs w:val="33"/>
              <w:highlight w:val="none"/>
            </w:rPr>
            <w:t>其他重要事项的情况说明</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_Toc19714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6</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3"/>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b/>
              <w:sz w:val="33"/>
              <w:szCs w:val="33"/>
            </w:rPr>
          </w:pP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HYPERLINK \l _Toc16243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highlight w:val="none"/>
              <w:lang w:val="en-US" w:eastAsia="zh-CN"/>
            </w:rPr>
            <w:t xml:space="preserve">第三部分  </w:t>
          </w:r>
          <w:r>
            <w:rPr>
              <w:rFonts w:hint="eastAsia" w:ascii="宋体" w:hAnsi="宋体" w:eastAsia="方正仿宋_GBK" w:cs="方正仿宋_GBK"/>
              <w:b/>
              <w:sz w:val="33"/>
              <w:szCs w:val="33"/>
              <w:highlight w:val="none"/>
            </w:rPr>
            <w:t>名词解释</w:t>
          </w:r>
          <w:r>
            <w:rPr>
              <w:rFonts w:hint="eastAsia" w:ascii="宋体" w:hAnsi="宋体" w:eastAsia="方正仿宋_GBK" w:cs="方正仿宋_GBK"/>
              <w:b/>
              <w:sz w:val="33"/>
              <w:szCs w:val="33"/>
            </w:rPr>
            <w:tab/>
          </w: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PAGEREF _Toc16243 \h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rPr>
            <w:t>8</w:t>
          </w:r>
          <w:r>
            <w:rPr>
              <w:rFonts w:hint="eastAsia" w:ascii="宋体" w:hAnsi="宋体" w:eastAsia="方正仿宋_GBK" w:cs="方正仿宋_GBK"/>
              <w:b/>
              <w:sz w:val="33"/>
              <w:szCs w:val="33"/>
            </w:rPr>
            <w:fldChar w:fldCharType="end"/>
          </w:r>
          <w:r>
            <w:rPr>
              <w:rFonts w:hint="eastAsia" w:ascii="宋体" w:hAnsi="宋体" w:eastAsia="方正仿宋_GBK" w:cs="方正仿宋_GBK"/>
              <w:b/>
              <w:sz w:val="33"/>
              <w:szCs w:val="33"/>
            </w:rPr>
            <w:fldChar w:fldCharType="end"/>
          </w:r>
        </w:p>
        <w:p>
          <w:pPr>
            <w:pStyle w:val="33"/>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b/>
              <w:sz w:val="33"/>
              <w:szCs w:val="33"/>
            </w:rPr>
          </w:pP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HYPERLINK \l _Toc29731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highlight w:val="none"/>
            </w:rPr>
            <w:t xml:space="preserve">第四部分 </w:t>
          </w:r>
          <w:r>
            <w:rPr>
              <w:rFonts w:hint="eastAsia" w:ascii="宋体" w:hAnsi="宋体" w:eastAsia="方正仿宋_GBK" w:cs="方正仿宋_GBK"/>
              <w:b/>
              <w:sz w:val="33"/>
              <w:szCs w:val="33"/>
              <w:highlight w:val="none"/>
              <w:lang w:val="en-US" w:eastAsia="zh-CN"/>
            </w:rPr>
            <w:t xml:space="preserve"> </w:t>
          </w:r>
          <w:r>
            <w:rPr>
              <w:rFonts w:hint="eastAsia" w:ascii="宋体" w:hAnsi="宋体" w:eastAsia="方正仿宋_GBK" w:cs="方正仿宋_GBK"/>
              <w:b/>
              <w:sz w:val="33"/>
              <w:szCs w:val="33"/>
              <w:highlight w:val="none"/>
            </w:rPr>
            <w:t>附件</w:t>
          </w:r>
          <w:r>
            <w:rPr>
              <w:rFonts w:hint="eastAsia" w:ascii="宋体" w:hAnsi="宋体" w:eastAsia="方正仿宋_GBK" w:cs="方正仿宋_GBK"/>
              <w:b/>
              <w:sz w:val="33"/>
              <w:szCs w:val="33"/>
            </w:rPr>
            <w:tab/>
          </w: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PAGEREF _Toc29731 \h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rPr>
            <w:t>10</w:t>
          </w:r>
          <w:r>
            <w:rPr>
              <w:rFonts w:hint="eastAsia" w:ascii="宋体" w:hAnsi="宋体" w:eastAsia="方正仿宋_GBK" w:cs="方正仿宋_GBK"/>
              <w:b/>
              <w:sz w:val="33"/>
              <w:szCs w:val="33"/>
            </w:rPr>
            <w:fldChar w:fldCharType="end"/>
          </w:r>
          <w:r>
            <w:rPr>
              <w:rFonts w:hint="eastAsia" w:ascii="宋体" w:hAnsi="宋体" w:eastAsia="方正仿宋_GBK" w:cs="方正仿宋_GBK"/>
              <w:b/>
              <w:sz w:val="33"/>
              <w:szCs w:val="33"/>
            </w:rPr>
            <w:fldChar w:fldCharType="end"/>
          </w:r>
        </w:p>
        <w:p>
          <w:pPr>
            <w:pStyle w:val="33"/>
            <w:keepNext w:val="0"/>
            <w:keepLines w:val="0"/>
            <w:pageBreakBefore w:val="0"/>
            <w:tabs>
              <w:tab w:val="right" w:leader="dot" w:pos="8844"/>
            </w:tabs>
            <w:kinsoku/>
            <w:wordWrap/>
            <w:overflowPunct/>
            <w:topLinePunct w:val="0"/>
            <w:autoSpaceDE/>
            <w:autoSpaceDN/>
            <w:bidi w:val="0"/>
            <w:adjustRightInd/>
            <w:snapToGrid/>
            <w:spacing w:line="590" w:lineRule="exact"/>
            <w:textAlignment w:val="auto"/>
            <w:rPr>
              <w:rFonts w:hint="eastAsia" w:ascii="宋体" w:hAnsi="宋体" w:eastAsia="方正仿宋_GBK" w:cs="方正仿宋_GBK"/>
              <w:bCs w:val="0"/>
              <w:sz w:val="33"/>
              <w:szCs w:val="33"/>
              <w:highlight w:val="none"/>
            </w:rPr>
          </w:pPr>
          <w:r>
            <w:rPr>
              <w:rFonts w:hint="eastAsia" w:ascii="宋体" w:hAnsi="宋体" w:eastAsia="方正仿宋_GBK" w:cs="方正仿宋_GBK"/>
              <w:bCs w:val="0"/>
              <w:sz w:val="33"/>
              <w:szCs w:val="33"/>
              <w:highlight w:val="none"/>
            </w:rPr>
            <w:fldChar w:fldCharType="begin"/>
          </w:r>
          <w:r>
            <w:rPr>
              <w:rFonts w:hint="eastAsia" w:ascii="宋体" w:hAnsi="宋体" w:eastAsia="方正仿宋_GBK" w:cs="方正仿宋_GBK"/>
              <w:bCs w:val="0"/>
              <w:sz w:val="33"/>
              <w:szCs w:val="33"/>
              <w:highlight w:val="none"/>
            </w:rPr>
            <w:instrText xml:space="preserve"> HYPERLINK \l _Toc185 </w:instrText>
          </w:r>
          <w:r>
            <w:rPr>
              <w:rFonts w:hint="eastAsia" w:ascii="宋体" w:hAnsi="宋体" w:eastAsia="方正仿宋_GBK" w:cs="方正仿宋_GBK"/>
              <w:bCs w:val="0"/>
              <w:sz w:val="33"/>
              <w:szCs w:val="33"/>
              <w:highlight w:val="none"/>
            </w:rPr>
            <w:fldChar w:fldCharType="separate"/>
          </w:r>
          <w:r>
            <w:rPr>
              <w:rFonts w:hint="eastAsia" w:ascii="宋体" w:hAnsi="宋体" w:eastAsia="方正仿宋_GBK" w:cs="方正仿宋_GBK"/>
              <w:bCs w:val="0"/>
              <w:sz w:val="33"/>
              <w:szCs w:val="33"/>
              <w:highlight w:val="none"/>
              <w:lang w:val="en-US" w:eastAsia="zh-CN"/>
            </w:rPr>
            <w:t>部门预算项目支出绩效自评表（2022年度）</w:t>
          </w:r>
          <w:r>
            <w:rPr>
              <w:rFonts w:hint="eastAsia" w:ascii="宋体" w:hAnsi="宋体" w:eastAsia="方正仿宋_GBK" w:cs="方正仿宋_GBK"/>
              <w:bCs w:val="0"/>
              <w:sz w:val="33"/>
              <w:szCs w:val="33"/>
              <w:highlight w:val="none"/>
            </w:rPr>
            <w:tab/>
          </w:r>
          <w:r>
            <w:rPr>
              <w:rFonts w:hint="eastAsia" w:ascii="宋体" w:hAnsi="宋体" w:eastAsia="方正仿宋_GBK" w:cs="方正仿宋_GBK"/>
              <w:bCs w:val="0"/>
              <w:sz w:val="33"/>
              <w:szCs w:val="33"/>
              <w:highlight w:val="none"/>
            </w:rPr>
            <w:fldChar w:fldCharType="begin"/>
          </w:r>
          <w:r>
            <w:rPr>
              <w:rFonts w:hint="eastAsia" w:ascii="宋体" w:hAnsi="宋体" w:eastAsia="方正仿宋_GBK" w:cs="方正仿宋_GBK"/>
              <w:bCs w:val="0"/>
              <w:sz w:val="33"/>
              <w:szCs w:val="33"/>
              <w:highlight w:val="none"/>
            </w:rPr>
            <w:instrText xml:space="preserve"> PAGEREF _Toc185 \h </w:instrText>
          </w:r>
          <w:r>
            <w:rPr>
              <w:rFonts w:hint="eastAsia" w:ascii="宋体" w:hAnsi="宋体" w:eastAsia="方正仿宋_GBK" w:cs="方正仿宋_GBK"/>
              <w:bCs w:val="0"/>
              <w:sz w:val="33"/>
              <w:szCs w:val="33"/>
              <w:highlight w:val="none"/>
            </w:rPr>
            <w:fldChar w:fldCharType="separate"/>
          </w:r>
          <w:r>
            <w:rPr>
              <w:rFonts w:hint="eastAsia" w:ascii="宋体" w:hAnsi="宋体" w:eastAsia="方正仿宋_GBK" w:cs="方正仿宋_GBK"/>
              <w:bCs w:val="0"/>
              <w:sz w:val="33"/>
              <w:szCs w:val="33"/>
              <w:highlight w:val="none"/>
            </w:rPr>
            <w:t>10</w:t>
          </w:r>
          <w:r>
            <w:rPr>
              <w:rFonts w:hint="eastAsia" w:ascii="宋体" w:hAnsi="宋体" w:eastAsia="方正仿宋_GBK" w:cs="方正仿宋_GBK"/>
              <w:bCs w:val="0"/>
              <w:sz w:val="33"/>
              <w:szCs w:val="33"/>
              <w:highlight w:val="none"/>
            </w:rPr>
            <w:fldChar w:fldCharType="end"/>
          </w:r>
          <w:r>
            <w:rPr>
              <w:rFonts w:hint="eastAsia" w:ascii="宋体" w:hAnsi="宋体" w:eastAsia="方正仿宋_GBK" w:cs="方正仿宋_GBK"/>
              <w:bCs w:val="0"/>
              <w:sz w:val="33"/>
              <w:szCs w:val="33"/>
              <w:highlight w:val="none"/>
            </w:rPr>
            <w:fldChar w:fldCharType="end"/>
          </w:r>
        </w:p>
        <w:p>
          <w:pPr>
            <w:pStyle w:val="33"/>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b/>
              <w:sz w:val="33"/>
              <w:szCs w:val="33"/>
            </w:rPr>
          </w:pP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HYPERLINK \l _Toc27738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highlight w:val="none"/>
            </w:rPr>
            <w:t xml:space="preserve">第五部分 </w:t>
          </w:r>
          <w:r>
            <w:rPr>
              <w:rFonts w:hint="eastAsia" w:ascii="宋体" w:hAnsi="宋体" w:eastAsia="方正仿宋_GBK" w:cs="方正仿宋_GBK"/>
              <w:b/>
              <w:sz w:val="33"/>
              <w:szCs w:val="33"/>
              <w:highlight w:val="none"/>
              <w:lang w:val="en-US" w:eastAsia="zh-CN"/>
            </w:rPr>
            <w:t xml:space="preserve"> </w:t>
          </w:r>
          <w:r>
            <w:rPr>
              <w:rFonts w:hint="eastAsia" w:ascii="宋体" w:hAnsi="宋体" w:eastAsia="方正仿宋_GBK" w:cs="方正仿宋_GBK"/>
              <w:b/>
              <w:sz w:val="33"/>
              <w:szCs w:val="33"/>
              <w:highlight w:val="none"/>
            </w:rPr>
            <w:t>附表</w:t>
          </w:r>
          <w:r>
            <w:rPr>
              <w:rFonts w:hint="eastAsia" w:ascii="宋体" w:hAnsi="宋体" w:eastAsia="方正仿宋_GBK" w:cs="方正仿宋_GBK"/>
              <w:b/>
              <w:sz w:val="33"/>
              <w:szCs w:val="33"/>
            </w:rPr>
            <w:tab/>
          </w:r>
          <w:r>
            <w:rPr>
              <w:rFonts w:hint="eastAsia" w:ascii="宋体" w:hAnsi="宋体" w:eastAsia="方正仿宋_GBK" w:cs="方正仿宋_GBK"/>
              <w:b/>
              <w:sz w:val="33"/>
              <w:szCs w:val="33"/>
            </w:rPr>
            <w:fldChar w:fldCharType="begin"/>
          </w:r>
          <w:r>
            <w:rPr>
              <w:rFonts w:hint="eastAsia" w:ascii="宋体" w:hAnsi="宋体" w:eastAsia="方正仿宋_GBK" w:cs="方正仿宋_GBK"/>
              <w:b/>
              <w:sz w:val="33"/>
              <w:szCs w:val="33"/>
            </w:rPr>
            <w:instrText xml:space="preserve"> PAGEREF _Toc27738 \h </w:instrText>
          </w:r>
          <w:r>
            <w:rPr>
              <w:rFonts w:hint="eastAsia" w:ascii="宋体" w:hAnsi="宋体" w:eastAsia="方正仿宋_GBK" w:cs="方正仿宋_GBK"/>
              <w:b/>
              <w:sz w:val="33"/>
              <w:szCs w:val="33"/>
            </w:rPr>
            <w:fldChar w:fldCharType="separate"/>
          </w:r>
          <w:r>
            <w:rPr>
              <w:rFonts w:hint="eastAsia" w:ascii="宋体" w:hAnsi="宋体" w:eastAsia="方正仿宋_GBK" w:cs="方正仿宋_GBK"/>
              <w:b/>
              <w:sz w:val="33"/>
              <w:szCs w:val="33"/>
            </w:rPr>
            <w:t>11</w:t>
          </w:r>
          <w:r>
            <w:rPr>
              <w:rFonts w:hint="eastAsia" w:ascii="宋体" w:hAnsi="宋体" w:eastAsia="方正仿宋_GBK" w:cs="方正仿宋_GBK"/>
              <w:b/>
              <w:sz w:val="33"/>
              <w:szCs w:val="33"/>
            </w:rPr>
            <w:fldChar w:fldCharType="end"/>
          </w:r>
          <w:r>
            <w:rPr>
              <w:rFonts w:hint="eastAsia" w:ascii="宋体" w:hAnsi="宋体" w:eastAsia="方正仿宋_GBK" w:cs="方正仿宋_GBK"/>
              <w:b/>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_Toc20282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rPr>
            <w:t>一、收</w:t>
          </w:r>
          <w:r>
            <w:rPr>
              <w:rFonts w:hint="eastAsia" w:ascii="宋体" w:hAnsi="宋体" w:eastAsia="方正仿宋_GBK" w:cs="方正仿宋_GBK"/>
              <w:bCs w:val="0"/>
              <w:sz w:val="33"/>
              <w:szCs w:val="33"/>
              <w:highlight w:val="none"/>
            </w:rPr>
            <w:t>入支出决算总表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_Toc20282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_Toc15186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highlight w:val="none"/>
            </w:rPr>
            <w:t>二、收</w:t>
          </w:r>
          <w:r>
            <w:rPr>
              <w:rFonts w:hint="eastAsia" w:ascii="宋体" w:hAnsi="宋体" w:eastAsia="方正仿宋_GBK" w:cs="方正仿宋_GBK"/>
              <w:bCs w:val="0"/>
              <w:sz w:val="33"/>
              <w:szCs w:val="33"/>
              <w:highlight w:val="none"/>
            </w:rPr>
            <w:t>入决算表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_Toc15186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_Toc18387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三、</w:t>
          </w:r>
          <w:r>
            <w:rPr>
              <w:rFonts w:hint="eastAsia" w:ascii="宋体" w:hAnsi="宋体" w:eastAsia="方正仿宋_GBK" w:cs="方正仿宋_GBK"/>
              <w:sz w:val="33"/>
              <w:szCs w:val="33"/>
              <w:highlight w:val="none"/>
            </w:rPr>
            <w:t>支</w:t>
          </w:r>
          <w:r>
            <w:rPr>
              <w:rFonts w:hint="eastAsia" w:ascii="宋体" w:hAnsi="宋体" w:eastAsia="方正仿宋_GBK" w:cs="方正仿宋_GBK"/>
              <w:bCs w:val="0"/>
              <w:sz w:val="33"/>
              <w:szCs w:val="33"/>
              <w:highlight w:val="none"/>
            </w:rPr>
            <w:t>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_Toc18387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_Toc17184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四、</w:t>
          </w:r>
          <w:r>
            <w:rPr>
              <w:rFonts w:hint="eastAsia" w:ascii="宋体" w:hAnsi="宋体" w:eastAsia="方正仿宋_GBK" w:cs="方正仿宋_GBK"/>
              <w:sz w:val="33"/>
              <w:szCs w:val="33"/>
              <w:highlight w:val="none"/>
            </w:rPr>
            <w:t>财</w:t>
          </w:r>
          <w:r>
            <w:rPr>
              <w:rFonts w:hint="eastAsia" w:ascii="宋体" w:hAnsi="宋体" w:eastAsia="方正仿宋_GBK" w:cs="方正仿宋_GBK"/>
              <w:bCs w:val="0"/>
              <w:sz w:val="33"/>
              <w:szCs w:val="33"/>
              <w:highlight w:val="none"/>
            </w:rPr>
            <w:t>政拨款收入支出决算总表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_Toc17184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_Toc30014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五、</w:t>
          </w:r>
          <w:r>
            <w:rPr>
              <w:rFonts w:hint="eastAsia" w:ascii="宋体" w:hAnsi="宋体" w:eastAsia="方正仿宋_GBK" w:cs="方正仿宋_GBK"/>
              <w:sz w:val="33"/>
              <w:szCs w:val="33"/>
              <w:highlight w:val="none"/>
            </w:rPr>
            <w:t>财</w:t>
          </w:r>
          <w:r>
            <w:rPr>
              <w:rFonts w:hint="eastAsia" w:ascii="宋体" w:hAnsi="宋体" w:eastAsia="方正仿宋_GBK" w:cs="方正仿宋_GBK"/>
              <w:bCs w:val="0"/>
              <w:sz w:val="33"/>
              <w:szCs w:val="33"/>
              <w:highlight w:val="none"/>
            </w:rPr>
            <w:t>政拨款支出决算明细表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_Toc30014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_Toc8073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六、</w:t>
          </w:r>
          <w:r>
            <w:rPr>
              <w:rFonts w:hint="eastAsia" w:ascii="宋体" w:hAnsi="宋体" w:eastAsia="方正仿宋_GBK" w:cs="方正仿宋_GBK"/>
              <w:sz w:val="33"/>
              <w:szCs w:val="33"/>
              <w:highlight w:val="none"/>
            </w:rPr>
            <w:t>一</w:t>
          </w:r>
          <w:r>
            <w:rPr>
              <w:rFonts w:hint="eastAsia" w:ascii="宋体" w:hAnsi="宋体" w:eastAsia="方正仿宋_GBK" w:cs="方正仿宋_GBK"/>
              <w:bCs w:val="0"/>
              <w:sz w:val="33"/>
              <w:szCs w:val="33"/>
              <w:highlight w:val="none"/>
            </w:rPr>
            <w:t>般公共预算财政拨款支出决算表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_Toc8073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_Toc6310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七、</w:t>
          </w:r>
          <w:r>
            <w:rPr>
              <w:rFonts w:hint="eastAsia" w:ascii="宋体" w:hAnsi="宋体" w:eastAsia="方正仿宋_GBK" w:cs="方正仿宋_GBK"/>
              <w:sz w:val="33"/>
              <w:szCs w:val="33"/>
              <w:highlight w:val="none"/>
            </w:rPr>
            <w:t>一</w:t>
          </w:r>
          <w:r>
            <w:rPr>
              <w:rFonts w:hint="eastAsia" w:ascii="宋体" w:hAnsi="宋体" w:eastAsia="方正仿宋_GBK" w:cs="方正仿宋_GBK"/>
              <w:bCs w:val="0"/>
              <w:sz w:val="33"/>
              <w:szCs w:val="33"/>
              <w:highlight w:val="none"/>
            </w:rPr>
            <w:t>般公共预算财政拨款支出决算明细表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_Toc6310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_Toc22404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八、</w:t>
          </w:r>
          <w:r>
            <w:rPr>
              <w:rFonts w:hint="eastAsia" w:ascii="宋体" w:hAnsi="宋体" w:eastAsia="方正仿宋_GBK" w:cs="方正仿宋_GBK"/>
              <w:sz w:val="33"/>
              <w:szCs w:val="33"/>
              <w:highlight w:val="none"/>
            </w:rPr>
            <w:t>一</w:t>
          </w:r>
          <w:r>
            <w:rPr>
              <w:rFonts w:hint="eastAsia" w:ascii="宋体" w:hAnsi="宋体" w:eastAsia="方正仿宋_GBK" w:cs="方正仿宋_GBK"/>
              <w:bCs w:val="0"/>
              <w:sz w:val="33"/>
              <w:szCs w:val="33"/>
              <w:highlight w:val="none"/>
            </w:rPr>
            <w:t>般公共预算财政拨款基本支出决算表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_Toc22404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_Toc9662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九、</w:t>
          </w:r>
          <w:r>
            <w:rPr>
              <w:rFonts w:hint="eastAsia" w:ascii="宋体" w:hAnsi="宋体" w:eastAsia="方正仿宋_GBK" w:cs="方正仿宋_GBK"/>
              <w:sz w:val="33"/>
              <w:szCs w:val="33"/>
              <w:highlight w:val="none"/>
            </w:rPr>
            <w:t>一</w:t>
          </w:r>
          <w:r>
            <w:rPr>
              <w:rFonts w:hint="eastAsia" w:ascii="宋体" w:hAnsi="宋体" w:eastAsia="方正仿宋_GBK" w:cs="方正仿宋_GBK"/>
              <w:bCs w:val="0"/>
              <w:sz w:val="33"/>
              <w:szCs w:val="33"/>
              <w:highlight w:val="none"/>
            </w:rPr>
            <w:t>般公共预算财政拨款项目支出决算表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_Toc9662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_Toc15937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十、</w:t>
          </w:r>
          <w:r>
            <w:rPr>
              <w:rFonts w:hint="eastAsia" w:ascii="宋体" w:hAnsi="宋体" w:eastAsia="方正仿宋_GBK" w:cs="方正仿宋_GBK"/>
              <w:sz w:val="33"/>
              <w:szCs w:val="33"/>
              <w:highlight w:val="none"/>
            </w:rPr>
            <w:t>政</w:t>
          </w:r>
          <w:r>
            <w:rPr>
              <w:rFonts w:hint="eastAsia" w:ascii="宋体" w:hAnsi="宋体" w:eastAsia="方正仿宋_GBK" w:cs="方正仿宋_GBK"/>
              <w:bCs w:val="0"/>
              <w:sz w:val="33"/>
              <w:szCs w:val="33"/>
              <w:highlight w:val="none"/>
            </w:rPr>
            <w:t>府性基金预算财政拨款收入支出决算表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_Toc15937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_Toc16406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十一、</w:t>
          </w:r>
          <w:r>
            <w:rPr>
              <w:rFonts w:hint="eastAsia" w:ascii="宋体" w:hAnsi="宋体" w:eastAsia="方正仿宋_GBK" w:cs="方正仿宋_GBK"/>
              <w:sz w:val="33"/>
              <w:szCs w:val="33"/>
              <w:highlight w:val="none"/>
            </w:rPr>
            <w:t>国</w:t>
          </w:r>
          <w:r>
            <w:rPr>
              <w:rFonts w:hint="eastAsia" w:ascii="宋体" w:hAnsi="宋体" w:eastAsia="方正仿宋_GBK" w:cs="方正仿宋_GBK"/>
              <w:bCs w:val="0"/>
              <w:sz w:val="33"/>
              <w:szCs w:val="33"/>
              <w:highlight w:val="none"/>
            </w:rPr>
            <w:t>有资本经营预算</w:t>
          </w:r>
          <w:r>
            <w:rPr>
              <w:rFonts w:hint="eastAsia" w:ascii="宋体" w:hAnsi="宋体" w:eastAsia="方正仿宋_GBK" w:cs="方正仿宋_GBK"/>
              <w:bCs w:val="0"/>
              <w:sz w:val="33"/>
              <w:szCs w:val="33"/>
              <w:highlight w:val="none"/>
              <w:lang w:eastAsia="zh-CN"/>
            </w:rPr>
            <w:t>财政拨款收入</w:t>
          </w:r>
          <w:r>
            <w:rPr>
              <w:rFonts w:hint="eastAsia" w:ascii="宋体" w:hAnsi="宋体" w:eastAsia="方正仿宋_GBK" w:cs="方正仿宋_GBK"/>
              <w:bCs w:val="0"/>
              <w:sz w:val="33"/>
              <w:szCs w:val="33"/>
              <w:highlight w:val="none"/>
            </w:rPr>
            <w:t>支出决算表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_Toc16406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_Toc6572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十二、</w:t>
          </w:r>
          <w:r>
            <w:rPr>
              <w:rFonts w:hint="eastAsia" w:ascii="宋体" w:hAnsi="宋体" w:eastAsia="方正仿宋_GBK" w:cs="方正仿宋_GBK"/>
              <w:bCs w:val="0"/>
              <w:sz w:val="33"/>
              <w:szCs w:val="33"/>
              <w:highlight w:val="none"/>
              <w:lang w:eastAsia="zh-CN"/>
            </w:rPr>
            <w:t>国有资本经营预算财政拨款支出决算表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_Toc6572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p>
        <w:p>
          <w:pPr>
            <w:pStyle w:val="34"/>
            <w:keepNext w:val="0"/>
            <w:keepLines w:val="0"/>
            <w:pageBreakBefore w:val="0"/>
            <w:tabs>
              <w:tab w:val="right" w:leader="dot" w:pos="8844"/>
            </w:tabs>
            <w:kinsoku/>
            <w:wordWrap/>
            <w:overflowPunct/>
            <w:topLinePunct w:val="0"/>
            <w:autoSpaceDE/>
            <w:autoSpaceDN/>
            <w:bidi w:val="0"/>
            <w:adjustRightInd/>
            <w:snapToGrid/>
            <w:spacing w:line="590" w:lineRule="exact"/>
            <w:ind w:leftChars="0"/>
            <w:textAlignment w:val="auto"/>
            <w:rPr>
              <w:rFonts w:hint="eastAsia" w:ascii="宋体" w:hAnsi="宋体"/>
            </w:rPr>
            <w:sectPr>
              <w:headerReference r:id="rId3" w:type="default"/>
              <w:footerReference r:id="rId4" w:type="default"/>
              <w:pgSz w:w="11906" w:h="16838"/>
              <w:pgMar w:top="1984" w:right="1531" w:bottom="1531" w:left="1531" w:header="851" w:footer="992" w:gutter="0"/>
              <w:pgNumType w:fmt="decimal" w:start="1"/>
              <w:cols w:space="425" w:num="1"/>
              <w:titlePg/>
              <w:docGrid w:type="lines" w:linePitch="312" w:charSpace="0"/>
            </w:sectPr>
          </w:pP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HYPERLINK \l _Toc27676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bCs w:val="0"/>
              <w:sz w:val="33"/>
              <w:szCs w:val="33"/>
              <w:highlight w:val="none"/>
            </w:rPr>
            <w:t>十三、</w:t>
          </w:r>
          <w:r>
            <w:rPr>
              <w:rFonts w:hint="eastAsia" w:ascii="宋体" w:hAnsi="宋体" w:eastAsia="方正仿宋_GBK" w:cs="方正仿宋_GBK"/>
              <w:bCs w:val="0"/>
              <w:sz w:val="33"/>
              <w:szCs w:val="33"/>
              <w:highlight w:val="none"/>
              <w:lang w:eastAsia="zh-CN"/>
            </w:rPr>
            <w:t>财政拨款“三公”经费支出决算表</w:t>
          </w:r>
          <w:r>
            <w:rPr>
              <w:rFonts w:hint="eastAsia" w:ascii="宋体" w:hAnsi="宋体" w:eastAsia="方正仿宋_GBK" w:cs="方正仿宋_GBK"/>
              <w:sz w:val="33"/>
              <w:szCs w:val="33"/>
            </w:rPr>
            <w:tab/>
          </w:r>
          <w:r>
            <w:rPr>
              <w:rFonts w:hint="eastAsia" w:ascii="宋体" w:hAnsi="宋体" w:eastAsia="方正仿宋_GBK" w:cs="方正仿宋_GBK"/>
              <w:sz w:val="33"/>
              <w:szCs w:val="33"/>
            </w:rPr>
            <w:fldChar w:fldCharType="begin"/>
          </w:r>
          <w:r>
            <w:rPr>
              <w:rFonts w:hint="eastAsia" w:ascii="宋体" w:hAnsi="宋体" w:eastAsia="方正仿宋_GBK" w:cs="方正仿宋_GBK"/>
              <w:sz w:val="33"/>
              <w:szCs w:val="33"/>
            </w:rPr>
            <w:instrText xml:space="preserve"> PAGEREF _Toc27676 \h </w:instrText>
          </w:r>
          <w:r>
            <w:rPr>
              <w:rFonts w:hint="eastAsia" w:ascii="宋体" w:hAnsi="宋体" w:eastAsia="方正仿宋_GBK" w:cs="方正仿宋_GBK"/>
              <w:sz w:val="33"/>
              <w:szCs w:val="33"/>
            </w:rPr>
            <w:fldChar w:fldCharType="separate"/>
          </w:r>
          <w:r>
            <w:rPr>
              <w:rFonts w:hint="eastAsia" w:ascii="宋体" w:hAnsi="宋体" w:eastAsia="方正仿宋_GBK" w:cs="方正仿宋_GBK"/>
              <w:sz w:val="33"/>
              <w:szCs w:val="33"/>
            </w:rPr>
            <w:t>11</w:t>
          </w:r>
          <w:r>
            <w:rPr>
              <w:rFonts w:hint="eastAsia" w:ascii="宋体" w:hAnsi="宋体" w:eastAsia="方正仿宋_GBK" w:cs="方正仿宋_GBK"/>
              <w:sz w:val="33"/>
              <w:szCs w:val="33"/>
            </w:rPr>
            <w:fldChar w:fldCharType="end"/>
          </w:r>
          <w:r>
            <w:rPr>
              <w:rFonts w:hint="eastAsia" w:ascii="宋体" w:hAnsi="宋体" w:eastAsia="方正仿宋_GBK" w:cs="方正仿宋_GBK"/>
              <w:sz w:val="33"/>
              <w:szCs w:val="33"/>
            </w:rPr>
            <w:fldChar w:fldCharType="end"/>
          </w:r>
          <w:r>
            <w:rPr>
              <w:rFonts w:hint="eastAsia" w:ascii="宋体" w:hAnsi="宋体" w:eastAsia="方正仿宋_GBK" w:cs="方正仿宋_GBK"/>
              <w:b/>
              <w:sz w:val="33"/>
              <w:szCs w:val="33"/>
            </w:rPr>
            <w:fldChar w:fldCharType="end"/>
          </w:r>
        </w:p>
      </w:sdtContent>
    </w:sdt>
    <w:p>
      <w:pPr>
        <w:pStyle w:val="3"/>
        <w:pageBreakBefore w:val="0"/>
        <w:kinsoku/>
        <w:wordWrap/>
        <w:overflowPunct/>
        <w:topLinePunct w:val="0"/>
        <w:bidi w:val="0"/>
        <w:spacing w:before="0" w:after="0" w:line="590" w:lineRule="exact"/>
        <w:ind w:left="0" w:right="0"/>
        <w:jc w:val="center"/>
        <w:textAlignment w:val="auto"/>
        <w:rPr>
          <w:rFonts w:hint="eastAsia" w:ascii="方正小标宋_GBK" w:hAnsi="方正小标宋_GBK" w:eastAsia="方正小标宋_GBK" w:cs="方正小标宋_GBK"/>
          <w:color w:val="auto"/>
          <w:sz w:val="44"/>
          <w:szCs w:val="44"/>
          <w:highlight w:val="none"/>
        </w:rPr>
      </w:pPr>
      <w:bookmarkStart w:id="16" w:name="_Toc9316"/>
      <w:r>
        <w:rPr>
          <w:rFonts w:hint="eastAsia" w:ascii="方正小标宋_GBK" w:hAnsi="方正小标宋_GBK" w:eastAsia="方正小标宋_GBK" w:cs="方正小标宋_GBK"/>
          <w:b w:val="0"/>
          <w:color w:val="auto"/>
          <w:sz w:val="44"/>
          <w:szCs w:val="44"/>
          <w:highlight w:val="none"/>
        </w:rPr>
        <w:t>第一部分</w:t>
      </w:r>
      <w:r>
        <w:rPr>
          <w:rFonts w:hint="eastAsia" w:ascii="方正小标宋_GBK" w:hAnsi="方正小标宋_GBK" w:eastAsia="方正小标宋_GBK" w:cs="方正小标宋_GBK"/>
          <w:b w:val="0"/>
          <w:color w:val="auto"/>
          <w:sz w:val="44"/>
          <w:szCs w:val="44"/>
          <w:highlight w:val="none"/>
          <w:lang w:val="en-US" w:eastAsia="zh-CN"/>
        </w:rPr>
        <w:t xml:space="preserve">  </w:t>
      </w:r>
      <w:r>
        <w:rPr>
          <w:rFonts w:hint="eastAsia" w:ascii="方正小标宋_GBK" w:hAnsi="方正小标宋_GBK" w:eastAsia="方正小标宋_GBK" w:cs="方正小标宋_GBK"/>
          <w:b w:val="0"/>
          <w:color w:val="auto"/>
          <w:sz w:val="44"/>
          <w:szCs w:val="44"/>
          <w:highlight w:val="none"/>
          <w:lang w:eastAsia="zh-CN"/>
        </w:rPr>
        <w:t>单位</w:t>
      </w:r>
      <w:r>
        <w:rPr>
          <w:rStyle w:val="27"/>
          <w:rFonts w:hint="eastAsia" w:ascii="方正小标宋_GBK" w:hAnsi="方正小标宋_GBK" w:eastAsia="方正小标宋_GBK" w:cs="方正小标宋_GBK"/>
          <w:b w:val="0"/>
          <w:bCs w:val="0"/>
          <w:color w:val="auto"/>
          <w:sz w:val="44"/>
          <w:szCs w:val="44"/>
          <w:highlight w:val="none"/>
        </w:rPr>
        <w:t>概况</w:t>
      </w:r>
      <w:bookmarkEnd w:id="16"/>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黑体"/>
          <w:b w:val="0"/>
          <w:bCs w:val="0"/>
          <w:color w:val="auto"/>
          <w:sz w:val="33"/>
          <w:szCs w:val="33"/>
          <w:highlight w:val="none"/>
          <w:lang w:val="en-US" w:eastAsia="zh-CN"/>
        </w:rPr>
      </w:pPr>
      <w:bookmarkStart w:id="17" w:name="_Toc15833"/>
      <w:bookmarkStart w:id="18" w:name="_Toc15396600"/>
      <w:bookmarkStart w:id="19" w:name="_Toc15377197"/>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eastAsia="zh-CN"/>
        </w:rPr>
      </w:pPr>
      <w:r>
        <w:rPr>
          <w:rStyle w:val="28"/>
          <w:rFonts w:hint="eastAsia" w:ascii="宋体" w:hAnsi="宋体" w:eastAsia="方正黑体_GBK" w:cs="方正黑体_GBK"/>
          <w:b w:val="0"/>
          <w:bCs w:val="0"/>
          <w:color w:val="auto"/>
          <w:sz w:val="33"/>
          <w:szCs w:val="33"/>
          <w:highlight w:val="none"/>
          <w:lang w:val="en-US" w:eastAsia="zh-CN"/>
        </w:rPr>
        <w:t>一、</w:t>
      </w:r>
      <w:r>
        <w:rPr>
          <w:rStyle w:val="28"/>
          <w:rFonts w:hint="eastAsia" w:ascii="宋体" w:hAnsi="宋体" w:eastAsia="方正黑体_GBK" w:cs="方正黑体_GBK"/>
          <w:b w:val="0"/>
          <w:bCs w:val="0"/>
          <w:color w:val="auto"/>
          <w:sz w:val="33"/>
          <w:szCs w:val="33"/>
          <w:highlight w:val="none"/>
          <w:lang w:eastAsia="zh-CN"/>
        </w:rPr>
        <w:t>主要职责</w:t>
      </w:r>
      <w:bookmarkEnd w:id="17"/>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Fonts w:hint="eastAsia" w:ascii="宋体" w:hAnsi="宋体" w:eastAsia="方正仿宋_GBK" w:cs="方正仿宋_GBK"/>
          <w:b w:val="0"/>
          <w:bCs w:val="0"/>
          <w:kern w:val="2"/>
          <w:sz w:val="33"/>
          <w:szCs w:val="33"/>
          <w:lang w:val="en-US" w:eastAsia="zh-CN" w:bidi="ar-SA"/>
        </w:rPr>
      </w:pPr>
      <w:bookmarkStart w:id="20" w:name="_Toc23722"/>
      <w:r>
        <w:rPr>
          <w:rFonts w:hint="eastAsia" w:ascii="宋体" w:hAnsi="宋体" w:eastAsia="方正仿宋_GBK" w:cs="方正仿宋_GBK"/>
          <w:b w:val="0"/>
          <w:bCs w:val="0"/>
          <w:kern w:val="2"/>
          <w:sz w:val="33"/>
          <w:szCs w:val="33"/>
          <w:lang w:val="en-US" w:eastAsia="zh-CN" w:bidi="ar-SA"/>
        </w:rPr>
        <w:t>贯彻执行党的路线、方针、政策，按照《中华全国归国华侨联合会章程》开展工作，以群众工作、参政议政、维护侨益、海外联谊为主要职能。</w:t>
      </w:r>
      <w:bookmarkEnd w:id="20"/>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21" w:name="_Toc18389"/>
      <w:r>
        <w:rPr>
          <w:rStyle w:val="28"/>
          <w:rFonts w:hint="eastAsia" w:ascii="宋体" w:hAnsi="宋体" w:eastAsia="方正黑体_GBK" w:cs="方正黑体_GBK"/>
          <w:b w:val="0"/>
          <w:bCs w:val="0"/>
          <w:color w:val="auto"/>
          <w:sz w:val="33"/>
          <w:szCs w:val="33"/>
          <w:highlight w:val="none"/>
          <w:lang w:val="en-US" w:eastAsia="zh-CN"/>
        </w:rPr>
        <w:t>二、机构设置</w:t>
      </w:r>
      <w:bookmarkEnd w:id="21"/>
    </w:p>
    <w:bookmarkEnd w:id="18"/>
    <w:bookmarkEnd w:id="19"/>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Fonts w:hint="default" w:ascii="宋体" w:hAnsi="宋体" w:eastAsia="方正仿宋_GBK" w:cs="方正仿宋_GBK"/>
          <w:b w:val="0"/>
          <w:bCs w:val="0"/>
          <w:kern w:val="2"/>
          <w:sz w:val="33"/>
          <w:szCs w:val="33"/>
          <w:lang w:val="en-US" w:eastAsia="zh-CN" w:bidi="ar-SA"/>
        </w:rPr>
      </w:pPr>
      <w:r>
        <w:rPr>
          <w:rFonts w:hint="eastAsia" w:ascii="宋体" w:hAnsi="宋体" w:eastAsia="方正仿宋_GBK" w:cs="方正仿宋_GBK"/>
          <w:b w:val="0"/>
          <w:bCs w:val="0"/>
          <w:kern w:val="2"/>
          <w:sz w:val="33"/>
          <w:szCs w:val="33"/>
          <w:lang w:val="en-US" w:eastAsia="zh-CN" w:bidi="ar-SA"/>
        </w:rPr>
        <w:t>资阳市雁江区归国华侨侨眷联合会是一级预算单位，现有行政编制3名，无下属单位。</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Fonts w:hint="eastAsia" w:ascii="宋体" w:hAnsi="宋体" w:eastAsia="方正仿宋_GBK" w:cs="方正仿宋_GBK"/>
          <w:b w:val="0"/>
          <w:bCs w:val="0"/>
          <w:kern w:val="2"/>
          <w:sz w:val="33"/>
          <w:szCs w:val="33"/>
          <w:lang w:val="en-US" w:eastAsia="zh-CN" w:bidi="ar-SA"/>
        </w:rPr>
        <w:sectPr>
          <w:footerReference r:id="rId6" w:type="first"/>
          <w:footerReference r:id="rId5" w:type="default"/>
          <w:pgSz w:w="11906" w:h="16838"/>
          <w:pgMar w:top="1984" w:right="1531" w:bottom="1531" w:left="1531" w:header="851" w:footer="992" w:gutter="0"/>
          <w:pgNumType w:fmt="decimal" w:start="1"/>
          <w:cols w:space="425" w:num="1"/>
          <w:docGrid w:type="lines" w:linePitch="312" w:charSpace="0"/>
        </w:sectPr>
      </w:pPr>
      <w:bookmarkStart w:id="22" w:name="_Toc15377204"/>
      <w:bookmarkStart w:id="23" w:name="_Toc15396602"/>
    </w:p>
    <w:p>
      <w:pPr>
        <w:pStyle w:val="3"/>
        <w:pageBreakBefore w:val="0"/>
        <w:kinsoku/>
        <w:wordWrap/>
        <w:overflowPunct/>
        <w:topLinePunct w:val="0"/>
        <w:bidi w:val="0"/>
        <w:spacing w:before="0" w:after="0" w:line="590" w:lineRule="exact"/>
        <w:ind w:left="0" w:right="0"/>
        <w:jc w:val="center"/>
        <w:textAlignment w:val="auto"/>
        <w:rPr>
          <w:rFonts w:hint="eastAsia" w:ascii="方正小标宋_GBK" w:hAnsi="方正小标宋_GBK" w:eastAsia="方正小标宋_GBK" w:cs="方正小标宋_GBK"/>
          <w:b w:val="0"/>
          <w:color w:val="auto"/>
          <w:sz w:val="44"/>
          <w:szCs w:val="44"/>
          <w:highlight w:val="none"/>
        </w:rPr>
      </w:pPr>
      <w:bookmarkStart w:id="24" w:name="_Toc21482"/>
      <w:r>
        <w:rPr>
          <w:rFonts w:hint="eastAsia" w:ascii="方正小标宋_GBK" w:hAnsi="方正小标宋_GBK" w:eastAsia="方正小标宋_GBK" w:cs="方正小标宋_GBK"/>
          <w:b w:val="0"/>
          <w:color w:val="auto"/>
          <w:sz w:val="44"/>
          <w:szCs w:val="44"/>
          <w:highlight w:val="none"/>
        </w:rPr>
        <w:t xml:space="preserve">第二部分 </w:t>
      </w:r>
      <w:r>
        <w:rPr>
          <w:rFonts w:hint="eastAsia" w:ascii="方正小标宋_GBK" w:hAnsi="方正小标宋_GBK" w:eastAsia="方正小标宋_GBK" w:cs="方正小标宋_GBK"/>
          <w:b w:val="0"/>
          <w:color w:val="auto"/>
          <w:sz w:val="44"/>
          <w:szCs w:val="44"/>
          <w:highlight w:val="none"/>
          <w:lang w:val="en-US" w:eastAsia="zh-CN"/>
        </w:rPr>
        <w:t xml:space="preserve"> 2022年度</w:t>
      </w:r>
      <w:r>
        <w:rPr>
          <w:rFonts w:hint="eastAsia" w:ascii="方正小标宋_GBK" w:hAnsi="方正小标宋_GBK" w:eastAsia="方正小标宋_GBK" w:cs="方正小标宋_GBK"/>
          <w:b w:val="0"/>
          <w:color w:val="auto"/>
          <w:sz w:val="44"/>
          <w:szCs w:val="44"/>
          <w:highlight w:val="none"/>
          <w:lang w:eastAsia="zh-CN"/>
        </w:rPr>
        <w:t>单位</w:t>
      </w:r>
      <w:r>
        <w:rPr>
          <w:rFonts w:hint="eastAsia" w:ascii="方正小标宋_GBK" w:hAnsi="方正小标宋_GBK" w:eastAsia="方正小标宋_GBK" w:cs="方正小标宋_GBK"/>
          <w:b w:val="0"/>
          <w:color w:val="auto"/>
          <w:sz w:val="44"/>
          <w:szCs w:val="44"/>
          <w:highlight w:val="none"/>
        </w:rPr>
        <w:t>决算情况说明</w:t>
      </w:r>
      <w:bookmarkEnd w:id="22"/>
      <w:bookmarkEnd w:id="23"/>
      <w:bookmarkEnd w:id="24"/>
    </w:p>
    <w:p>
      <w:pPr>
        <w:pStyle w:val="26"/>
        <w:pageBreakBefore w:val="0"/>
        <w:numPr>
          <w:ilvl w:val="0"/>
          <w:numId w:val="0"/>
        </w:numPr>
        <w:kinsoku/>
        <w:wordWrap/>
        <w:overflowPunct/>
        <w:topLinePunct w:val="0"/>
        <w:bidi w:val="0"/>
        <w:spacing w:line="590" w:lineRule="exact"/>
        <w:ind w:right="0" w:rightChars="0"/>
        <w:textAlignment w:val="auto"/>
        <w:outlineLvl w:val="9"/>
        <w:rPr>
          <w:rFonts w:hint="eastAsia" w:ascii="宋体" w:hAnsi="宋体" w:eastAsia="黑体"/>
          <w:color w:val="auto"/>
          <w:sz w:val="33"/>
          <w:szCs w:val="33"/>
          <w:highlight w:val="none"/>
        </w:rPr>
      </w:pPr>
      <w:bookmarkStart w:id="25" w:name="_Toc15377205"/>
      <w:bookmarkStart w:id="26" w:name="_Toc15396603"/>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27" w:name="_Toc6556"/>
      <w:r>
        <w:rPr>
          <w:rStyle w:val="28"/>
          <w:rFonts w:hint="eastAsia" w:ascii="宋体" w:hAnsi="宋体" w:eastAsia="方正黑体_GBK" w:cs="方正黑体_GBK"/>
          <w:b w:val="0"/>
          <w:bCs w:val="0"/>
          <w:color w:val="auto"/>
          <w:sz w:val="33"/>
          <w:szCs w:val="33"/>
          <w:highlight w:val="none"/>
          <w:lang w:val="en-US" w:eastAsia="zh-CN"/>
        </w:rPr>
        <w:t>一、收入支出决算总体情况说明</w:t>
      </w:r>
      <w:bookmarkEnd w:id="25"/>
      <w:bookmarkEnd w:id="26"/>
      <w:bookmarkEnd w:id="27"/>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Fonts w:hint="eastAsia" w:ascii="宋体" w:hAnsi="宋体" w:eastAsia="方正仿宋_GBK" w:cs="方正仿宋_GBK"/>
          <w:b w:val="0"/>
          <w:bCs w:val="0"/>
          <w:kern w:val="2"/>
          <w:sz w:val="33"/>
          <w:szCs w:val="33"/>
          <w:lang w:val="en-US" w:eastAsia="zh-CN" w:bidi="ar-SA"/>
        </w:rPr>
      </w:pPr>
      <w:r>
        <w:rPr>
          <w:rFonts w:hint="eastAsia" w:ascii="宋体" w:hAnsi="宋体" w:eastAsia="方正仿宋_GBK" w:cs="方正仿宋_GBK"/>
          <w:b w:val="0"/>
          <w:bCs w:val="0"/>
          <w:kern w:val="2"/>
          <w:sz w:val="33"/>
          <w:szCs w:val="33"/>
          <w:lang w:val="en-US" w:eastAsia="zh-CN" w:bidi="ar-SA"/>
        </w:rPr>
        <w:t>2022年度收、支总计49.01万元。与2021年相比，收、支总计各增加1.08万元，增长2.25%。主要变动原因是年初结转和结余增加。</w:t>
      </w:r>
    </w:p>
    <w:p>
      <w:pPr>
        <w:pStyle w:val="4"/>
        <w:pageBreakBefore w:val="0"/>
        <w:numPr>
          <w:ilvl w:val="0"/>
          <w:numId w:val="0"/>
        </w:numPr>
        <w:kinsoku/>
        <w:wordWrap/>
        <w:overflowPunct/>
        <w:topLinePunct w:val="0"/>
        <w:bidi w:val="0"/>
        <w:spacing w:before="0" w:after="0" w:line="590" w:lineRule="exact"/>
        <w:ind w:right="0"/>
        <w:jc w:val="center"/>
        <w:textAlignment w:val="auto"/>
        <w:rPr>
          <w:rFonts w:hint="eastAsia" w:ascii="宋体" w:hAnsi="宋体" w:eastAsia="方正仿宋_GBK" w:cs="方正仿宋_GBK"/>
          <w:b w:val="0"/>
          <w:bCs w:val="0"/>
          <w:kern w:val="2"/>
          <w:sz w:val="33"/>
          <w:szCs w:val="33"/>
          <w:lang w:val="en-US" w:eastAsia="zh-CN" w:bidi="ar-SA"/>
        </w:rPr>
      </w:pPr>
      <w:r>
        <w:rPr>
          <w:rFonts w:hint="eastAsia" w:ascii="宋体" w:hAnsi="宋体" w:eastAsia="方正仿宋_GBK" w:cs="方正仿宋_GBK"/>
          <w:b w:val="0"/>
          <w:bCs w:val="0"/>
          <w:kern w:val="2"/>
          <w:sz w:val="33"/>
          <w:szCs w:val="33"/>
          <w:lang w:val="en-US" w:eastAsia="zh-CN" w:bidi="ar-SA"/>
        </w:rPr>
        <w:drawing>
          <wp:anchor distT="0" distB="0" distL="114300" distR="114300" simplePos="0" relativeHeight="251659264" behindDoc="0" locked="0" layoutInCell="1" allowOverlap="1">
            <wp:simplePos x="0" y="0"/>
            <wp:positionH relativeFrom="column">
              <wp:posOffset>824230</wp:posOffset>
            </wp:positionH>
            <wp:positionV relativeFrom="paragraph">
              <wp:posOffset>50800</wp:posOffset>
            </wp:positionV>
            <wp:extent cx="3621405" cy="1887220"/>
            <wp:effectExtent l="4445" t="4445" r="12700" b="1333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宋体" w:hAnsi="宋体" w:eastAsia="方正仿宋_GBK" w:cs="方正仿宋_GBK"/>
          <w:b w:val="0"/>
          <w:bCs w:val="0"/>
          <w:kern w:val="2"/>
          <w:sz w:val="33"/>
          <w:szCs w:val="33"/>
          <w:lang w:val="en-US" w:eastAsia="zh-CN" w:bidi="ar-SA"/>
        </w:rPr>
        <w:t>图1：收、支决算总计变动情况图</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28" w:name="_Toc15377206"/>
      <w:bookmarkStart w:id="29" w:name="_Toc21154"/>
      <w:bookmarkStart w:id="30" w:name="_Toc15396604"/>
      <w:r>
        <w:rPr>
          <w:rStyle w:val="28"/>
          <w:rFonts w:hint="eastAsia" w:ascii="宋体" w:hAnsi="宋体" w:eastAsia="方正黑体_GBK" w:cs="方正黑体_GBK"/>
          <w:b w:val="0"/>
          <w:bCs w:val="0"/>
          <w:color w:val="auto"/>
          <w:sz w:val="33"/>
          <w:szCs w:val="33"/>
          <w:highlight w:val="none"/>
          <w:lang w:val="en-US" w:eastAsia="zh-CN"/>
        </w:rPr>
        <w:t>二、收入决算情况说明</w:t>
      </w:r>
      <w:bookmarkEnd w:id="28"/>
      <w:bookmarkEnd w:id="29"/>
      <w:bookmarkEnd w:id="30"/>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Fonts w:hint="eastAsia" w:ascii="宋体" w:hAnsi="宋体" w:eastAsia="方正仿宋_GBK" w:cs="方正仿宋_GBK"/>
          <w:b w:val="0"/>
          <w:bCs w:val="0"/>
          <w:kern w:val="2"/>
          <w:sz w:val="33"/>
          <w:szCs w:val="33"/>
          <w:lang w:val="en-US" w:eastAsia="zh-CN" w:bidi="ar-SA"/>
        </w:rPr>
      </w:pPr>
      <w:bookmarkStart w:id="31" w:name="_Toc29037"/>
      <w:r>
        <w:rPr>
          <w:rFonts w:hint="eastAsia" w:ascii="宋体" w:hAnsi="宋体" w:eastAsia="方正仿宋_GBK" w:cs="方正仿宋_GBK"/>
          <w:b w:val="0"/>
          <w:bCs w:val="0"/>
          <w:kern w:val="2"/>
          <w:sz w:val="33"/>
          <w:szCs w:val="33"/>
          <w:lang w:val="en-US" w:eastAsia="zh-CN" w:bidi="ar-SA"/>
        </w:rPr>
        <w:t>2022年本年收入合计47.11万元，其中：一般公共预算财政拨款收入47.11万元，占100%。</w:t>
      </w:r>
      <w:bookmarkEnd w:id="31"/>
    </w:p>
    <w:p>
      <w:pPr>
        <w:keepNext w:val="0"/>
        <w:keepLines w:val="0"/>
        <w:pageBreakBefore w:val="0"/>
        <w:widowControl w:val="0"/>
        <w:kinsoku/>
        <w:wordWrap/>
        <w:overflowPunct/>
        <w:topLinePunct w:val="0"/>
        <w:autoSpaceDE/>
        <w:autoSpaceDN/>
        <w:bidi w:val="0"/>
        <w:adjustRightInd/>
        <w:snapToGrid/>
        <w:spacing w:line="590" w:lineRule="exact"/>
        <w:ind w:right="0"/>
        <w:jc w:val="center"/>
        <w:textAlignment w:val="auto"/>
        <w:outlineLvl w:val="9"/>
        <w:rPr>
          <w:rFonts w:hint="eastAsia" w:ascii="宋体" w:hAnsi="宋体" w:eastAsia="方正仿宋_GBK" w:cs="方正仿宋_GBK"/>
          <w:color w:val="auto"/>
          <w:sz w:val="33"/>
          <w:szCs w:val="33"/>
          <w:highlight w:val="none"/>
        </w:rPr>
      </w:pPr>
      <w:r>
        <w:rPr>
          <w:rFonts w:hint="eastAsia" w:ascii="宋体" w:hAnsi="宋体" w:eastAsia="方正仿宋_GBK" w:cs="方正仿宋_GBK"/>
          <w:sz w:val="33"/>
          <w:szCs w:val="33"/>
        </w:rPr>
        <w:drawing>
          <wp:anchor distT="0" distB="0" distL="114300" distR="114300" simplePos="0" relativeHeight="251660288" behindDoc="0" locked="0" layoutInCell="1" allowOverlap="1">
            <wp:simplePos x="0" y="0"/>
            <wp:positionH relativeFrom="column">
              <wp:posOffset>844550</wp:posOffset>
            </wp:positionH>
            <wp:positionV relativeFrom="paragraph">
              <wp:posOffset>80645</wp:posOffset>
            </wp:positionV>
            <wp:extent cx="3628390" cy="1835785"/>
            <wp:effectExtent l="4445" t="4445" r="5715" b="7620"/>
            <wp:wrapTopAndBottom/>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宋体" w:hAnsi="宋体" w:eastAsia="方正仿宋_GBK" w:cs="方正仿宋_GBK"/>
          <w:color w:val="auto"/>
          <w:sz w:val="33"/>
          <w:szCs w:val="33"/>
          <w:highlight w:val="none"/>
        </w:rPr>
        <w:t>图2：收入决算结构图</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32" w:name="_Toc15377207"/>
      <w:bookmarkStart w:id="33" w:name="_Toc15396605"/>
      <w:bookmarkStart w:id="34" w:name="_Toc650"/>
      <w:r>
        <w:rPr>
          <w:rStyle w:val="28"/>
          <w:rFonts w:hint="eastAsia" w:ascii="宋体" w:hAnsi="宋体" w:eastAsia="方正黑体_GBK" w:cs="方正黑体_GBK"/>
          <w:b w:val="0"/>
          <w:bCs w:val="0"/>
          <w:color w:val="auto"/>
          <w:sz w:val="33"/>
          <w:szCs w:val="33"/>
          <w:highlight w:val="none"/>
          <w:lang w:val="en-US" w:eastAsia="zh-CN"/>
        </w:rPr>
        <w:t>三、支出决算情况说明</w:t>
      </w:r>
      <w:bookmarkEnd w:id="32"/>
      <w:bookmarkEnd w:id="33"/>
      <w:bookmarkEnd w:id="34"/>
    </w:p>
    <w:p>
      <w:pPr>
        <w:pageBreakBefore w:val="0"/>
        <w:kinsoku/>
        <w:wordWrap/>
        <w:overflowPunct/>
        <w:topLinePunct w:val="0"/>
        <w:bidi w:val="0"/>
        <w:spacing w:line="590" w:lineRule="exact"/>
        <w:ind w:left="0" w:right="0" w:firstLine="660" w:firstLineChars="200"/>
        <w:textAlignment w:val="auto"/>
        <w:outlineLvl w:val="1"/>
        <w:rPr>
          <w:rFonts w:hint="eastAsia" w:ascii="宋体" w:hAnsi="宋体" w:eastAsia="方正仿宋_GBK" w:cs="方正仿宋_GBK"/>
          <w:color w:val="auto"/>
          <w:sz w:val="33"/>
          <w:szCs w:val="33"/>
          <w:highlight w:val="none"/>
        </w:rPr>
      </w:pPr>
      <w:bookmarkStart w:id="35" w:name="_Toc30299"/>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年本年支出合计</w:t>
      </w:r>
      <w:r>
        <w:rPr>
          <w:rFonts w:hint="eastAsia" w:ascii="宋体" w:hAnsi="宋体" w:eastAsia="方正仿宋_GBK" w:cs="方正仿宋_GBK"/>
          <w:color w:val="auto"/>
          <w:sz w:val="33"/>
          <w:szCs w:val="33"/>
          <w:highlight w:val="none"/>
          <w:lang w:val="en-US" w:eastAsia="zh-CN"/>
        </w:rPr>
        <w:t>47.11</w:t>
      </w:r>
      <w:r>
        <w:rPr>
          <w:rFonts w:hint="eastAsia" w:ascii="宋体" w:hAnsi="宋体" w:eastAsia="方正仿宋_GBK" w:cs="方正仿宋_GBK"/>
          <w:color w:val="auto"/>
          <w:sz w:val="33"/>
          <w:szCs w:val="33"/>
          <w:highlight w:val="none"/>
        </w:rPr>
        <w:t>万元，其中：基本支出</w:t>
      </w:r>
      <w:r>
        <w:rPr>
          <w:rFonts w:hint="eastAsia" w:ascii="宋体" w:hAnsi="宋体" w:eastAsia="方正仿宋_GBK" w:cs="方正仿宋_GBK"/>
          <w:color w:val="auto"/>
          <w:sz w:val="33"/>
          <w:szCs w:val="33"/>
          <w:highlight w:val="none"/>
          <w:lang w:val="en-US" w:eastAsia="zh-CN"/>
        </w:rPr>
        <w:t>41.85</w:t>
      </w:r>
      <w:r>
        <w:rPr>
          <w:rFonts w:hint="eastAsia" w:ascii="宋体" w:hAnsi="宋体" w:eastAsia="方正仿宋_GBK" w:cs="方正仿宋_GBK"/>
          <w:color w:val="auto"/>
          <w:sz w:val="33"/>
          <w:szCs w:val="33"/>
          <w:highlight w:val="none"/>
        </w:rPr>
        <w:t>万元，占</w:t>
      </w:r>
      <w:r>
        <w:rPr>
          <w:rFonts w:hint="eastAsia" w:ascii="宋体" w:hAnsi="宋体" w:eastAsia="方正仿宋_GBK" w:cs="方正仿宋_GBK"/>
          <w:color w:val="auto"/>
          <w:sz w:val="33"/>
          <w:szCs w:val="33"/>
          <w:highlight w:val="none"/>
          <w:lang w:val="en-US" w:eastAsia="zh-CN"/>
        </w:rPr>
        <w:t>88.83</w:t>
      </w:r>
      <w:r>
        <w:rPr>
          <w:rFonts w:hint="eastAsia" w:ascii="宋体" w:hAnsi="宋体" w:eastAsia="方正仿宋_GBK" w:cs="方正仿宋_GBK"/>
          <w:color w:val="auto"/>
          <w:sz w:val="33"/>
          <w:szCs w:val="33"/>
          <w:highlight w:val="none"/>
        </w:rPr>
        <w:t>%；项目支出</w:t>
      </w:r>
      <w:r>
        <w:rPr>
          <w:rFonts w:hint="eastAsia" w:ascii="宋体" w:hAnsi="宋体" w:eastAsia="方正仿宋_GBK" w:cs="方正仿宋_GBK"/>
          <w:color w:val="auto"/>
          <w:sz w:val="33"/>
          <w:szCs w:val="33"/>
          <w:highlight w:val="none"/>
          <w:lang w:val="en-US" w:eastAsia="zh-CN"/>
        </w:rPr>
        <w:t>5.26</w:t>
      </w:r>
      <w:r>
        <w:rPr>
          <w:rFonts w:hint="eastAsia" w:ascii="宋体" w:hAnsi="宋体" w:eastAsia="方正仿宋_GBK" w:cs="方正仿宋_GBK"/>
          <w:color w:val="auto"/>
          <w:sz w:val="33"/>
          <w:szCs w:val="33"/>
          <w:highlight w:val="none"/>
        </w:rPr>
        <w:t>万元，占</w:t>
      </w:r>
      <w:r>
        <w:rPr>
          <w:rFonts w:hint="eastAsia" w:ascii="宋体" w:hAnsi="宋体" w:eastAsia="方正仿宋_GBK" w:cs="方正仿宋_GBK"/>
          <w:color w:val="auto"/>
          <w:sz w:val="33"/>
          <w:szCs w:val="33"/>
          <w:highlight w:val="none"/>
          <w:lang w:val="en-US" w:eastAsia="zh-CN"/>
        </w:rPr>
        <w:t>11.17</w:t>
      </w:r>
      <w:r>
        <w:rPr>
          <w:rFonts w:hint="eastAsia" w:ascii="宋体" w:hAnsi="宋体" w:eastAsia="方正仿宋_GBK" w:cs="方正仿宋_GBK"/>
          <w:color w:val="auto"/>
          <w:sz w:val="33"/>
          <w:szCs w:val="33"/>
          <w:highlight w:val="none"/>
        </w:rPr>
        <w:t>%。</w:t>
      </w:r>
      <w:bookmarkEnd w:id="35"/>
    </w:p>
    <w:p>
      <w:pPr>
        <w:pageBreakBefore w:val="0"/>
        <w:kinsoku/>
        <w:wordWrap/>
        <w:overflowPunct/>
        <w:topLinePunct w:val="0"/>
        <w:bidi w:val="0"/>
        <w:spacing w:line="590" w:lineRule="exact"/>
        <w:ind w:right="0"/>
        <w:jc w:val="center"/>
        <w:textAlignment w:val="auto"/>
        <w:outlineLvl w:val="1"/>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drawing>
          <wp:anchor distT="0" distB="0" distL="114300" distR="114300" simplePos="0" relativeHeight="251661312" behindDoc="0" locked="0" layoutInCell="1" allowOverlap="1">
            <wp:simplePos x="0" y="0"/>
            <wp:positionH relativeFrom="column">
              <wp:posOffset>859155</wp:posOffset>
            </wp:positionH>
            <wp:positionV relativeFrom="paragraph">
              <wp:posOffset>125095</wp:posOffset>
            </wp:positionV>
            <wp:extent cx="4077970" cy="2214245"/>
            <wp:effectExtent l="4445" t="4445" r="13335" b="10160"/>
            <wp:wrapTopAndBottom/>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宋体" w:hAnsi="宋体" w:eastAsia="方正仿宋_GBK" w:cs="方正仿宋_GBK"/>
          <w:color w:val="auto"/>
          <w:sz w:val="33"/>
          <w:szCs w:val="33"/>
          <w:highlight w:val="none"/>
        </w:rPr>
        <w:t>图3：支出决算结构图</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36" w:name="_Toc15377208"/>
      <w:bookmarkStart w:id="37" w:name="_Toc15396606"/>
      <w:bookmarkStart w:id="38" w:name="_Toc24651"/>
      <w:r>
        <w:rPr>
          <w:rStyle w:val="28"/>
          <w:rFonts w:hint="eastAsia" w:ascii="宋体" w:hAnsi="宋体" w:eastAsia="方正黑体_GBK" w:cs="方正黑体_GBK"/>
          <w:b w:val="0"/>
          <w:bCs w:val="0"/>
          <w:color w:val="auto"/>
          <w:sz w:val="33"/>
          <w:szCs w:val="33"/>
          <w:highlight w:val="none"/>
          <w:lang w:val="en-US" w:eastAsia="zh-CN"/>
        </w:rPr>
        <w:t>四、财政拨款收入支出决算总体情况说明</w:t>
      </w:r>
      <w:bookmarkEnd w:id="36"/>
      <w:bookmarkEnd w:id="37"/>
      <w:bookmarkEnd w:id="38"/>
    </w:p>
    <w:p>
      <w:pPr>
        <w:pageBreakBefore w:val="0"/>
        <w:kinsoku/>
        <w:wordWrap/>
        <w:overflowPunct/>
        <w:topLinePunct w:val="0"/>
        <w:bidi w:val="0"/>
        <w:spacing w:line="590" w:lineRule="exact"/>
        <w:ind w:left="0" w:right="0" w:firstLine="660" w:firstLineChars="200"/>
        <w:textAlignment w:val="auto"/>
        <w:outlineLvl w:val="1"/>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年财政拨款收、支总计</w:t>
      </w:r>
      <w:r>
        <w:rPr>
          <w:rFonts w:hint="eastAsia" w:ascii="宋体" w:hAnsi="宋体" w:eastAsia="方正仿宋_GBK" w:cs="方正仿宋_GBK"/>
          <w:color w:val="auto"/>
          <w:sz w:val="33"/>
          <w:szCs w:val="33"/>
          <w:highlight w:val="none"/>
          <w:lang w:val="en-US" w:eastAsia="zh-CN"/>
        </w:rPr>
        <w:t>49.01</w:t>
      </w:r>
      <w:r>
        <w:rPr>
          <w:rFonts w:hint="eastAsia" w:ascii="宋体" w:hAnsi="宋体" w:eastAsia="方正仿宋_GBK" w:cs="方正仿宋_GBK"/>
          <w:color w:val="auto"/>
          <w:sz w:val="33"/>
          <w:szCs w:val="33"/>
          <w:highlight w:val="none"/>
        </w:rPr>
        <w:t>万元。与20</w:t>
      </w:r>
      <w:r>
        <w:rPr>
          <w:rFonts w:hint="eastAsia" w:ascii="宋体" w:hAnsi="宋体" w:eastAsia="方正仿宋_GBK" w:cs="方正仿宋_GBK"/>
          <w:color w:val="auto"/>
          <w:sz w:val="33"/>
          <w:szCs w:val="33"/>
          <w:highlight w:val="none"/>
          <w:lang w:val="en-US" w:eastAsia="zh-CN"/>
        </w:rPr>
        <w:t>21</w:t>
      </w:r>
      <w:r>
        <w:rPr>
          <w:rFonts w:hint="eastAsia" w:ascii="宋体" w:hAnsi="宋体" w:eastAsia="方正仿宋_GBK" w:cs="方正仿宋_GBK"/>
          <w:color w:val="auto"/>
          <w:sz w:val="33"/>
          <w:szCs w:val="33"/>
          <w:highlight w:val="none"/>
        </w:rPr>
        <w:t>年相比，财政拨款收、支总计各增加</w:t>
      </w:r>
      <w:r>
        <w:rPr>
          <w:rFonts w:hint="eastAsia" w:ascii="宋体" w:hAnsi="宋体" w:eastAsia="方正仿宋_GBK" w:cs="方正仿宋_GBK"/>
          <w:color w:val="auto"/>
          <w:sz w:val="33"/>
          <w:szCs w:val="33"/>
          <w:highlight w:val="none"/>
          <w:lang w:val="en-US" w:eastAsia="zh-CN"/>
        </w:rPr>
        <w:t>1.08</w:t>
      </w:r>
      <w:r>
        <w:rPr>
          <w:rFonts w:hint="eastAsia" w:ascii="宋体" w:hAnsi="宋体" w:eastAsia="方正仿宋_GBK" w:cs="方正仿宋_GBK"/>
          <w:color w:val="auto"/>
          <w:sz w:val="33"/>
          <w:szCs w:val="33"/>
          <w:highlight w:val="none"/>
        </w:rPr>
        <w:t>万元，增长</w:t>
      </w:r>
      <w:r>
        <w:rPr>
          <w:rFonts w:hint="eastAsia" w:ascii="宋体" w:hAnsi="宋体" w:eastAsia="方正仿宋_GBK" w:cs="方正仿宋_GBK"/>
          <w:color w:val="auto"/>
          <w:sz w:val="33"/>
          <w:szCs w:val="33"/>
          <w:highlight w:val="none"/>
          <w:lang w:val="en-US" w:eastAsia="zh-CN"/>
        </w:rPr>
        <w:t>2.25</w:t>
      </w:r>
      <w:r>
        <w:rPr>
          <w:rFonts w:hint="eastAsia" w:ascii="宋体" w:hAnsi="宋体" w:eastAsia="方正仿宋_GBK" w:cs="方正仿宋_GBK"/>
          <w:color w:val="auto"/>
          <w:sz w:val="33"/>
          <w:szCs w:val="33"/>
          <w:highlight w:val="none"/>
        </w:rPr>
        <w:t>%。主要变动原因是</w:t>
      </w:r>
      <w:r>
        <w:rPr>
          <w:rFonts w:hint="eastAsia" w:ascii="宋体" w:hAnsi="宋体" w:eastAsia="方正仿宋_GBK" w:cs="方正仿宋_GBK"/>
          <w:color w:val="auto"/>
          <w:sz w:val="33"/>
          <w:szCs w:val="33"/>
          <w:highlight w:val="none"/>
          <w:lang w:val="en-US" w:eastAsia="zh-CN"/>
        </w:rPr>
        <w:t>年初结转和结余增加</w:t>
      </w:r>
      <w:r>
        <w:rPr>
          <w:rFonts w:hint="eastAsia" w:ascii="宋体" w:hAnsi="宋体" w:eastAsia="方正仿宋_GBK" w:cs="方正仿宋_GBK"/>
          <w:color w:val="auto"/>
          <w:sz w:val="33"/>
          <w:szCs w:val="33"/>
          <w:highlight w:val="none"/>
          <w:lang w:eastAsia="zh-CN"/>
        </w:rPr>
        <w:t>。</w:t>
      </w:r>
    </w:p>
    <w:p>
      <w:pPr>
        <w:pageBreakBefore w:val="0"/>
        <w:kinsoku/>
        <w:wordWrap/>
        <w:overflowPunct/>
        <w:topLinePunct w:val="0"/>
        <w:bidi w:val="0"/>
        <w:spacing w:line="590" w:lineRule="exact"/>
        <w:ind w:right="0"/>
        <w:jc w:val="center"/>
        <w:textAlignment w:val="auto"/>
        <w:outlineLvl w:val="1"/>
        <w:rPr>
          <w:rFonts w:hint="eastAsia" w:ascii="宋体" w:hAnsi="宋体" w:eastAsia="方正仿宋_GBK" w:cs="方正仿宋_GBK"/>
          <w:color w:val="auto"/>
          <w:sz w:val="33"/>
          <w:szCs w:val="33"/>
          <w:highlight w:val="none"/>
        </w:rPr>
      </w:pPr>
      <w:r>
        <w:rPr>
          <w:rFonts w:ascii="宋体" w:hAnsi="宋体"/>
        </w:rPr>
        <w:drawing>
          <wp:anchor distT="0" distB="0" distL="114300" distR="114300" simplePos="0" relativeHeight="251663360" behindDoc="0" locked="0" layoutInCell="1" allowOverlap="1">
            <wp:simplePos x="0" y="0"/>
            <wp:positionH relativeFrom="column">
              <wp:posOffset>809625</wp:posOffset>
            </wp:positionH>
            <wp:positionV relativeFrom="paragraph">
              <wp:posOffset>151130</wp:posOffset>
            </wp:positionV>
            <wp:extent cx="4110990" cy="2033270"/>
            <wp:effectExtent l="4445" t="4445" r="18415" b="19685"/>
            <wp:wrapTopAndBottom/>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宋体" w:hAnsi="宋体" w:eastAsia="方正仿宋_GBK" w:cs="方正仿宋_GBK"/>
          <w:color w:val="auto"/>
          <w:sz w:val="33"/>
          <w:szCs w:val="33"/>
          <w:highlight w:val="none"/>
        </w:rPr>
        <w:t>图4：财政拨款收、支决算总计变动情况</w:t>
      </w:r>
    </w:p>
    <w:p>
      <w:pPr>
        <w:pageBreakBefore w:val="0"/>
        <w:kinsoku/>
        <w:wordWrap/>
        <w:overflowPunct/>
        <w:topLinePunct w:val="0"/>
        <w:bidi w:val="0"/>
        <w:spacing w:line="590" w:lineRule="exact"/>
        <w:ind w:left="0" w:right="0" w:firstLine="640"/>
        <w:textAlignment w:val="auto"/>
        <w:rPr>
          <w:rFonts w:ascii="宋体" w:hAnsi="宋体" w:eastAsia="仿宋"/>
          <w:b/>
          <w:color w:val="auto"/>
          <w:sz w:val="33"/>
          <w:szCs w:val="33"/>
          <w:highlight w:val="none"/>
        </w:rPr>
      </w:pP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39" w:name="_Toc15377209"/>
      <w:bookmarkStart w:id="40" w:name="_Toc15396607"/>
      <w:bookmarkStart w:id="41" w:name="_Toc30323"/>
      <w:r>
        <w:rPr>
          <w:rStyle w:val="28"/>
          <w:rFonts w:hint="eastAsia" w:ascii="宋体" w:hAnsi="宋体" w:eastAsia="方正黑体_GBK" w:cs="方正黑体_GBK"/>
          <w:b w:val="0"/>
          <w:bCs w:val="0"/>
          <w:color w:val="auto"/>
          <w:sz w:val="33"/>
          <w:szCs w:val="33"/>
          <w:highlight w:val="none"/>
          <w:lang w:val="en-US" w:eastAsia="zh-CN"/>
        </w:rPr>
        <w:t>五、一般公共预算财政拨款支出决算情况说明</w:t>
      </w:r>
      <w:bookmarkEnd w:id="39"/>
      <w:bookmarkEnd w:id="40"/>
      <w:bookmarkEnd w:id="41"/>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42" w:name="_Toc15377210"/>
      <w:r>
        <w:rPr>
          <w:rFonts w:hint="eastAsia" w:ascii="宋体" w:hAnsi="宋体" w:eastAsia="方正楷体_GBK" w:cs="方正楷体_GBK"/>
          <w:b/>
          <w:bCs w:val="0"/>
          <w:color w:val="auto"/>
          <w:sz w:val="33"/>
          <w:szCs w:val="33"/>
          <w:highlight w:val="none"/>
        </w:rPr>
        <w:t>（一）一般公共预算财政拨款支出决算总体情况</w:t>
      </w:r>
      <w:bookmarkEnd w:id="42"/>
    </w:p>
    <w:p>
      <w:pPr>
        <w:pageBreakBefore w:val="0"/>
        <w:kinsoku/>
        <w:wordWrap/>
        <w:overflowPunct/>
        <w:topLinePunct w:val="0"/>
        <w:bidi w:val="0"/>
        <w:spacing w:line="590" w:lineRule="exact"/>
        <w:ind w:left="0" w:right="0" w:firstLine="660" w:firstLineChars="200"/>
        <w:textAlignment w:val="auto"/>
        <w:outlineLvl w:val="1"/>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年一般公共预算财政拨款支出</w:t>
      </w:r>
      <w:r>
        <w:rPr>
          <w:rFonts w:hint="eastAsia" w:ascii="宋体" w:hAnsi="宋体" w:eastAsia="方正仿宋_GBK" w:cs="方正仿宋_GBK"/>
          <w:color w:val="auto"/>
          <w:sz w:val="33"/>
          <w:szCs w:val="33"/>
          <w:highlight w:val="none"/>
          <w:lang w:val="en-US" w:eastAsia="zh-CN"/>
        </w:rPr>
        <w:t>47.11</w:t>
      </w:r>
      <w:r>
        <w:rPr>
          <w:rFonts w:hint="eastAsia" w:ascii="宋体" w:hAnsi="宋体" w:eastAsia="方正仿宋_GBK" w:cs="方正仿宋_GBK"/>
          <w:color w:val="auto"/>
          <w:sz w:val="33"/>
          <w:szCs w:val="33"/>
          <w:highlight w:val="none"/>
        </w:rPr>
        <w:t>万元，占本年支出合计的</w:t>
      </w:r>
      <w:r>
        <w:rPr>
          <w:rFonts w:hint="eastAsia" w:ascii="宋体" w:hAnsi="宋体" w:eastAsia="方正仿宋_GBK" w:cs="方正仿宋_GBK"/>
          <w:color w:val="auto"/>
          <w:sz w:val="33"/>
          <w:szCs w:val="33"/>
          <w:highlight w:val="none"/>
          <w:lang w:val="en-US" w:eastAsia="zh-CN"/>
        </w:rPr>
        <w:t>100</w:t>
      </w:r>
      <w:r>
        <w:rPr>
          <w:rFonts w:hint="eastAsia" w:ascii="宋体" w:hAnsi="宋体" w:eastAsia="方正仿宋_GBK" w:cs="方正仿宋_GBK"/>
          <w:color w:val="auto"/>
          <w:sz w:val="33"/>
          <w:szCs w:val="33"/>
          <w:highlight w:val="none"/>
        </w:rPr>
        <w:t>%。与20</w:t>
      </w:r>
      <w:r>
        <w:rPr>
          <w:rFonts w:hint="eastAsia" w:ascii="宋体" w:hAnsi="宋体" w:eastAsia="方正仿宋_GBK" w:cs="方正仿宋_GBK"/>
          <w:color w:val="auto"/>
          <w:sz w:val="33"/>
          <w:szCs w:val="33"/>
          <w:highlight w:val="none"/>
          <w:lang w:val="en-US" w:eastAsia="zh-CN"/>
        </w:rPr>
        <w:t>21</w:t>
      </w:r>
      <w:r>
        <w:rPr>
          <w:rFonts w:hint="eastAsia" w:ascii="宋体" w:hAnsi="宋体" w:eastAsia="方正仿宋_GBK" w:cs="方正仿宋_GBK"/>
          <w:color w:val="auto"/>
          <w:sz w:val="33"/>
          <w:szCs w:val="33"/>
          <w:highlight w:val="none"/>
        </w:rPr>
        <w:t>年相比，一般公共预算财政拨款</w:t>
      </w:r>
      <w:r>
        <w:rPr>
          <w:rFonts w:hint="eastAsia" w:ascii="宋体" w:hAnsi="宋体" w:eastAsia="方正仿宋_GBK" w:cs="方正仿宋_GBK"/>
          <w:color w:val="auto"/>
          <w:sz w:val="33"/>
          <w:szCs w:val="33"/>
          <w:highlight w:val="none"/>
          <w:lang w:eastAsia="zh-CN"/>
        </w:rPr>
        <w:t>支出</w:t>
      </w:r>
      <w:r>
        <w:rPr>
          <w:rFonts w:hint="eastAsia" w:ascii="宋体" w:hAnsi="宋体" w:eastAsia="方正仿宋_GBK" w:cs="方正仿宋_GBK"/>
          <w:color w:val="auto"/>
          <w:sz w:val="33"/>
          <w:szCs w:val="33"/>
          <w:highlight w:val="none"/>
          <w:lang w:val="en-US" w:eastAsia="zh-CN"/>
        </w:rPr>
        <w:t>增加1.08</w:t>
      </w:r>
      <w:r>
        <w:rPr>
          <w:rFonts w:hint="eastAsia" w:ascii="宋体" w:hAnsi="宋体" w:eastAsia="方正仿宋_GBK" w:cs="方正仿宋_GBK"/>
          <w:color w:val="auto"/>
          <w:sz w:val="33"/>
          <w:szCs w:val="33"/>
          <w:highlight w:val="none"/>
        </w:rPr>
        <w:t>万元，增长</w:t>
      </w:r>
      <w:r>
        <w:rPr>
          <w:rFonts w:hint="eastAsia" w:ascii="宋体" w:hAnsi="宋体" w:eastAsia="方正仿宋_GBK" w:cs="方正仿宋_GBK"/>
          <w:color w:val="auto"/>
          <w:sz w:val="33"/>
          <w:szCs w:val="33"/>
          <w:highlight w:val="none"/>
          <w:lang w:val="en-US" w:eastAsia="zh-CN"/>
        </w:rPr>
        <w:t>2.35</w:t>
      </w:r>
      <w:r>
        <w:rPr>
          <w:rFonts w:hint="eastAsia" w:ascii="宋体" w:hAnsi="宋体" w:eastAsia="方正仿宋_GBK" w:cs="方正仿宋_GBK"/>
          <w:color w:val="auto"/>
          <w:sz w:val="33"/>
          <w:szCs w:val="33"/>
          <w:highlight w:val="none"/>
        </w:rPr>
        <w:t>%。主要变动原因是</w:t>
      </w:r>
      <w:r>
        <w:rPr>
          <w:rFonts w:hint="eastAsia" w:ascii="宋体" w:hAnsi="宋体" w:eastAsia="方正仿宋_GBK" w:cs="方正仿宋_GBK"/>
          <w:color w:val="auto"/>
          <w:sz w:val="33"/>
          <w:szCs w:val="33"/>
          <w:highlight w:val="none"/>
          <w:lang w:val="en-US" w:eastAsia="zh-CN"/>
        </w:rPr>
        <w:t>基本支出增加。</w:t>
      </w:r>
    </w:p>
    <w:p>
      <w:pPr>
        <w:pageBreakBefore w:val="0"/>
        <w:kinsoku/>
        <w:wordWrap/>
        <w:overflowPunct/>
        <w:topLinePunct w:val="0"/>
        <w:bidi w:val="0"/>
        <w:spacing w:line="590" w:lineRule="exact"/>
        <w:ind w:right="0"/>
        <w:jc w:val="center"/>
        <w:textAlignment w:val="auto"/>
        <w:outlineLvl w:val="1"/>
        <w:rPr>
          <w:rFonts w:ascii="宋体" w:hAnsi="宋体" w:eastAsia="仿宋"/>
          <w:color w:val="auto"/>
          <w:sz w:val="33"/>
          <w:szCs w:val="33"/>
          <w:highlight w:val="none"/>
        </w:rPr>
      </w:pPr>
      <w:r>
        <w:rPr>
          <w:rFonts w:ascii="宋体" w:hAnsi="宋体"/>
        </w:rPr>
        <w:drawing>
          <wp:anchor distT="0" distB="0" distL="114300" distR="114300" simplePos="0" relativeHeight="251662336" behindDoc="0" locked="0" layoutInCell="1" allowOverlap="1">
            <wp:simplePos x="0" y="0"/>
            <wp:positionH relativeFrom="column">
              <wp:posOffset>862330</wp:posOffset>
            </wp:positionH>
            <wp:positionV relativeFrom="paragraph">
              <wp:posOffset>160655</wp:posOffset>
            </wp:positionV>
            <wp:extent cx="3836670" cy="1697990"/>
            <wp:effectExtent l="4445" t="4445" r="6985" b="12065"/>
            <wp:wrapTopAndBottom/>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宋体" w:hAnsi="宋体" w:eastAsia="方正仿宋_GBK" w:cs="方正仿宋_GBK"/>
          <w:color w:val="auto"/>
          <w:sz w:val="33"/>
          <w:szCs w:val="33"/>
          <w:highlight w:val="none"/>
        </w:rPr>
        <w:t>图5</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rPr>
        <w:t>一般公共预算财政拨款支出决算变动情况</w:t>
      </w:r>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43" w:name="_Toc15377211"/>
      <w:r>
        <w:rPr>
          <w:rFonts w:hint="eastAsia" w:ascii="宋体" w:hAnsi="宋体" w:eastAsia="方正楷体_GBK" w:cs="方正楷体_GBK"/>
          <w:b/>
          <w:bCs w:val="0"/>
          <w:color w:val="auto"/>
          <w:sz w:val="33"/>
          <w:szCs w:val="33"/>
          <w:highlight w:val="none"/>
        </w:rPr>
        <w:t>（二）一般公共预算财政拨款支出决算结构情况</w:t>
      </w:r>
      <w:bookmarkEnd w:id="43"/>
    </w:p>
    <w:p>
      <w:pPr>
        <w:pageBreakBefore w:val="0"/>
        <w:kinsoku/>
        <w:wordWrap/>
        <w:overflowPunct/>
        <w:topLinePunct w:val="0"/>
        <w:bidi w:val="0"/>
        <w:spacing w:line="590" w:lineRule="exact"/>
        <w:ind w:left="0" w:right="0" w:firstLine="660" w:firstLineChars="200"/>
        <w:textAlignment w:val="auto"/>
        <w:outlineLvl w:val="1"/>
        <w:rPr>
          <w:rFonts w:hint="eastAsia" w:ascii="宋体" w:hAnsi="宋体" w:eastAsia="方正仿宋_GBK" w:cs="方正仿宋_GBK"/>
          <w:color w:val="auto"/>
          <w:sz w:val="33"/>
          <w:szCs w:val="33"/>
          <w:highlight w:val="none"/>
          <w:lang w:eastAsia="zh-CN"/>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年一般公共预算财政拨款支出</w:t>
      </w:r>
      <w:r>
        <w:rPr>
          <w:rFonts w:hint="eastAsia" w:ascii="宋体" w:hAnsi="宋体" w:eastAsia="方正仿宋_GBK" w:cs="方正仿宋_GBK"/>
          <w:color w:val="auto"/>
          <w:sz w:val="33"/>
          <w:szCs w:val="33"/>
          <w:highlight w:val="none"/>
          <w:lang w:val="en-US" w:eastAsia="zh-CN"/>
        </w:rPr>
        <w:t>47.11</w:t>
      </w:r>
      <w:r>
        <w:rPr>
          <w:rFonts w:hint="eastAsia" w:ascii="宋体" w:hAnsi="宋体" w:eastAsia="方正仿宋_GBK" w:cs="方正仿宋_GBK"/>
          <w:color w:val="auto"/>
          <w:sz w:val="33"/>
          <w:szCs w:val="33"/>
          <w:highlight w:val="none"/>
        </w:rPr>
        <w:t>万元，主要用于以下方面</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rPr>
        <w:t>一般公共服务支出</w:t>
      </w:r>
      <w:r>
        <w:rPr>
          <w:rFonts w:hint="eastAsia" w:ascii="宋体" w:hAnsi="宋体" w:eastAsia="方正仿宋_GBK" w:cs="方正仿宋_GBK"/>
          <w:color w:val="auto"/>
          <w:sz w:val="33"/>
          <w:szCs w:val="33"/>
          <w:highlight w:val="none"/>
          <w:lang w:val="en-US" w:eastAsia="zh-CN"/>
        </w:rPr>
        <w:t>36.50</w:t>
      </w:r>
      <w:r>
        <w:rPr>
          <w:rFonts w:hint="eastAsia" w:ascii="宋体" w:hAnsi="宋体" w:eastAsia="方正仿宋_GBK" w:cs="方正仿宋_GBK"/>
          <w:color w:val="auto"/>
          <w:sz w:val="33"/>
          <w:szCs w:val="33"/>
          <w:highlight w:val="none"/>
        </w:rPr>
        <w:t>万元，占</w:t>
      </w:r>
      <w:r>
        <w:rPr>
          <w:rFonts w:hint="eastAsia" w:ascii="宋体" w:hAnsi="宋体" w:eastAsia="方正仿宋_GBK" w:cs="方正仿宋_GBK"/>
          <w:color w:val="auto"/>
          <w:sz w:val="33"/>
          <w:szCs w:val="33"/>
          <w:highlight w:val="none"/>
          <w:lang w:val="en-US" w:eastAsia="zh-CN"/>
        </w:rPr>
        <w:t>77.48</w:t>
      </w:r>
      <w:r>
        <w:rPr>
          <w:rFonts w:hint="eastAsia" w:ascii="宋体" w:hAnsi="宋体" w:eastAsia="方正仿宋_GBK" w:cs="方正仿宋_GBK"/>
          <w:color w:val="auto"/>
          <w:sz w:val="33"/>
          <w:szCs w:val="33"/>
          <w:highlight w:val="none"/>
        </w:rPr>
        <w:t>%；社会保障和就业支出</w:t>
      </w:r>
      <w:r>
        <w:rPr>
          <w:rFonts w:hint="eastAsia" w:ascii="宋体" w:hAnsi="宋体" w:eastAsia="方正仿宋_GBK" w:cs="方正仿宋_GBK"/>
          <w:color w:val="auto"/>
          <w:sz w:val="33"/>
          <w:szCs w:val="33"/>
          <w:highlight w:val="none"/>
          <w:lang w:val="en-US" w:eastAsia="zh-CN"/>
        </w:rPr>
        <w:t>5.49</w:t>
      </w:r>
      <w:r>
        <w:rPr>
          <w:rFonts w:hint="eastAsia" w:ascii="宋体" w:hAnsi="宋体" w:eastAsia="方正仿宋_GBK" w:cs="方正仿宋_GBK"/>
          <w:color w:val="auto"/>
          <w:sz w:val="33"/>
          <w:szCs w:val="33"/>
          <w:highlight w:val="none"/>
        </w:rPr>
        <w:t>万元，占</w:t>
      </w:r>
      <w:r>
        <w:rPr>
          <w:rFonts w:hint="eastAsia" w:ascii="宋体" w:hAnsi="宋体" w:eastAsia="方正仿宋_GBK" w:cs="方正仿宋_GBK"/>
          <w:color w:val="auto"/>
          <w:sz w:val="33"/>
          <w:szCs w:val="33"/>
          <w:highlight w:val="none"/>
          <w:lang w:val="en-US" w:eastAsia="zh-CN"/>
        </w:rPr>
        <w:t>11.65</w:t>
      </w:r>
      <w:r>
        <w:rPr>
          <w:rFonts w:hint="eastAsia" w:ascii="宋体" w:hAnsi="宋体" w:eastAsia="方正仿宋_GBK" w:cs="方正仿宋_GBK"/>
          <w:color w:val="auto"/>
          <w:sz w:val="33"/>
          <w:szCs w:val="33"/>
          <w:highlight w:val="none"/>
        </w:rPr>
        <w:t>%；卫生健康支出</w:t>
      </w:r>
      <w:r>
        <w:rPr>
          <w:rFonts w:hint="eastAsia" w:ascii="宋体" w:hAnsi="宋体" w:eastAsia="方正仿宋_GBK" w:cs="方正仿宋_GBK"/>
          <w:color w:val="auto"/>
          <w:sz w:val="33"/>
          <w:szCs w:val="33"/>
          <w:highlight w:val="none"/>
          <w:lang w:val="en-US" w:eastAsia="zh-CN"/>
        </w:rPr>
        <w:t>2.03</w:t>
      </w:r>
      <w:r>
        <w:rPr>
          <w:rFonts w:hint="eastAsia" w:ascii="宋体" w:hAnsi="宋体" w:eastAsia="方正仿宋_GBK" w:cs="方正仿宋_GBK"/>
          <w:color w:val="auto"/>
          <w:sz w:val="33"/>
          <w:szCs w:val="33"/>
          <w:highlight w:val="none"/>
        </w:rPr>
        <w:t>万元，占</w:t>
      </w:r>
      <w:r>
        <w:rPr>
          <w:rFonts w:hint="eastAsia" w:ascii="宋体" w:hAnsi="宋体" w:eastAsia="方正仿宋_GBK" w:cs="方正仿宋_GBK"/>
          <w:color w:val="auto"/>
          <w:sz w:val="33"/>
          <w:szCs w:val="33"/>
          <w:highlight w:val="none"/>
          <w:lang w:val="en-US" w:eastAsia="zh-CN"/>
        </w:rPr>
        <w:t>4.31</w:t>
      </w:r>
      <w:r>
        <w:rPr>
          <w:rFonts w:hint="eastAsia" w:ascii="宋体" w:hAnsi="宋体" w:eastAsia="方正仿宋_GBK" w:cs="方正仿宋_GBK"/>
          <w:color w:val="auto"/>
          <w:sz w:val="33"/>
          <w:szCs w:val="33"/>
          <w:highlight w:val="none"/>
        </w:rPr>
        <w:t>%；住房保障支出</w:t>
      </w:r>
      <w:r>
        <w:rPr>
          <w:rFonts w:hint="eastAsia" w:ascii="宋体" w:hAnsi="宋体" w:eastAsia="方正仿宋_GBK" w:cs="方正仿宋_GBK"/>
          <w:color w:val="auto"/>
          <w:sz w:val="33"/>
          <w:szCs w:val="33"/>
          <w:highlight w:val="none"/>
          <w:lang w:val="en-US" w:eastAsia="zh-CN"/>
        </w:rPr>
        <w:t>3.09</w:t>
      </w:r>
      <w:r>
        <w:rPr>
          <w:rFonts w:hint="eastAsia" w:ascii="宋体" w:hAnsi="宋体" w:eastAsia="方正仿宋_GBK" w:cs="方正仿宋_GBK"/>
          <w:color w:val="auto"/>
          <w:sz w:val="33"/>
          <w:szCs w:val="33"/>
          <w:highlight w:val="none"/>
        </w:rPr>
        <w:t>万元，占</w:t>
      </w:r>
      <w:r>
        <w:rPr>
          <w:rFonts w:hint="eastAsia" w:ascii="宋体" w:hAnsi="宋体" w:eastAsia="方正仿宋_GBK" w:cs="方正仿宋_GBK"/>
          <w:color w:val="auto"/>
          <w:sz w:val="33"/>
          <w:szCs w:val="33"/>
          <w:highlight w:val="none"/>
          <w:lang w:val="en-US" w:eastAsia="zh-CN"/>
        </w:rPr>
        <w:t>6.56</w:t>
      </w:r>
      <w:r>
        <w:rPr>
          <w:rFonts w:hint="eastAsia" w:ascii="宋体" w:hAnsi="宋体" w:eastAsia="方正仿宋_GBK" w:cs="方正仿宋_GBK"/>
          <w:color w:val="auto"/>
          <w:sz w:val="33"/>
          <w:szCs w:val="33"/>
          <w:highlight w:val="none"/>
        </w:rPr>
        <w:t>%</w:t>
      </w:r>
      <w:r>
        <w:rPr>
          <w:rFonts w:hint="eastAsia" w:ascii="宋体" w:hAnsi="宋体" w:eastAsia="方正仿宋_GBK" w:cs="方正仿宋_GBK"/>
          <w:color w:val="auto"/>
          <w:sz w:val="33"/>
          <w:szCs w:val="33"/>
          <w:highlight w:val="none"/>
          <w:lang w:eastAsia="zh-CN"/>
        </w:rPr>
        <w:t>。</w:t>
      </w:r>
    </w:p>
    <w:p>
      <w:pPr>
        <w:pStyle w:val="14"/>
        <w:ind w:left="0" w:leftChars="0" w:firstLine="0" w:firstLineChars="0"/>
        <w:jc w:val="center"/>
        <w:rPr>
          <w:rFonts w:hint="eastAsia" w:ascii="宋体" w:hAnsi="宋体" w:eastAsia="方正仿宋_GBK" w:cs="方正仿宋_GBK"/>
          <w:color w:val="auto"/>
          <w:sz w:val="33"/>
          <w:szCs w:val="33"/>
          <w:highlight w:val="none"/>
        </w:rPr>
      </w:pPr>
      <w:r>
        <w:rPr>
          <w:rFonts w:ascii="宋体" w:hAnsi="宋体"/>
        </w:rPr>
        <w:drawing>
          <wp:anchor distT="0" distB="0" distL="114300" distR="114300" simplePos="0" relativeHeight="251664384" behindDoc="0" locked="0" layoutInCell="1" allowOverlap="1">
            <wp:simplePos x="0" y="0"/>
            <wp:positionH relativeFrom="column">
              <wp:posOffset>867410</wp:posOffset>
            </wp:positionH>
            <wp:positionV relativeFrom="paragraph">
              <wp:posOffset>69215</wp:posOffset>
            </wp:positionV>
            <wp:extent cx="3859530" cy="1910080"/>
            <wp:effectExtent l="4445" t="4445" r="22225" b="9525"/>
            <wp:wrapTopAndBottom/>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宋体" w:hAnsi="宋体" w:eastAsia="方正仿宋_GBK" w:cs="方正仿宋_GBK"/>
          <w:color w:val="auto"/>
          <w:sz w:val="33"/>
          <w:szCs w:val="33"/>
          <w:highlight w:val="none"/>
        </w:rPr>
        <w:t>图6：一般公共预算财政拨款支出决算结构</w:t>
      </w:r>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44" w:name="_Toc15377212"/>
      <w:r>
        <w:rPr>
          <w:rFonts w:hint="eastAsia" w:ascii="宋体" w:hAnsi="宋体" w:eastAsia="方正楷体_GBK" w:cs="方正楷体_GBK"/>
          <w:b/>
          <w:bCs w:val="0"/>
          <w:color w:val="auto"/>
          <w:sz w:val="33"/>
          <w:szCs w:val="33"/>
          <w:highlight w:val="none"/>
        </w:rPr>
        <w:t>（三）一般公共预算财政拨款支出决算具体情况</w:t>
      </w:r>
      <w:bookmarkEnd w:id="44"/>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仿宋_GBK" w:cs="方正仿宋_GBK"/>
          <w:color w:val="auto"/>
          <w:sz w:val="33"/>
          <w:szCs w:val="33"/>
          <w:highlight w:val="none"/>
        </w:rPr>
      </w:pPr>
      <w:bookmarkStart w:id="45" w:name="_Toc15377444"/>
      <w:bookmarkStart w:id="46" w:name="_Toc15377213"/>
      <w:bookmarkStart w:id="47" w:name="_Toc15378460"/>
      <w:r>
        <w:rPr>
          <w:rFonts w:hint="eastAsia" w:ascii="宋体" w:hAnsi="宋体" w:eastAsia="方正仿宋_GBK" w:cs="方正仿宋_GBK"/>
          <w:b/>
          <w:color w:val="auto"/>
          <w:sz w:val="33"/>
          <w:szCs w:val="33"/>
          <w:highlight w:val="none"/>
        </w:rPr>
        <w:t>20</w:t>
      </w:r>
      <w:r>
        <w:rPr>
          <w:rFonts w:hint="eastAsia" w:ascii="宋体" w:hAnsi="宋体" w:eastAsia="方正仿宋_GBK" w:cs="方正仿宋_GBK"/>
          <w:b/>
          <w:color w:val="auto"/>
          <w:sz w:val="33"/>
          <w:szCs w:val="33"/>
          <w:highlight w:val="none"/>
          <w:lang w:val="en-US" w:eastAsia="zh-CN"/>
        </w:rPr>
        <w:t>22</w:t>
      </w:r>
      <w:r>
        <w:rPr>
          <w:rFonts w:hint="eastAsia" w:ascii="宋体" w:hAnsi="宋体" w:eastAsia="方正仿宋_GBK" w:cs="方正仿宋_GBK"/>
          <w:b/>
          <w:color w:val="auto"/>
          <w:sz w:val="33"/>
          <w:szCs w:val="33"/>
          <w:highlight w:val="none"/>
        </w:rPr>
        <w:t>年</w:t>
      </w:r>
      <w:r>
        <w:rPr>
          <w:rFonts w:hint="eastAsia" w:ascii="宋体" w:hAnsi="宋体" w:eastAsia="方正仿宋_GBK" w:cs="方正仿宋_GBK"/>
          <w:b/>
          <w:color w:val="auto"/>
          <w:sz w:val="33"/>
          <w:szCs w:val="33"/>
          <w:highlight w:val="none"/>
          <w:lang w:eastAsia="zh-CN"/>
        </w:rPr>
        <w:t>一</w:t>
      </w:r>
      <w:r>
        <w:rPr>
          <w:rFonts w:hint="eastAsia" w:ascii="宋体" w:hAnsi="宋体" w:eastAsia="方正仿宋_GBK" w:cs="方正仿宋_GBK"/>
          <w:b/>
          <w:color w:val="auto"/>
          <w:sz w:val="33"/>
          <w:szCs w:val="33"/>
          <w:highlight w:val="none"/>
        </w:rPr>
        <w:t>般公共预算支出决算数为</w:t>
      </w:r>
      <w:r>
        <w:rPr>
          <w:rFonts w:hint="eastAsia" w:ascii="宋体" w:hAnsi="宋体" w:eastAsia="方正仿宋_GBK" w:cs="方正仿宋_GBK"/>
          <w:b/>
          <w:color w:val="auto"/>
          <w:sz w:val="33"/>
          <w:szCs w:val="33"/>
          <w:highlight w:val="none"/>
          <w:lang w:val="en-US" w:eastAsia="zh-CN"/>
        </w:rPr>
        <w:t>47.11万元</w:t>
      </w:r>
      <w:r>
        <w:rPr>
          <w:rFonts w:hint="eastAsia" w:ascii="宋体" w:hAnsi="宋体" w:eastAsia="方正仿宋_GBK" w:cs="方正仿宋_GBK"/>
          <w:color w:val="auto"/>
          <w:sz w:val="33"/>
          <w:szCs w:val="33"/>
          <w:highlight w:val="none"/>
        </w:rPr>
        <w:t>，</w:t>
      </w:r>
      <w:r>
        <w:rPr>
          <w:rStyle w:val="17"/>
          <w:rFonts w:hint="eastAsia" w:ascii="宋体" w:hAnsi="宋体" w:eastAsia="方正仿宋_GBK" w:cs="方正仿宋_GBK"/>
          <w:bCs/>
          <w:color w:val="auto"/>
          <w:sz w:val="33"/>
          <w:szCs w:val="33"/>
          <w:highlight w:val="none"/>
        </w:rPr>
        <w:t>完成预算</w:t>
      </w:r>
      <w:r>
        <w:rPr>
          <w:rStyle w:val="17"/>
          <w:rFonts w:hint="eastAsia" w:ascii="宋体" w:hAnsi="宋体" w:eastAsia="方正仿宋_GBK" w:cs="方正仿宋_GBK"/>
          <w:bCs/>
          <w:color w:val="auto"/>
          <w:sz w:val="33"/>
          <w:szCs w:val="33"/>
          <w:highlight w:val="none"/>
          <w:lang w:val="en-US" w:eastAsia="zh-CN"/>
        </w:rPr>
        <w:t>100</w:t>
      </w:r>
      <w:r>
        <w:rPr>
          <w:rStyle w:val="17"/>
          <w:rFonts w:hint="eastAsia" w:ascii="宋体" w:hAnsi="宋体" w:eastAsia="方正仿宋_GBK" w:cs="方正仿宋_GBK"/>
          <w:bCs/>
          <w:color w:val="auto"/>
          <w:sz w:val="33"/>
          <w:szCs w:val="33"/>
          <w:highlight w:val="none"/>
        </w:rPr>
        <w:t>%。其中：</w:t>
      </w:r>
      <w:bookmarkEnd w:id="45"/>
      <w:bookmarkEnd w:id="46"/>
      <w:bookmarkEnd w:id="47"/>
    </w:p>
    <w:p>
      <w:pPr>
        <w:pageBreakBefore w:val="0"/>
        <w:kinsoku/>
        <w:wordWrap/>
        <w:overflowPunct/>
        <w:topLinePunct w:val="0"/>
        <w:bidi w:val="0"/>
        <w:spacing w:line="590" w:lineRule="exact"/>
        <w:ind w:left="0" w:right="0" w:firstLine="663" w:firstLineChars="200"/>
        <w:textAlignment w:val="auto"/>
        <w:rPr>
          <w:rFonts w:hint="eastAsia" w:ascii="宋体" w:hAnsi="宋体" w:eastAsia="方正仿宋_GBK" w:cs="方正仿宋_GBK"/>
          <w:b/>
          <w:color w:val="auto"/>
          <w:sz w:val="33"/>
          <w:szCs w:val="33"/>
          <w:highlight w:val="none"/>
        </w:rPr>
      </w:pPr>
      <w:r>
        <w:rPr>
          <w:rStyle w:val="17"/>
          <w:rFonts w:hint="eastAsia" w:ascii="宋体" w:hAnsi="宋体" w:eastAsia="方正仿宋_GBK" w:cs="方正仿宋_GBK"/>
          <w:bCs/>
          <w:color w:val="auto"/>
          <w:sz w:val="33"/>
          <w:szCs w:val="33"/>
          <w:highlight w:val="none"/>
        </w:rPr>
        <w:t>1.一般公共服务（类）群众团体事务（款）行政运行（项）</w:t>
      </w:r>
      <w:r>
        <w:rPr>
          <w:rStyle w:val="17"/>
          <w:rFonts w:hint="eastAsia" w:ascii="宋体" w:hAnsi="宋体" w:eastAsia="方正仿宋_GBK" w:cs="方正仿宋_GBK"/>
          <w:bCs/>
          <w:color w:val="auto"/>
          <w:sz w:val="33"/>
          <w:szCs w:val="33"/>
          <w:highlight w:val="none"/>
          <w:lang w:eastAsia="zh-CN"/>
        </w:rPr>
        <w:t>：</w:t>
      </w:r>
      <w:r>
        <w:rPr>
          <w:rStyle w:val="17"/>
          <w:rFonts w:hint="eastAsia" w:ascii="宋体" w:hAnsi="宋体" w:eastAsia="方正仿宋_GBK" w:cs="方正仿宋_GBK"/>
          <w:b w:val="0"/>
          <w:bCs/>
          <w:color w:val="auto"/>
          <w:sz w:val="33"/>
          <w:szCs w:val="33"/>
          <w:highlight w:val="none"/>
        </w:rPr>
        <w:t>支出决算为</w:t>
      </w:r>
      <w:r>
        <w:rPr>
          <w:rStyle w:val="17"/>
          <w:rFonts w:hint="eastAsia" w:ascii="宋体" w:hAnsi="宋体" w:eastAsia="方正仿宋_GBK" w:cs="方正仿宋_GBK"/>
          <w:b w:val="0"/>
          <w:bCs/>
          <w:color w:val="auto"/>
          <w:sz w:val="33"/>
          <w:szCs w:val="33"/>
          <w:highlight w:val="none"/>
          <w:lang w:val="en-US" w:eastAsia="zh-CN"/>
        </w:rPr>
        <w:t>31.24</w:t>
      </w:r>
      <w:r>
        <w:rPr>
          <w:rStyle w:val="17"/>
          <w:rFonts w:hint="eastAsia" w:ascii="宋体" w:hAnsi="宋体" w:eastAsia="方正仿宋_GBK" w:cs="方正仿宋_GBK"/>
          <w:b w:val="0"/>
          <w:bCs/>
          <w:color w:val="auto"/>
          <w:sz w:val="33"/>
          <w:szCs w:val="33"/>
          <w:highlight w:val="none"/>
        </w:rPr>
        <w:t>万元，完成预算</w:t>
      </w:r>
      <w:r>
        <w:rPr>
          <w:rStyle w:val="17"/>
          <w:rFonts w:hint="eastAsia" w:ascii="宋体" w:hAnsi="宋体" w:eastAsia="方正仿宋_GBK" w:cs="方正仿宋_GBK"/>
          <w:b w:val="0"/>
          <w:bCs/>
          <w:color w:val="auto"/>
          <w:sz w:val="33"/>
          <w:szCs w:val="33"/>
          <w:highlight w:val="none"/>
          <w:lang w:val="en-US" w:eastAsia="zh-CN"/>
        </w:rPr>
        <w:t>100</w:t>
      </w:r>
      <w:r>
        <w:rPr>
          <w:rStyle w:val="17"/>
          <w:rFonts w:hint="eastAsia" w:ascii="宋体" w:hAnsi="宋体" w:eastAsia="方正仿宋_GBK" w:cs="方正仿宋_GBK"/>
          <w:b w:val="0"/>
          <w:bCs/>
          <w:color w:val="auto"/>
          <w:sz w:val="33"/>
          <w:szCs w:val="33"/>
          <w:highlight w:val="none"/>
        </w:rPr>
        <w:t>%，决算数等于预算数。</w:t>
      </w:r>
    </w:p>
    <w:p>
      <w:pPr>
        <w:spacing w:line="590" w:lineRule="exact"/>
        <w:ind w:firstLine="663" w:firstLineChars="200"/>
        <w:rPr>
          <w:rFonts w:ascii="宋体" w:hAnsi="宋体" w:eastAsia="方正仿宋简体" w:cs="方正仿宋简体"/>
          <w:b/>
          <w:color w:val="auto"/>
          <w:sz w:val="33"/>
          <w:szCs w:val="33"/>
        </w:rPr>
      </w:pPr>
      <w:r>
        <w:rPr>
          <w:rStyle w:val="17"/>
          <w:rFonts w:hint="eastAsia" w:ascii="宋体" w:hAnsi="宋体" w:eastAsia="方正仿宋简体" w:cs="方正仿宋简体"/>
          <w:color w:val="auto"/>
          <w:sz w:val="33"/>
          <w:szCs w:val="33"/>
          <w:lang w:val="en-US" w:eastAsia="zh-CN"/>
        </w:rPr>
        <w:t>2</w:t>
      </w:r>
      <w:r>
        <w:rPr>
          <w:rStyle w:val="17"/>
          <w:rFonts w:ascii="宋体" w:hAnsi="宋体" w:eastAsia="方正仿宋简体" w:cs="方正仿宋简体"/>
          <w:color w:val="auto"/>
          <w:sz w:val="33"/>
          <w:szCs w:val="33"/>
        </w:rPr>
        <w:t>.</w:t>
      </w:r>
      <w:r>
        <w:rPr>
          <w:rStyle w:val="17"/>
          <w:rFonts w:hint="eastAsia" w:ascii="宋体" w:hAnsi="宋体" w:eastAsia="方正仿宋_GBK" w:cs="方正仿宋_GBK"/>
          <w:bCs/>
          <w:color w:val="auto"/>
          <w:sz w:val="33"/>
          <w:szCs w:val="33"/>
          <w:highlight w:val="none"/>
        </w:rPr>
        <w:t>一般公共服务（类）群众团体事务（款）一般行政管理事务（项）</w:t>
      </w:r>
      <w:r>
        <w:rPr>
          <w:rStyle w:val="17"/>
          <w:rFonts w:hint="eastAsia" w:ascii="宋体" w:hAnsi="宋体" w:eastAsia="方正仿宋_GBK" w:cs="方正仿宋_GBK"/>
          <w:bCs/>
          <w:color w:val="auto"/>
          <w:sz w:val="33"/>
          <w:szCs w:val="33"/>
          <w:highlight w:val="none"/>
          <w:lang w:eastAsia="zh-CN"/>
        </w:rPr>
        <w:t>：</w:t>
      </w:r>
      <w:r>
        <w:rPr>
          <w:rStyle w:val="17"/>
          <w:rFonts w:hint="eastAsia" w:ascii="宋体" w:hAnsi="宋体" w:eastAsia="方正仿宋_GBK" w:cs="方正仿宋_GBK"/>
          <w:b w:val="0"/>
          <w:bCs/>
          <w:color w:val="auto"/>
          <w:sz w:val="33"/>
          <w:szCs w:val="33"/>
          <w:highlight w:val="none"/>
        </w:rPr>
        <w:t>支出决算为</w:t>
      </w:r>
      <w:r>
        <w:rPr>
          <w:rFonts w:hint="eastAsia" w:ascii="宋体" w:hAnsi="宋体" w:eastAsia="方正仿宋简体" w:cs="方正仿宋简体"/>
          <w:color w:val="auto"/>
          <w:sz w:val="33"/>
          <w:szCs w:val="33"/>
          <w:lang w:val="en-US" w:eastAsia="zh-CN"/>
        </w:rPr>
        <w:t>5.26</w:t>
      </w:r>
      <w:r>
        <w:rPr>
          <w:rFonts w:hint="eastAsia" w:ascii="宋体" w:hAnsi="宋体" w:eastAsia="方正仿宋简体" w:cs="方正仿宋简体"/>
          <w:color w:val="auto"/>
          <w:sz w:val="33"/>
          <w:szCs w:val="33"/>
        </w:rPr>
        <w:t>万元，</w:t>
      </w:r>
      <w:r>
        <w:rPr>
          <w:rStyle w:val="17"/>
          <w:rFonts w:hint="eastAsia" w:ascii="宋体" w:hAnsi="宋体" w:eastAsia="方正仿宋_GBK" w:cs="方正仿宋_GBK"/>
          <w:b w:val="0"/>
          <w:bCs/>
          <w:color w:val="auto"/>
          <w:sz w:val="33"/>
          <w:szCs w:val="33"/>
          <w:highlight w:val="none"/>
        </w:rPr>
        <w:t>完成预算</w:t>
      </w:r>
      <w:r>
        <w:rPr>
          <w:rStyle w:val="17"/>
          <w:rFonts w:hint="eastAsia" w:ascii="宋体" w:hAnsi="宋体" w:eastAsia="方正仿宋_GBK" w:cs="方正仿宋_GBK"/>
          <w:b w:val="0"/>
          <w:bCs/>
          <w:color w:val="auto"/>
          <w:sz w:val="33"/>
          <w:szCs w:val="33"/>
          <w:highlight w:val="none"/>
          <w:lang w:val="en-US" w:eastAsia="zh-CN"/>
        </w:rPr>
        <w:t>73.46</w:t>
      </w:r>
      <w:r>
        <w:rPr>
          <w:rStyle w:val="17"/>
          <w:rFonts w:hint="eastAsia" w:ascii="宋体" w:hAnsi="宋体" w:eastAsia="方正仿宋_GBK" w:cs="方正仿宋_GBK"/>
          <w:b w:val="0"/>
          <w:bCs/>
          <w:color w:val="auto"/>
          <w:sz w:val="33"/>
          <w:szCs w:val="33"/>
          <w:highlight w:val="none"/>
        </w:rPr>
        <w:t>%，</w:t>
      </w:r>
      <w:r>
        <w:rPr>
          <w:rFonts w:hint="eastAsia" w:ascii="宋体" w:hAnsi="宋体" w:eastAsia="方正仿宋简体" w:cs="方正仿宋简体"/>
          <w:color w:val="auto"/>
          <w:sz w:val="33"/>
          <w:szCs w:val="33"/>
        </w:rPr>
        <w:t>决算数</w:t>
      </w:r>
      <w:r>
        <w:rPr>
          <w:rFonts w:hint="eastAsia" w:ascii="宋体" w:hAnsi="宋体" w:eastAsia="方正仿宋简体" w:cs="方正仿宋简体"/>
          <w:color w:val="auto"/>
          <w:sz w:val="33"/>
          <w:szCs w:val="33"/>
          <w:lang w:val="en-US" w:eastAsia="zh-CN"/>
        </w:rPr>
        <w:t>小于</w:t>
      </w:r>
      <w:r>
        <w:rPr>
          <w:rFonts w:hint="eastAsia" w:ascii="宋体" w:hAnsi="宋体" w:eastAsia="方正仿宋简体" w:cs="方正仿宋简体"/>
          <w:color w:val="auto"/>
          <w:sz w:val="33"/>
          <w:szCs w:val="33"/>
        </w:rPr>
        <w:t>预算数</w:t>
      </w: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lang w:val="en-US" w:eastAsia="zh-CN"/>
        </w:rPr>
        <w:t>主要原因是年末财政拨款结转和结余</w:t>
      </w:r>
      <w:r>
        <w:rPr>
          <w:rFonts w:hint="eastAsia" w:ascii="宋体" w:hAnsi="宋体" w:eastAsia="方正仿宋简体" w:cs="方正仿宋简体"/>
          <w:color w:val="auto"/>
          <w:sz w:val="33"/>
          <w:szCs w:val="33"/>
        </w:rPr>
        <w:t>。</w:t>
      </w:r>
    </w:p>
    <w:p>
      <w:pPr>
        <w:spacing w:line="590" w:lineRule="exact"/>
        <w:ind w:firstLine="663" w:firstLineChars="200"/>
        <w:rPr>
          <w:rFonts w:ascii="宋体" w:hAnsi="宋体" w:eastAsia="方正仿宋简体" w:cs="方正仿宋简体"/>
          <w:b/>
          <w:color w:val="auto"/>
          <w:sz w:val="33"/>
          <w:szCs w:val="33"/>
        </w:rPr>
      </w:pPr>
      <w:r>
        <w:rPr>
          <w:rFonts w:hint="eastAsia" w:ascii="宋体" w:hAnsi="宋体" w:eastAsia="方正仿宋简体" w:cs="方正仿宋简体"/>
          <w:b/>
          <w:color w:val="auto"/>
          <w:sz w:val="33"/>
          <w:szCs w:val="33"/>
          <w:lang w:val="en-US" w:eastAsia="zh-CN"/>
        </w:rPr>
        <w:t>3</w:t>
      </w:r>
      <w:r>
        <w:rPr>
          <w:rFonts w:ascii="宋体" w:hAnsi="宋体" w:eastAsia="方正仿宋简体" w:cs="方正仿宋简体"/>
          <w:b/>
          <w:color w:val="auto"/>
          <w:sz w:val="33"/>
          <w:szCs w:val="33"/>
        </w:rPr>
        <w:t>.</w:t>
      </w:r>
      <w:r>
        <w:rPr>
          <w:rFonts w:hint="eastAsia" w:ascii="宋体" w:hAnsi="宋体" w:eastAsia="方正仿宋简体" w:cs="方正仿宋简体"/>
          <w:b/>
          <w:color w:val="auto"/>
          <w:sz w:val="33"/>
          <w:szCs w:val="33"/>
        </w:rPr>
        <w:t>社会保障和就业（类）行政事业单位离退休（款）机关事业单位基本养老保险缴费支出（项）：</w:t>
      </w:r>
      <w:r>
        <w:rPr>
          <w:rFonts w:hint="eastAsia" w:ascii="宋体" w:hAnsi="宋体" w:eastAsia="方正仿宋简体" w:cs="方正仿宋简体"/>
          <w:color w:val="auto"/>
          <w:sz w:val="33"/>
          <w:szCs w:val="33"/>
        </w:rPr>
        <w:t>支出决算为</w:t>
      </w:r>
      <w:r>
        <w:rPr>
          <w:rFonts w:hint="eastAsia" w:ascii="宋体" w:hAnsi="宋体" w:eastAsia="方正仿宋简体" w:cs="方正仿宋简体"/>
          <w:color w:val="auto"/>
          <w:sz w:val="33"/>
          <w:szCs w:val="33"/>
          <w:lang w:val="en-US" w:eastAsia="zh-CN"/>
        </w:rPr>
        <w:t>3.18</w:t>
      </w:r>
      <w:r>
        <w:rPr>
          <w:rFonts w:hint="eastAsia" w:ascii="宋体" w:hAnsi="宋体" w:eastAsia="方正仿宋简体" w:cs="方正仿宋简体"/>
          <w:color w:val="auto"/>
          <w:sz w:val="33"/>
          <w:szCs w:val="33"/>
        </w:rPr>
        <w:t>万元，完成预算</w:t>
      </w:r>
      <w:r>
        <w:rPr>
          <w:rFonts w:hint="eastAsia" w:ascii="宋体" w:hAnsi="宋体" w:eastAsia="方正仿宋简体" w:cs="方正仿宋简体"/>
          <w:color w:val="auto"/>
          <w:sz w:val="33"/>
          <w:szCs w:val="33"/>
          <w:lang w:val="en-US" w:eastAsia="zh-CN"/>
        </w:rPr>
        <w:t>100</w:t>
      </w:r>
      <w:r>
        <w:rPr>
          <w:rFonts w:ascii="宋体" w:hAnsi="宋体" w:eastAsia="方正仿宋简体" w:cs="方正仿宋简体"/>
          <w:color w:val="auto"/>
          <w:sz w:val="33"/>
          <w:szCs w:val="33"/>
        </w:rPr>
        <w:t>%</w:t>
      </w:r>
      <w:r>
        <w:rPr>
          <w:rFonts w:hint="eastAsia" w:ascii="宋体" w:hAnsi="宋体" w:eastAsia="方正仿宋简体" w:cs="方正仿宋简体"/>
          <w:color w:val="auto"/>
          <w:sz w:val="33"/>
          <w:szCs w:val="33"/>
        </w:rPr>
        <w:t>，决算数</w:t>
      </w:r>
      <w:r>
        <w:rPr>
          <w:rFonts w:hint="eastAsia" w:ascii="宋体" w:hAnsi="宋体" w:eastAsia="方正仿宋简体" w:cs="方正仿宋简体"/>
          <w:color w:val="auto"/>
          <w:sz w:val="33"/>
          <w:szCs w:val="33"/>
          <w:lang w:eastAsia="zh-CN"/>
        </w:rPr>
        <w:t>等于</w:t>
      </w:r>
      <w:r>
        <w:rPr>
          <w:rFonts w:hint="eastAsia" w:ascii="宋体" w:hAnsi="宋体" w:eastAsia="方正仿宋简体" w:cs="方正仿宋简体"/>
          <w:color w:val="auto"/>
          <w:sz w:val="33"/>
          <w:szCs w:val="33"/>
        </w:rPr>
        <w:t>预算数。</w:t>
      </w:r>
    </w:p>
    <w:p>
      <w:pPr>
        <w:spacing w:line="590" w:lineRule="exact"/>
        <w:ind w:firstLine="663" w:firstLineChars="200"/>
        <w:rPr>
          <w:rFonts w:ascii="宋体" w:hAnsi="宋体" w:eastAsia="方正仿宋简体" w:cs="方正仿宋简体"/>
          <w:b/>
          <w:color w:val="auto"/>
          <w:sz w:val="33"/>
          <w:szCs w:val="33"/>
        </w:rPr>
      </w:pPr>
      <w:r>
        <w:rPr>
          <w:rStyle w:val="17"/>
          <w:rFonts w:hint="eastAsia" w:ascii="宋体" w:hAnsi="宋体" w:eastAsia="方正仿宋简体" w:cs="方正仿宋简体"/>
          <w:color w:val="auto"/>
          <w:sz w:val="33"/>
          <w:szCs w:val="33"/>
          <w:lang w:val="en-US" w:eastAsia="zh-CN"/>
        </w:rPr>
        <w:t>4.</w:t>
      </w:r>
      <w:r>
        <w:rPr>
          <w:rFonts w:hint="eastAsia" w:ascii="宋体" w:hAnsi="宋体" w:eastAsia="方正仿宋简体" w:cs="方正仿宋简体"/>
          <w:b/>
          <w:color w:val="auto"/>
          <w:sz w:val="33"/>
          <w:szCs w:val="33"/>
        </w:rPr>
        <w:t>社会保障和就业（类）</w:t>
      </w:r>
      <w:r>
        <w:rPr>
          <w:rFonts w:hint="eastAsia" w:ascii="宋体" w:hAnsi="宋体" w:eastAsia="方正仿宋简体" w:cs="方正仿宋简体"/>
          <w:b/>
          <w:color w:val="auto"/>
          <w:sz w:val="33"/>
          <w:szCs w:val="33"/>
          <w:lang w:val="en-US" w:eastAsia="zh-CN"/>
        </w:rPr>
        <w:t>其他</w:t>
      </w:r>
      <w:r>
        <w:rPr>
          <w:rFonts w:hint="eastAsia" w:ascii="宋体" w:hAnsi="宋体" w:eastAsia="方正仿宋简体" w:cs="方正仿宋简体"/>
          <w:b/>
          <w:color w:val="auto"/>
          <w:sz w:val="33"/>
          <w:szCs w:val="33"/>
        </w:rPr>
        <w:t>社会保障和就业（款）</w:t>
      </w:r>
      <w:r>
        <w:rPr>
          <w:rFonts w:hint="eastAsia" w:ascii="宋体" w:hAnsi="宋体" w:eastAsia="方正仿宋简体" w:cs="方正仿宋简体"/>
          <w:b/>
          <w:color w:val="auto"/>
          <w:sz w:val="33"/>
          <w:szCs w:val="33"/>
          <w:lang w:val="en-US" w:eastAsia="zh-CN"/>
        </w:rPr>
        <w:t>其他</w:t>
      </w:r>
      <w:r>
        <w:rPr>
          <w:rFonts w:hint="eastAsia" w:ascii="宋体" w:hAnsi="宋体" w:eastAsia="方正仿宋简体" w:cs="方正仿宋简体"/>
          <w:b/>
          <w:color w:val="auto"/>
          <w:sz w:val="33"/>
          <w:szCs w:val="33"/>
        </w:rPr>
        <w:t>社会保障和就业（项）：</w:t>
      </w:r>
      <w:r>
        <w:rPr>
          <w:rFonts w:hint="eastAsia" w:ascii="宋体" w:hAnsi="宋体" w:eastAsia="方正仿宋简体" w:cs="方正仿宋简体"/>
          <w:color w:val="auto"/>
          <w:sz w:val="33"/>
          <w:szCs w:val="33"/>
        </w:rPr>
        <w:t>支出决算为</w:t>
      </w:r>
      <w:r>
        <w:rPr>
          <w:rFonts w:hint="eastAsia" w:ascii="宋体" w:hAnsi="宋体" w:eastAsia="方正仿宋简体" w:cs="方正仿宋简体"/>
          <w:color w:val="auto"/>
          <w:sz w:val="33"/>
          <w:szCs w:val="33"/>
          <w:lang w:val="en-US" w:eastAsia="zh-CN"/>
        </w:rPr>
        <w:t>0.03</w:t>
      </w:r>
      <w:r>
        <w:rPr>
          <w:rFonts w:hint="eastAsia" w:ascii="宋体" w:hAnsi="宋体" w:eastAsia="方正仿宋简体" w:cs="方正仿宋简体"/>
          <w:color w:val="auto"/>
          <w:sz w:val="33"/>
          <w:szCs w:val="33"/>
        </w:rPr>
        <w:t>万元，完成预算</w:t>
      </w:r>
      <w:r>
        <w:rPr>
          <w:rFonts w:hint="eastAsia" w:ascii="宋体" w:hAnsi="宋体" w:eastAsia="方正仿宋简体" w:cs="方正仿宋简体"/>
          <w:color w:val="auto"/>
          <w:sz w:val="33"/>
          <w:szCs w:val="33"/>
          <w:lang w:val="en-US" w:eastAsia="zh-CN"/>
        </w:rPr>
        <w:t>100</w:t>
      </w:r>
      <w:r>
        <w:rPr>
          <w:rFonts w:ascii="宋体" w:hAnsi="宋体" w:eastAsia="方正仿宋简体" w:cs="方正仿宋简体"/>
          <w:color w:val="auto"/>
          <w:sz w:val="33"/>
          <w:szCs w:val="33"/>
        </w:rPr>
        <w:t>%</w:t>
      </w:r>
      <w:r>
        <w:rPr>
          <w:rFonts w:hint="eastAsia" w:ascii="宋体" w:hAnsi="宋体" w:eastAsia="方正仿宋简体" w:cs="方正仿宋简体"/>
          <w:color w:val="auto"/>
          <w:sz w:val="33"/>
          <w:szCs w:val="33"/>
        </w:rPr>
        <w:t>，决算数</w:t>
      </w:r>
      <w:r>
        <w:rPr>
          <w:rFonts w:hint="eastAsia" w:ascii="宋体" w:hAnsi="宋体" w:eastAsia="方正仿宋简体" w:cs="方正仿宋简体"/>
          <w:color w:val="auto"/>
          <w:sz w:val="33"/>
          <w:szCs w:val="33"/>
          <w:lang w:eastAsia="zh-CN"/>
        </w:rPr>
        <w:t>等于</w:t>
      </w:r>
      <w:r>
        <w:rPr>
          <w:rFonts w:hint="eastAsia" w:ascii="宋体" w:hAnsi="宋体" w:eastAsia="方正仿宋简体" w:cs="方正仿宋简体"/>
          <w:color w:val="auto"/>
          <w:sz w:val="33"/>
          <w:szCs w:val="33"/>
        </w:rPr>
        <w:t>预算数。</w:t>
      </w:r>
    </w:p>
    <w:p>
      <w:pPr>
        <w:spacing w:line="590" w:lineRule="exact"/>
        <w:ind w:firstLine="663" w:firstLineChars="200"/>
        <w:rPr>
          <w:rFonts w:ascii="宋体" w:hAnsi="宋体" w:eastAsia="方正仿宋简体" w:cs="方正仿宋简体"/>
          <w:b/>
          <w:color w:val="auto"/>
          <w:sz w:val="33"/>
          <w:szCs w:val="33"/>
        </w:rPr>
      </w:pPr>
      <w:r>
        <w:rPr>
          <w:rStyle w:val="17"/>
          <w:rFonts w:hint="eastAsia" w:ascii="宋体" w:hAnsi="宋体" w:eastAsia="方正仿宋简体" w:cs="方正仿宋简体"/>
          <w:color w:val="auto"/>
          <w:sz w:val="33"/>
          <w:szCs w:val="33"/>
          <w:lang w:val="en-US" w:eastAsia="zh-CN"/>
        </w:rPr>
        <w:t>5</w:t>
      </w:r>
      <w:r>
        <w:rPr>
          <w:rStyle w:val="17"/>
          <w:rFonts w:ascii="宋体" w:hAnsi="宋体" w:eastAsia="方正仿宋简体" w:cs="方正仿宋简体"/>
          <w:color w:val="auto"/>
          <w:sz w:val="33"/>
          <w:szCs w:val="33"/>
        </w:rPr>
        <w:t>.</w:t>
      </w:r>
      <w:r>
        <w:rPr>
          <w:rStyle w:val="17"/>
          <w:rFonts w:hint="eastAsia" w:ascii="宋体" w:hAnsi="宋体" w:eastAsia="方正仿宋简体" w:cs="方正仿宋简体"/>
          <w:color w:val="auto"/>
          <w:sz w:val="33"/>
          <w:szCs w:val="33"/>
        </w:rPr>
        <w:t>医疗</w:t>
      </w:r>
      <w:r>
        <w:rPr>
          <w:rStyle w:val="17"/>
          <w:rFonts w:hint="eastAsia" w:ascii="宋体" w:hAnsi="宋体" w:eastAsia="方正仿宋简体" w:cs="方正仿宋简体"/>
          <w:color w:val="auto"/>
          <w:sz w:val="33"/>
          <w:szCs w:val="33"/>
          <w:lang w:val="en-US" w:eastAsia="zh-CN"/>
        </w:rPr>
        <w:t>健康</w:t>
      </w:r>
      <w:r>
        <w:rPr>
          <w:rStyle w:val="17"/>
          <w:rFonts w:hint="eastAsia" w:ascii="宋体" w:hAnsi="宋体" w:eastAsia="方正仿宋简体" w:cs="方正仿宋简体"/>
          <w:color w:val="auto"/>
          <w:sz w:val="33"/>
          <w:szCs w:val="33"/>
        </w:rPr>
        <w:t>（类）行政事业单位医疗（款）行政单位医疗（项）：</w:t>
      </w:r>
      <w:r>
        <w:rPr>
          <w:rStyle w:val="17"/>
          <w:rFonts w:hint="eastAsia" w:ascii="宋体" w:hAnsi="宋体" w:eastAsia="方正仿宋简体" w:cs="方正仿宋简体"/>
          <w:b w:val="0"/>
          <w:color w:val="auto"/>
          <w:sz w:val="33"/>
          <w:szCs w:val="33"/>
        </w:rPr>
        <w:t>支出决算为</w:t>
      </w:r>
      <w:r>
        <w:rPr>
          <w:rStyle w:val="17"/>
          <w:rFonts w:hint="eastAsia" w:ascii="宋体" w:hAnsi="宋体" w:eastAsia="方正仿宋简体" w:cs="方正仿宋简体"/>
          <w:b w:val="0"/>
          <w:color w:val="auto"/>
          <w:sz w:val="33"/>
          <w:szCs w:val="33"/>
          <w:lang w:val="en-US" w:eastAsia="zh-CN"/>
        </w:rPr>
        <w:t>1.67</w:t>
      </w:r>
      <w:r>
        <w:rPr>
          <w:rStyle w:val="17"/>
          <w:rFonts w:hint="eastAsia" w:ascii="宋体" w:hAnsi="宋体" w:eastAsia="方正仿宋简体" w:cs="方正仿宋简体"/>
          <w:b w:val="0"/>
          <w:color w:val="auto"/>
          <w:sz w:val="33"/>
          <w:szCs w:val="33"/>
        </w:rPr>
        <w:t>万元，完成预算</w:t>
      </w:r>
      <w:r>
        <w:rPr>
          <w:rStyle w:val="17"/>
          <w:rFonts w:hint="eastAsia" w:ascii="宋体" w:hAnsi="宋体" w:eastAsia="方正仿宋简体" w:cs="方正仿宋简体"/>
          <w:b w:val="0"/>
          <w:color w:val="auto"/>
          <w:sz w:val="33"/>
          <w:szCs w:val="33"/>
          <w:lang w:val="en-US" w:eastAsia="zh-CN"/>
        </w:rPr>
        <w:t>100</w:t>
      </w:r>
      <w:r>
        <w:rPr>
          <w:rStyle w:val="17"/>
          <w:rFonts w:ascii="宋体" w:hAnsi="宋体" w:eastAsia="方正仿宋简体" w:cs="方正仿宋简体"/>
          <w:b w:val="0"/>
          <w:color w:val="auto"/>
          <w:sz w:val="33"/>
          <w:szCs w:val="33"/>
        </w:rPr>
        <w:t>%</w:t>
      </w:r>
      <w:r>
        <w:rPr>
          <w:rStyle w:val="17"/>
          <w:rFonts w:hint="eastAsia" w:ascii="宋体" w:hAnsi="宋体" w:eastAsia="方正仿宋简体" w:cs="方正仿宋简体"/>
          <w:b w:val="0"/>
          <w:color w:val="auto"/>
          <w:sz w:val="33"/>
          <w:szCs w:val="33"/>
        </w:rPr>
        <w:t>，</w:t>
      </w:r>
      <w:r>
        <w:rPr>
          <w:rFonts w:hint="eastAsia" w:ascii="宋体" w:hAnsi="宋体" w:eastAsia="方正仿宋简体" w:cs="方正仿宋简体"/>
          <w:color w:val="auto"/>
          <w:sz w:val="33"/>
          <w:szCs w:val="33"/>
        </w:rPr>
        <w:t>决算数</w:t>
      </w:r>
      <w:r>
        <w:rPr>
          <w:rFonts w:hint="eastAsia" w:ascii="宋体" w:hAnsi="宋体" w:eastAsia="方正仿宋简体" w:cs="方正仿宋简体"/>
          <w:color w:val="auto"/>
          <w:sz w:val="33"/>
          <w:szCs w:val="33"/>
          <w:lang w:eastAsia="zh-CN"/>
        </w:rPr>
        <w:t>等于</w:t>
      </w:r>
      <w:r>
        <w:rPr>
          <w:rFonts w:hint="eastAsia" w:ascii="宋体" w:hAnsi="宋体" w:eastAsia="方正仿宋简体" w:cs="方正仿宋简体"/>
          <w:color w:val="auto"/>
          <w:sz w:val="33"/>
          <w:szCs w:val="33"/>
        </w:rPr>
        <w:t>预算数。</w:t>
      </w:r>
    </w:p>
    <w:p>
      <w:pPr>
        <w:spacing w:line="590" w:lineRule="exact"/>
        <w:ind w:firstLine="663" w:firstLineChars="200"/>
        <w:rPr>
          <w:rStyle w:val="17"/>
          <w:rFonts w:ascii="宋体" w:hAnsi="宋体" w:eastAsia="方正仿宋简体" w:cs="方正仿宋简体"/>
          <w:color w:val="auto"/>
          <w:sz w:val="33"/>
          <w:szCs w:val="33"/>
        </w:rPr>
      </w:pPr>
      <w:r>
        <w:rPr>
          <w:rStyle w:val="17"/>
          <w:rFonts w:hint="eastAsia" w:ascii="宋体" w:hAnsi="宋体" w:eastAsia="方正仿宋简体" w:cs="方正仿宋简体"/>
          <w:color w:val="auto"/>
          <w:sz w:val="33"/>
          <w:szCs w:val="33"/>
          <w:lang w:val="en-US" w:eastAsia="zh-CN"/>
        </w:rPr>
        <w:t>6</w:t>
      </w:r>
      <w:r>
        <w:rPr>
          <w:rStyle w:val="17"/>
          <w:rFonts w:ascii="宋体" w:hAnsi="宋体" w:eastAsia="方正仿宋简体" w:cs="方正仿宋简体"/>
          <w:color w:val="auto"/>
          <w:sz w:val="33"/>
          <w:szCs w:val="33"/>
        </w:rPr>
        <w:t>.</w:t>
      </w:r>
      <w:r>
        <w:rPr>
          <w:rStyle w:val="17"/>
          <w:rFonts w:hint="eastAsia" w:ascii="宋体" w:hAnsi="宋体" w:eastAsia="方正仿宋简体" w:cs="方正仿宋简体"/>
          <w:color w:val="auto"/>
          <w:sz w:val="33"/>
          <w:szCs w:val="33"/>
        </w:rPr>
        <w:t>医疗</w:t>
      </w:r>
      <w:r>
        <w:rPr>
          <w:rStyle w:val="17"/>
          <w:rFonts w:hint="eastAsia" w:ascii="宋体" w:hAnsi="宋体" w:eastAsia="方正仿宋简体" w:cs="方正仿宋简体"/>
          <w:color w:val="auto"/>
          <w:sz w:val="33"/>
          <w:szCs w:val="33"/>
          <w:lang w:val="en-US" w:eastAsia="zh-CN"/>
        </w:rPr>
        <w:t>健康</w:t>
      </w:r>
      <w:r>
        <w:rPr>
          <w:rStyle w:val="17"/>
          <w:rFonts w:hint="eastAsia" w:ascii="宋体" w:hAnsi="宋体" w:eastAsia="方正仿宋简体" w:cs="方正仿宋简体"/>
          <w:color w:val="auto"/>
          <w:sz w:val="33"/>
          <w:szCs w:val="33"/>
        </w:rPr>
        <w:t>（类）行政事业单位医疗（款）</w:t>
      </w:r>
      <w:r>
        <w:rPr>
          <w:rStyle w:val="17"/>
          <w:rFonts w:hint="eastAsia" w:ascii="宋体" w:hAnsi="宋体" w:eastAsia="方正仿宋简体" w:cs="方正仿宋简体"/>
          <w:color w:val="auto"/>
          <w:sz w:val="33"/>
          <w:szCs w:val="33"/>
          <w:lang w:val="en-US" w:eastAsia="zh-CN"/>
        </w:rPr>
        <w:t>公务员医疗补助</w:t>
      </w:r>
      <w:r>
        <w:rPr>
          <w:rStyle w:val="17"/>
          <w:rFonts w:hint="eastAsia" w:ascii="宋体" w:hAnsi="宋体" w:eastAsia="方正仿宋简体" w:cs="方正仿宋简体"/>
          <w:color w:val="auto"/>
          <w:sz w:val="33"/>
          <w:szCs w:val="33"/>
        </w:rPr>
        <w:t>（项）：</w:t>
      </w:r>
      <w:r>
        <w:rPr>
          <w:rStyle w:val="17"/>
          <w:rFonts w:hint="eastAsia" w:ascii="宋体" w:hAnsi="宋体" w:eastAsia="方正仿宋简体" w:cs="方正仿宋简体"/>
          <w:b w:val="0"/>
          <w:color w:val="auto"/>
          <w:sz w:val="33"/>
          <w:szCs w:val="33"/>
        </w:rPr>
        <w:t>支出决算为</w:t>
      </w:r>
      <w:r>
        <w:rPr>
          <w:rStyle w:val="17"/>
          <w:rFonts w:hint="eastAsia" w:ascii="宋体" w:hAnsi="宋体" w:eastAsia="方正仿宋简体" w:cs="方正仿宋简体"/>
          <w:b w:val="0"/>
          <w:color w:val="auto"/>
          <w:sz w:val="33"/>
          <w:szCs w:val="33"/>
          <w:lang w:val="en-US" w:eastAsia="zh-CN"/>
        </w:rPr>
        <w:t>0.36</w:t>
      </w:r>
      <w:r>
        <w:rPr>
          <w:rStyle w:val="17"/>
          <w:rFonts w:hint="eastAsia" w:ascii="宋体" w:hAnsi="宋体" w:eastAsia="方正仿宋简体" w:cs="方正仿宋简体"/>
          <w:b w:val="0"/>
          <w:color w:val="auto"/>
          <w:sz w:val="33"/>
          <w:szCs w:val="33"/>
        </w:rPr>
        <w:t>万元，完成预算</w:t>
      </w:r>
      <w:r>
        <w:rPr>
          <w:rStyle w:val="17"/>
          <w:rFonts w:hint="eastAsia" w:ascii="宋体" w:hAnsi="宋体" w:eastAsia="方正仿宋简体" w:cs="方正仿宋简体"/>
          <w:b w:val="0"/>
          <w:color w:val="auto"/>
          <w:sz w:val="33"/>
          <w:szCs w:val="33"/>
          <w:lang w:val="en-US" w:eastAsia="zh-CN"/>
        </w:rPr>
        <w:t>100</w:t>
      </w:r>
      <w:r>
        <w:rPr>
          <w:rStyle w:val="17"/>
          <w:rFonts w:ascii="宋体" w:hAnsi="宋体" w:eastAsia="方正仿宋简体" w:cs="方正仿宋简体"/>
          <w:b w:val="0"/>
          <w:color w:val="auto"/>
          <w:sz w:val="33"/>
          <w:szCs w:val="33"/>
        </w:rPr>
        <w:t>%</w:t>
      </w:r>
      <w:r>
        <w:rPr>
          <w:rStyle w:val="17"/>
          <w:rFonts w:hint="eastAsia" w:ascii="宋体" w:hAnsi="宋体" w:eastAsia="方正仿宋简体" w:cs="方正仿宋简体"/>
          <w:b w:val="0"/>
          <w:color w:val="auto"/>
          <w:sz w:val="33"/>
          <w:szCs w:val="33"/>
        </w:rPr>
        <w:t>，</w:t>
      </w:r>
      <w:r>
        <w:rPr>
          <w:rFonts w:hint="eastAsia" w:ascii="宋体" w:hAnsi="宋体" w:eastAsia="方正仿宋简体" w:cs="方正仿宋简体"/>
          <w:color w:val="auto"/>
          <w:sz w:val="33"/>
          <w:szCs w:val="33"/>
        </w:rPr>
        <w:t>决算数</w:t>
      </w:r>
      <w:r>
        <w:rPr>
          <w:rFonts w:hint="eastAsia" w:ascii="宋体" w:hAnsi="宋体" w:eastAsia="方正仿宋简体" w:cs="方正仿宋简体"/>
          <w:color w:val="auto"/>
          <w:sz w:val="33"/>
          <w:szCs w:val="33"/>
          <w:lang w:eastAsia="zh-CN"/>
        </w:rPr>
        <w:t>等于</w:t>
      </w:r>
      <w:r>
        <w:rPr>
          <w:rFonts w:hint="eastAsia" w:ascii="宋体" w:hAnsi="宋体" w:eastAsia="方正仿宋简体" w:cs="方正仿宋简体"/>
          <w:color w:val="auto"/>
          <w:sz w:val="33"/>
          <w:szCs w:val="33"/>
        </w:rPr>
        <w:t>预算数。</w:t>
      </w:r>
    </w:p>
    <w:p>
      <w:pPr>
        <w:pageBreakBefore w:val="0"/>
        <w:kinsoku/>
        <w:wordWrap/>
        <w:overflowPunct/>
        <w:topLinePunct w:val="0"/>
        <w:bidi w:val="0"/>
        <w:spacing w:line="590" w:lineRule="exact"/>
        <w:ind w:left="0" w:right="0" w:firstLine="663" w:firstLineChars="200"/>
        <w:textAlignment w:val="auto"/>
        <w:rPr>
          <w:rStyle w:val="17"/>
          <w:rFonts w:hint="eastAsia" w:ascii="宋体" w:hAnsi="宋体" w:eastAsia="方正仿宋_GBK" w:cs="方正仿宋_GBK"/>
          <w:bCs/>
          <w:color w:val="auto"/>
          <w:sz w:val="33"/>
          <w:szCs w:val="33"/>
          <w:highlight w:val="none"/>
        </w:rPr>
      </w:pPr>
      <w:r>
        <w:rPr>
          <w:rStyle w:val="17"/>
          <w:rFonts w:hint="eastAsia" w:ascii="宋体" w:hAnsi="宋体" w:eastAsia="方正仿宋简体" w:cs="方正仿宋简体"/>
          <w:color w:val="auto"/>
          <w:sz w:val="33"/>
          <w:szCs w:val="33"/>
          <w:lang w:val="en-US" w:eastAsia="zh-CN"/>
        </w:rPr>
        <w:t>7</w:t>
      </w:r>
      <w:r>
        <w:rPr>
          <w:rStyle w:val="17"/>
          <w:rFonts w:ascii="宋体" w:hAnsi="宋体" w:eastAsia="方正仿宋简体" w:cs="方正仿宋简体"/>
          <w:bCs/>
          <w:color w:val="auto"/>
          <w:sz w:val="33"/>
          <w:szCs w:val="33"/>
        </w:rPr>
        <w:t>.</w:t>
      </w:r>
      <w:r>
        <w:rPr>
          <w:rStyle w:val="17"/>
          <w:rFonts w:hint="eastAsia" w:ascii="宋体" w:hAnsi="宋体" w:eastAsia="方正仿宋简体" w:cs="方正仿宋简体"/>
          <w:bCs/>
          <w:color w:val="auto"/>
          <w:sz w:val="33"/>
          <w:szCs w:val="33"/>
        </w:rPr>
        <w:t>住房保障（类）住房改革（款）</w:t>
      </w:r>
      <w:r>
        <w:rPr>
          <w:rStyle w:val="17"/>
          <w:rFonts w:hint="eastAsia" w:ascii="宋体" w:hAnsi="宋体" w:eastAsia="方正仿宋简体" w:cs="方正仿宋简体"/>
          <w:color w:val="auto"/>
          <w:sz w:val="33"/>
          <w:szCs w:val="33"/>
        </w:rPr>
        <w:t>住房公积金（项）：</w:t>
      </w:r>
      <w:r>
        <w:rPr>
          <w:rStyle w:val="17"/>
          <w:rFonts w:hint="eastAsia" w:ascii="宋体" w:hAnsi="宋体" w:eastAsia="方正仿宋简体" w:cs="方正仿宋简体"/>
          <w:b w:val="0"/>
          <w:color w:val="auto"/>
          <w:sz w:val="33"/>
          <w:szCs w:val="33"/>
        </w:rPr>
        <w:t>支出决算为</w:t>
      </w:r>
      <w:r>
        <w:rPr>
          <w:rStyle w:val="17"/>
          <w:rFonts w:hint="eastAsia" w:ascii="宋体" w:hAnsi="宋体" w:eastAsia="方正仿宋简体" w:cs="方正仿宋简体"/>
          <w:b w:val="0"/>
          <w:color w:val="auto"/>
          <w:sz w:val="33"/>
          <w:szCs w:val="33"/>
          <w:lang w:val="en-US" w:eastAsia="zh-CN"/>
        </w:rPr>
        <w:t>3.09</w:t>
      </w:r>
      <w:r>
        <w:rPr>
          <w:rStyle w:val="17"/>
          <w:rFonts w:hint="eastAsia" w:ascii="宋体" w:hAnsi="宋体" w:eastAsia="方正仿宋简体" w:cs="方正仿宋简体"/>
          <w:b w:val="0"/>
          <w:color w:val="auto"/>
          <w:sz w:val="33"/>
          <w:szCs w:val="33"/>
        </w:rPr>
        <w:t>万元，完成预算</w:t>
      </w:r>
      <w:r>
        <w:rPr>
          <w:rStyle w:val="17"/>
          <w:rFonts w:hint="eastAsia" w:ascii="宋体" w:hAnsi="宋体" w:eastAsia="方正仿宋简体" w:cs="方正仿宋简体"/>
          <w:b w:val="0"/>
          <w:color w:val="auto"/>
          <w:sz w:val="33"/>
          <w:szCs w:val="33"/>
          <w:lang w:val="en-US" w:eastAsia="zh-CN"/>
        </w:rPr>
        <w:t>100</w:t>
      </w:r>
      <w:r>
        <w:rPr>
          <w:rStyle w:val="17"/>
          <w:rFonts w:ascii="宋体" w:hAnsi="宋体" w:eastAsia="方正仿宋简体" w:cs="方正仿宋简体"/>
          <w:b w:val="0"/>
          <w:color w:val="auto"/>
          <w:sz w:val="33"/>
          <w:szCs w:val="33"/>
        </w:rPr>
        <w:t>%</w:t>
      </w:r>
      <w:r>
        <w:rPr>
          <w:rStyle w:val="17"/>
          <w:rFonts w:hint="eastAsia" w:ascii="宋体" w:hAnsi="宋体" w:eastAsia="方正仿宋简体" w:cs="方正仿宋简体"/>
          <w:b w:val="0"/>
          <w:color w:val="auto"/>
          <w:sz w:val="33"/>
          <w:szCs w:val="33"/>
        </w:rPr>
        <w:t>，</w:t>
      </w:r>
      <w:r>
        <w:rPr>
          <w:rFonts w:hint="eastAsia" w:ascii="宋体" w:hAnsi="宋体" w:eastAsia="方正仿宋简体" w:cs="方正仿宋简体"/>
          <w:color w:val="auto"/>
          <w:sz w:val="33"/>
          <w:szCs w:val="33"/>
        </w:rPr>
        <w:t>决算数</w:t>
      </w:r>
      <w:r>
        <w:rPr>
          <w:rFonts w:hint="eastAsia" w:ascii="宋体" w:hAnsi="宋体" w:eastAsia="方正仿宋简体" w:cs="方正仿宋简体"/>
          <w:color w:val="auto"/>
          <w:sz w:val="33"/>
          <w:szCs w:val="33"/>
          <w:lang w:eastAsia="zh-CN"/>
        </w:rPr>
        <w:t>等于</w:t>
      </w:r>
      <w:r>
        <w:rPr>
          <w:rFonts w:hint="eastAsia" w:ascii="宋体" w:hAnsi="宋体" w:eastAsia="方正仿宋简体" w:cs="方正仿宋简体"/>
          <w:color w:val="auto"/>
          <w:sz w:val="33"/>
          <w:szCs w:val="33"/>
        </w:rPr>
        <w:t>预算数</w:t>
      </w:r>
      <w:r>
        <w:rPr>
          <w:rFonts w:hint="eastAsia" w:ascii="宋体" w:hAnsi="宋体" w:eastAsia="方正仿宋简体" w:cs="方正仿宋简体"/>
          <w:color w:val="auto"/>
          <w:sz w:val="33"/>
          <w:szCs w:val="33"/>
          <w:lang w:eastAsia="zh-CN"/>
        </w:rPr>
        <w:t>。</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48" w:name="_Toc15396608"/>
      <w:bookmarkStart w:id="49" w:name="_Toc17075"/>
      <w:bookmarkStart w:id="50" w:name="_Toc15377214"/>
      <w:r>
        <w:rPr>
          <w:rStyle w:val="28"/>
          <w:rFonts w:hint="eastAsia" w:ascii="宋体" w:hAnsi="宋体" w:eastAsia="方正黑体_GBK" w:cs="方正黑体_GBK"/>
          <w:b w:val="0"/>
          <w:bCs w:val="0"/>
          <w:color w:val="auto"/>
          <w:sz w:val="33"/>
          <w:szCs w:val="33"/>
          <w:highlight w:val="none"/>
          <w:lang w:val="en-US" w:eastAsia="zh-CN"/>
        </w:rPr>
        <w:t>六、一般公共预算财政拨款基本支出决算情况说明</w:t>
      </w:r>
      <w:bookmarkEnd w:id="48"/>
      <w:bookmarkEnd w:id="49"/>
      <w:bookmarkEnd w:id="50"/>
      <w:r>
        <w:rPr>
          <w:rStyle w:val="28"/>
          <w:rFonts w:hint="eastAsia" w:ascii="宋体" w:hAnsi="宋体" w:eastAsia="方正黑体_GBK" w:cs="方正黑体_GBK"/>
          <w:b w:val="0"/>
          <w:bCs w:val="0"/>
          <w:color w:val="auto"/>
          <w:sz w:val="33"/>
          <w:szCs w:val="33"/>
          <w:highlight w:val="none"/>
          <w:lang w:val="en-US" w:eastAsia="zh-CN"/>
        </w:rPr>
        <w:tab/>
      </w:r>
    </w:p>
    <w:p>
      <w:pPr>
        <w:pageBreakBefore w:val="0"/>
        <w:kinsoku/>
        <w:wordWrap/>
        <w:overflowPunct/>
        <w:topLinePunct w:val="0"/>
        <w:bidi w:val="0"/>
        <w:spacing w:line="590" w:lineRule="exact"/>
        <w:ind w:left="0" w:right="0" w:firstLine="645"/>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年一般公共预算财政拨款基本支出</w:t>
      </w:r>
      <w:r>
        <w:rPr>
          <w:rFonts w:hint="eastAsia" w:ascii="宋体" w:hAnsi="宋体" w:eastAsia="方正仿宋_GBK" w:cs="方正仿宋_GBK"/>
          <w:color w:val="auto"/>
          <w:sz w:val="33"/>
          <w:szCs w:val="33"/>
          <w:highlight w:val="none"/>
          <w:lang w:val="en-US" w:eastAsia="zh-CN"/>
        </w:rPr>
        <w:t>41.85</w:t>
      </w:r>
      <w:r>
        <w:rPr>
          <w:rFonts w:hint="eastAsia" w:ascii="宋体" w:hAnsi="宋体" w:eastAsia="方正仿宋_GBK" w:cs="方正仿宋_GBK"/>
          <w:color w:val="auto"/>
          <w:sz w:val="33"/>
          <w:szCs w:val="33"/>
          <w:highlight w:val="none"/>
        </w:rPr>
        <w:t>万元，其中：</w:t>
      </w:r>
    </w:p>
    <w:p>
      <w:pPr>
        <w:pageBreakBefore w:val="0"/>
        <w:kinsoku/>
        <w:wordWrap/>
        <w:overflowPunct/>
        <w:topLinePunct w:val="0"/>
        <w:bidi w:val="0"/>
        <w:spacing w:line="590" w:lineRule="exact"/>
        <w:ind w:left="0" w:right="0" w:firstLine="645"/>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人员经费</w:t>
      </w:r>
      <w:r>
        <w:rPr>
          <w:rFonts w:hint="eastAsia" w:ascii="宋体" w:hAnsi="宋体" w:eastAsia="方正仿宋_GBK" w:cs="方正仿宋_GBK"/>
          <w:color w:val="auto"/>
          <w:sz w:val="33"/>
          <w:szCs w:val="33"/>
          <w:highlight w:val="none"/>
          <w:lang w:val="en-US" w:eastAsia="zh-CN"/>
        </w:rPr>
        <w:t>38.1</w:t>
      </w:r>
      <w:r>
        <w:rPr>
          <w:rFonts w:hint="eastAsia" w:ascii="宋体" w:hAnsi="宋体" w:eastAsia="方正仿宋_GBK" w:cs="方正仿宋_GBK"/>
          <w:color w:val="auto"/>
          <w:sz w:val="33"/>
          <w:szCs w:val="33"/>
          <w:highlight w:val="none"/>
        </w:rPr>
        <w:t>万元，主要包括：基本工资、津贴补贴、奖金、机关事业单位基本养老保险缴费、</w:t>
      </w:r>
      <w:r>
        <w:rPr>
          <w:rFonts w:hint="eastAsia" w:ascii="宋体" w:hAnsi="宋体" w:eastAsia="方正仿宋_GBK" w:cs="方正仿宋_GBK"/>
          <w:color w:val="auto"/>
          <w:sz w:val="33"/>
          <w:szCs w:val="33"/>
          <w:highlight w:val="none"/>
          <w:lang w:val="en-US" w:eastAsia="zh-CN"/>
        </w:rPr>
        <w:t>职工基本医疗保险缴费、公务员医疗补助缴费、</w:t>
      </w:r>
      <w:r>
        <w:rPr>
          <w:rFonts w:hint="eastAsia" w:ascii="宋体" w:hAnsi="宋体" w:eastAsia="方正仿宋_GBK" w:cs="方正仿宋_GBK"/>
          <w:color w:val="auto"/>
          <w:sz w:val="33"/>
          <w:szCs w:val="33"/>
          <w:highlight w:val="none"/>
        </w:rPr>
        <w:t>其他社会保障缴费、住房公积金、</w:t>
      </w:r>
      <w:r>
        <w:rPr>
          <w:rFonts w:hint="eastAsia" w:ascii="宋体" w:hAnsi="宋体" w:eastAsia="方正仿宋_GBK" w:cs="方正仿宋_GBK"/>
          <w:color w:val="auto"/>
          <w:sz w:val="33"/>
          <w:szCs w:val="33"/>
          <w:highlight w:val="none"/>
          <w:lang w:val="en-US" w:eastAsia="zh-CN"/>
        </w:rPr>
        <w:t>退休人员</w:t>
      </w:r>
      <w:r>
        <w:rPr>
          <w:rFonts w:hint="eastAsia" w:ascii="宋体" w:hAnsi="宋体" w:eastAsia="方正仿宋_GBK" w:cs="方正仿宋_GBK"/>
          <w:color w:val="auto"/>
          <w:sz w:val="33"/>
          <w:szCs w:val="33"/>
          <w:highlight w:val="none"/>
        </w:rPr>
        <w:t>生活补助支出等。</w:t>
      </w:r>
      <w:r>
        <w:rPr>
          <w:rFonts w:hint="eastAsia" w:ascii="宋体" w:hAnsi="宋体" w:eastAsia="方正仿宋_GBK" w:cs="方正仿宋_GBK"/>
          <w:color w:val="auto"/>
          <w:sz w:val="33"/>
          <w:szCs w:val="33"/>
          <w:highlight w:val="none"/>
        </w:rPr>
        <w:br w:type="textWrapping"/>
      </w:r>
      <w:r>
        <w:rPr>
          <w:rFonts w:hint="eastAsia" w:ascii="宋体" w:hAnsi="宋体" w:eastAsia="方正仿宋_GBK" w:cs="方正仿宋_GBK"/>
          <w:color w:val="auto"/>
          <w:sz w:val="33"/>
          <w:szCs w:val="33"/>
          <w:highlight w:val="none"/>
        </w:rPr>
        <w:t>　　公用经费</w:t>
      </w:r>
      <w:r>
        <w:rPr>
          <w:rFonts w:hint="eastAsia" w:ascii="宋体" w:hAnsi="宋体" w:eastAsia="方正仿宋_GBK" w:cs="方正仿宋_GBK"/>
          <w:color w:val="auto"/>
          <w:sz w:val="33"/>
          <w:szCs w:val="33"/>
          <w:highlight w:val="none"/>
          <w:lang w:val="en-US" w:eastAsia="zh-CN"/>
        </w:rPr>
        <w:t>3.75</w:t>
      </w:r>
      <w:r>
        <w:rPr>
          <w:rFonts w:hint="eastAsia" w:ascii="宋体" w:hAnsi="宋体" w:eastAsia="方正仿宋_GBK" w:cs="方正仿宋_GBK"/>
          <w:color w:val="auto"/>
          <w:sz w:val="33"/>
          <w:szCs w:val="33"/>
          <w:highlight w:val="none"/>
        </w:rPr>
        <w:t>万元，主要包括：办公费、电费、工会经费、其他交通费、其他商品和服务支出等。</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51" w:name="_Toc15396609"/>
      <w:bookmarkStart w:id="52" w:name="_Toc15377215"/>
      <w:bookmarkStart w:id="53" w:name="_Toc26619"/>
      <w:r>
        <w:rPr>
          <w:rStyle w:val="28"/>
          <w:rFonts w:hint="eastAsia" w:ascii="宋体" w:hAnsi="宋体" w:eastAsia="方正黑体_GBK" w:cs="方正黑体_GBK"/>
          <w:b w:val="0"/>
          <w:bCs w:val="0"/>
          <w:color w:val="auto"/>
          <w:sz w:val="33"/>
          <w:szCs w:val="33"/>
          <w:highlight w:val="none"/>
          <w:lang w:val="en-US" w:eastAsia="zh-CN"/>
        </w:rPr>
        <w:t>七、财政拨款“三公”经费支出决算情况说明</w:t>
      </w:r>
      <w:bookmarkEnd w:id="51"/>
      <w:bookmarkEnd w:id="52"/>
      <w:bookmarkEnd w:id="53"/>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54" w:name="_Toc15377216"/>
      <w:r>
        <w:rPr>
          <w:rFonts w:hint="eastAsia" w:ascii="宋体" w:hAnsi="宋体" w:eastAsia="方正楷体_GBK" w:cs="方正楷体_GBK"/>
          <w:b/>
          <w:bCs w:val="0"/>
          <w:color w:val="auto"/>
          <w:sz w:val="33"/>
          <w:szCs w:val="33"/>
          <w:highlight w:val="none"/>
        </w:rPr>
        <w:t>（一）“三公”经费财政拨款支出决算总体情况说明</w:t>
      </w:r>
      <w:bookmarkEnd w:id="54"/>
    </w:p>
    <w:p>
      <w:pPr>
        <w:pageBreakBefore w:val="0"/>
        <w:kinsoku/>
        <w:wordWrap/>
        <w:overflowPunct/>
        <w:topLinePunct w:val="0"/>
        <w:bidi w:val="0"/>
        <w:spacing w:line="590" w:lineRule="exact"/>
        <w:ind w:left="0" w:right="0" w:firstLine="640"/>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lang w:val="en-US" w:eastAsia="zh-CN"/>
        </w:rPr>
        <w:t>本单位“三公”经费预算为0万元，</w:t>
      </w:r>
      <w:r>
        <w:rPr>
          <w:rFonts w:hint="eastAsia" w:ascii="宋体" w:hAnsi="宋体" w:eastAsia="方正仿宋_GBK" w:cs="方正仿宋_GBK"/>
          <w:color w:val="auto"/>
          <w:sz w:val="33"/>
          <w:szCs w:val="33"/>
          <w:highlight w:val="none"/>
        </w:rPr>
        <w:t>“三公”经费财政拨款支出决算为</w:t>
      </w:r>
      <w:r>
        <w:rPr>
          <w:rFonts w:hint="eastAsia" w:ascii="宋体" w:hAnsi="宋体" w:eastAsia="方正仿宋_GBK" w:cs="方正仿宋_GBK"/>
          <w:color w:val="auto"/>
          <w:sz w:val="33"/>
          <w:szCs w:val="33"/>
          <w:highlight w:val="none"/>
          <w:lang w:val="en-US" w:eastAsia="zh-CN"/>
        </w:rPr>
        <w:t>0</w:t>
      </w:r>
      <w:r>
        <w:rPr>
          <w:rFonts w:hint="eastAsia" w:ascii="宋体" w:hAnsi="宋体" w:eastAsia="方正仿宋_GBK" w:cs="方正仿宋_GBK"/>
          <w:color w:val="auto"/>
          <w:sz w:val="33"/>
          <w:szCs w:val="33"/>
          <w:highlight w:val="none"/>
        </w:rPr>
        <w:t>万元</w:t>
      </w:r>
      <w:r>
        <w:rPr>
          <w:rFonts w:hint="eastAsia" w:ascii="宋体" w:hAnsi="宋体" w:eastAsia="方正仿宋_GBK" w:cs="方正仿宋_GBK"/>
          <w:color w:val="auto"/>
          <w:sz w:val="33"/>
          <w:szCs w:val="33"/>
          <w:highlight w:val="none"/>
          <w:lang w:eastAsia="zh-CN"/>
        </w:rPr>
        <w:t>，较上年</w:t>
      </w:r>
      <w:r>
        <w:rPr>
          <w:rFonts w:hint="eastAsia" w:ascii="宋体" w:hAnsi="宋体" w:eastAsia="方正仿宋_GBK" w:cs="方正仿宋_GBK"/>
          <w:color w:val="auto"/>
          <w:sz w:val="33"/>
          <w:szCs w:val="33"/>
          <w:highlight w:val="none"/>
          <w:lang w:val="en-US" w:eastAsia="zh-CN"/>
        </w:rPr>
        <w:t>一致</w:t>
      </w:r>
      <w:r>
        <w:rPr>
          <w:rFonts w:hint="eastAsia" w:ascii="宋体" w:hAnsi="宋体" w:eastAsia="方正仿宋_GBK" w:cs="方正仿宋_GBK"/>
          <w:color w:val="auto"/>
          <w:sz w:val="33"/>
          <w:szCs w:val="33"/>
          <w:highlight w:val="none"/>
        </w:rPr>
        <w:t>。</w:t>
      </w:r>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55" w:name="_Toc15377217"/>
      <w:r>
        <w:rPr>
          <w:rFonts w:hint="eastAsia" w:ascii="宋体" w:hAnsi="宋体" w:eastAsia="方正楷体_GBK" w:cs="方正楷体_GBK"/>
          <w:b/>
          <w:bCs w:val="0"/>
          <w:color w:val="auto"/>
          <w:sz w:val="33"/>
          <w:szCs w:val="33"/>
          <w:highlight w:val="none"/>
        </w:rPr>
        <w:t>（二）“三公”经费财政拨款支出决算具体情况说明</w:t>
      </w:r>
      <w:bookmarkEnd w:id="55"/>
    </w:p>
    <w:p>
      <w:pPr>
        <w:pageBreakBefore w:val="0"/>
        <w:kinsoku/>
        <w:wordWrap/>
        <w:overflowPunct/>
        <w:topLinePunct w:val="0"/>
        <w:bidi w:val="0"/>
        <w:spacing w:line="590" w:lineRule="exact"/>
        <w:ind w:left="0" w:right="0" w:firstLine="640"/>
        <w:textAlignment w:val="auto"/>
        <w:rPr>
          <w:rFonts w:hint="eastAsia" w:ascii="宋体" w:hAnsi="宋体" w:eastAsia="方正仿宋_GBK" w:cs="方正仿宋_GBK"/>
          <w:color w:val="auto"/>
          <w:sz w:val="33"/>
          <w:szCs w:val="33"/>
          <w:highlight w:val="none"/>
          <w:lang w:eastAsia="zh-CN"/>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lang w:val="en-US" w:eastAsia="zh-CN"/>
        </w:rPr>
        <w:t>我单位无</w:t>
      </w:r>
      <w:r>
        <w:rPr>
          <w:rFonts w:hint="eastAsia" w:ascii="宋体" w:hAnsi="宋体" w:eastAsia="方正仿宋_GBK" w:cs="方正仿宋_GBK"/>
          <w:color w:val="auto"/>
          <w:sz w:val="33"/>
          <w:szCs w:val="33"/>
          <w:highlight w:val="none"/>
        </w:rPr>
        <w:t>因公出国（境）</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rPr>
        <w:t>公务用车购置及运行维护</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rPr>
        <w:t>公务接待</w:t>
      </w:r>
      <w:r>
        <w:rPr>
          <w:rFonts w:hint="eastAsia" w:ascii="宋体" w:hAnsi="宋体" w:eastAsia="方正仿宋_GBK" w:cs="方正仿宋_GBK"/>
          <w:color w:val="auto"/>
          <w:sz w:val="33"/>
          <w:szCs w:val="33"/>
          <w:highlight w:val="none"/>
          <w:lang w:val="en-US" w:eastAsia="zh-CN"/>
        </w:rPr>
        <w:t>情况，全年无</w:t>
      </w:r>
      <w:r>
        <w:rPr>
          <w:rFonts w:hint="eastAsia" w:ascii="宋体" w:hAnsi="宋体" w:eastAsia="方正仿宋_GBK" w:cs="方正仿宋_GBK"/>
          <w:color w:val="auto"/>
          <w:sz w:val="33"/>
          <w:szCs w:val="33"/>
          <w:highlight w:val="none"/>
        </w:rPr>
        <w:t>“三公”经费财政拨款支出</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lang w:val="en-US" w:eastAsia="zh-CN"/>
        </w:rPr>
        <w:t>与上年情况一致</w:t>
      </w:r>
      <w:r>
        <w:rPr>
          <w:rFonts w:hint="eastAsia" w:ascii="宋体" w:hAnsi="宋体" w:eastAsia="方正仿宋_GBK" w:cs="方正仿宋_GBK"/>
          <w:color w:val="auto"/>
          <w:sz w:val="33"/>
          <w:szCs w:val="33"/>
          <w:highlight w:val="none"/>
          <w:lang w:eastAsia="zh-CN"/>
        </w:rPr>
        <w:t>。</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56" w:name="_Toc15396610"/>
      <w:bookmarkStart w:id="57" w:name="_Toc15377218"/>
      <w:bookmarkStart w:id="58" w:name="_Toc30586"/>
      <w:r>
        <w:rPr>
          <w:rStyle w:val="28"/>
          <w:rFonts w:hint="eastAsia" w:ascii="宋体" w:hAnsi="宋体" w:eastAsia="方正黑体_GBK" w:cs="方正黑体_GBK"/>
          <w:b w:val="0"/>
          <w:bCs w:val="0"/>
          <w:color w:val="auto"/>
          <w:sz w:val="33"/>
          <w:szCs w:val="33"/>
          <w:highlight w:val="none"/>
          <w:lang w:val="en-US" w:eastAsia="zh-CN"/>
        </w:rPr>
        <w:t>八、政府性基金预算支出决算情况说明</w:t>
      </w:r>
      <w:bookmarkEnd w:id="56"/>
      <w:bookmarkEnd w:id="57"/>
      <w:bookmarkEnd w:id="58"/>
    </w:p>
    <w:p>
      <w:pPr>
        <w:pageBreakBefore w:val="0"/>
        <w:kinsoku/>
        <w:wordWrap/>
        <w:overflowPunct/>
        <w:topLinePunct w:val="0"/>
        <w:bidi w:val="0"/>
        <w:spacing w:line="590" w:lineRule="exact"/>
        <w:ind w:left="0" w:right="0" w:firstLine="640"/>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lang w:val="en-US" w:eastAsia="zh-CN"/>
        </w:rPr>
        <w:t>我单位无</w:t>
      </w:r>
      <w:r>
        <w:rPr>
          <w:rFonts w:hint="eastAsia" w:ascii="宋体" w:hAnsi="宋体" w:eastAsia="方正仿宋_GBK" w:cs="方正仿宋_GBK"/>
          <w:color w:val="auto"/>
          <w:sz w:val="33"/>
          <w:szCs w:val="33"/>
          <w:highlight w:val="none"/>
        </w:rPr>
        <w:t>政府性基金预算</w:t>
      </w:r>
      <w:r>
        <w:rPr>
          <w:rFonts w:hint="eastAsia" w:ascii="宋体" w:hAnsi="宋体" w:eastAsia="方正仿宋_GBK" w:cs="方正仿宋_GBK"/>
          <w:color w:val="auto"/>
          <w:sz w:val="33"/>
          <w:szCs w:val="33"/>
          <w:highlight w:val="none"/>
          <w:lang w:eastAsia="zh-CN"/>
        </w:rPr>
        <w:t>财政</w:t>
      </w:r>
      <w:r>
        <w:rPr>
          <w:rFonts w:hint="eastAsia" w:ascii="宋体" w:hAnsi="宋体" w:eastAsia="方正仿宋_GBK" w:cs="方正仿宋_GBK"/>
          <w:color w:val="auto"/>
          <w:sz w:val="33"/>
          <w:szCs w:val="33"/>
          <w:highlight w:val="none"/>
        </w:rPr>
        <w:t>拨款支出。</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59" w:name="_Toc15377219"/>
      <w:bookmarkStart w:id="60" w:name="_Toc15396611"/>
      <w:bookmarkStart w:id="61" w:name="_Toc12970"/>
      <w:r>
        <w:rPr>
          <w:rStyle w:val="28"/>
          <w:rFonts w:hint="eastAsia" w:ascii="宋体" w:hAnsi="宋体" w:eastAsia="方正黑体_GBK" w:cs="方正黑体_GBK"/>
          <w:b w:val="0"/>
          <w:bCs w:val="0"/>
          <w:color w:val="auto"/>
          <w:sz w:val="33"/>
          <w:szCs w:val="33"/>
          <w:highlight w:val="none"/>
          <w:lang w:val="en-US" w:eastAsia="zh-CN"/>
        </w:rPr>
        <w:t>九、国有资本经营预算支出决算情况说明</w:t>
      </w:r>
      <w:bookmarkEnd w:id="59"/>
      <w:bookmarkEnd w:id="60"/>
      <w:bookmarkEnd w:id="61"/>
    </w:p>
    <w:p>
      <w:pPr>
        <w:pageBreakBefore w:val="0"/>
        <w:kinsoku/>
        <w:wordWrap/>
        <w:overflowPunct/>
        <w:topLinePunct w:val="0"/>
        <w:bidi w:val="0"/>
        <w:spacing w:line="590" w:lineRule="exact"/>
        <w:ind w:left="0" w:right="0" w:firstLine="640"/>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lang w:val="en-US" w:eastAsia="zh-CN"/>
        </w:rPr>
        <w:t>我单位无</w:t>
      </w:r>
      <w:r>
        <w:rPr>
          <w:rFonts w:hint="eastAsia" w:ascii="宋体" w:hAnsi="宋体" w:eastAsia="方正仿宋_GBK" w:cs="方正仿宋_GBK"/>
          <w:color w:val="auto"/>
          <w:sz w:val="33"/>
          <w:szCs w:val="33"/>
          <w:highlight w:val="none"/>
        </w:rPr>
        <w:t>国有资本经营预算</w:t>
      </w:r>
      <w:r>
        <w:rPr>
          <w:rFonts w:hint="eastAsia" w:ascii="宋体" w:hAnsi="宋体" w:eastAsia="方正仿宋_GBK" w:cs="方正仿宋_GBK"/>
          <w:color w:val="auto"/>
          <w:sz w:val="33"/>
          <w:szCs w:val="33"/>
          <w:highlight w:val="none"/>
          <w:lang w:eastAsia="zh-CN"/>
        </w:rPr>
        <w:t>财政</w:t>
      </w:r>
      <w:r>
        <w:rPr>
          <w:rFonts w:hint="eastAsia" w:ascii="宋体" w:hAnsi="宋体" w:eastAsia="方正仿宋_GBK" w:cs="方正仿宋_GBK"/>
          <w:color w:val="auto"/>
          <w:sz w:val="33"/>
          <w:szCs w:val="33"/>
          <w:highlight w:val="none"/>
        </w:rPr>
        <w:t>拨款支出。</w:t>
      </w:r>
    </w:p>
    <w:p>
      <w:pPr>
        <w:pStyle w:val="4"/>
        <w:pageBreakBefore w:val="0"/>
        <w:numPr>
          <w:ilvl w:val="0"/>
          <w:numId w:val="0"/>
        </w:numPr>
        <w:kinsoku/>
        <w:wordWrap/>
        <w:overflowPunct/>
        <w:topLinePunct w:val="0"/>
        <w:bidi w:val="0"/>
        <w:spacing w:before="0" w:after="0" w:line="590" w:lineRule="exact"/>
        <w:ind w:left="0" w:right="0" w:firstLine="660" w:firstLineChars="200"/>
        <w:textAlignment w:val="auto"/>
        <w:rPr>
          <w:rStyle w:val="28"/>
          <w:rFonts w:hint="eastAsia" w:ascii="宋体" w:hAnsi="宋体" w:eastAsia="方正黑体_GBK" w:cs="方正黑体_GBK"/>
          <w:b w:val="0"/>
          <w:bCs w:val="0"/>
          <w:color w:val="auto"/>
          <w:sz w:val="33"/>
          <w:szCs w:val="33"/>
          <w:highlight w:val="none"/>
          <w:lang w:val="en-US" w:eastAsia="zh-CN"/>
        </w:rPr>
      </w:pPr>
      <w:bookmarkStart w:id="62" w:name="_Toc19714"/>
      <w:bookmarkStart w:id="63" w:name="_Toc15396612"/>
      <w:bookmarkStart w:id="64" w:name="_Toc15377221"/>
      <w:r>
        <w:rPr>
          <w:rStyle w:val="28"/>
          <w:rFonts w:hint="eastAsia" w:ascii="宋体" w:hAnsi="宋体" w:eastAsia="方正黑体_GBK" w:cs="方正黑体_GBK"/>
          <w:b w:val="0"/>
          <w:bCs w:val="0"/>
          <w:color w:val="auto"/>
          <w:sz w:val="33"/>
          <w:szCs w:val="33"/>
          <w:highlight w:val="none"/>
          <w:lang w:val="en-US" w:eastAsia="zh-CN"/>
        </w:rPr>
        <w:t>十、其他重要事项的情况说明</w:t>
      </w:r>
      <w:bookmarkEnd w:id="62"/>
      <w:bookmarkEnd w:id="63"/>
      <w:bookmarkEnd w:id="64"/>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65" w:name="_Toc15377222"/>
      <w:r>
        <w:rPr>
          <w:rFonts w:hint="eastAsia" w:ascii="宋体" w:hAnsi="宋体" w:eastAsia="方正楷体_GBK" w:cs="方正楷体_GBK"/>
          <w:b/>
          <w:bCs w:val="0"/>
          <w:color w:val="auto"/>
          <w:sz w:val="33"/>
          <w:szCs w:val="33"/>
          <w:highlight w:val="none"/>
        </w:rPr>
        <w:t>（一）机关运行经费支出情况</w:t>
      </w:r>
      <w:bookmarkEnd w:id="65"/>
    </w:p>
    <w:p>
      <w:pPr>
        <w:pageBreakBefore w:val="0"/>
        <w:kinsoku/>
        <w:wordWrap/>
        <w:overflowPunct/>
        <w:topLinePunct w:val="0"/>
        <w:bidi w:val="0"/>
        <w:spacing w:line="590" w:lineRule="exact"/>
        <w:ind w:left="0" w:right="0" w:firstLine="660" w:firstLineChars="200"/>
        <w:textAlignment w:val="auto"/>
        <w:rPr>
          <w:rFonts w:hint="default" w:ascii="宋体" w:hAnsi="宋体" w:eastAsia="方正仿宋_GBK" w:cs="方正仿宋_GBK"/>
          <w:color w:val="auto"/>
          <w:sz w:val="33"/>
          <w:szCs w:val="33"/>
          <w:highlight w:val="none"/>
          <w:lang w:val="en-US" w:eastAsia="zh-CN"/>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年，机关运行经费支出</w:t>
      </w:r>
      <w:r>
        <w:rPr>
          <w:rFonts w:hint="eastAsia" w:ascii="宋体" w:hAnsi="宋体" w:eastAsia="方正仿宋_GBK" w:cs="方正仿宋_GBK"/>
          <w:color w:val="auto"/>
          <w:sz w:val="33"/>
          <w:szCs w:val="33"/>
          <w:highlight w:val="none"/>
          <w:lang w:val="en-US" w:eastAsia="zh-CN"/>
        </w:rPr>
        <w:t>3.75</w:t>
      </w:r>
      <w:r>
        <w:rPr>
          <w:rFonts w:hint="eastAsia" w:ascii="宋体" w:hAnsi="宋体" w:eastAsia="方正仿宋_GBK" w:cs="方正仿宋_GBK"/>
          <w:color w:val="auto"/>
          <w:sz w:val="33"/>
          <w:szCs w:val="33"/>
          <w:highlight w:val="none"/>
        </w:rPr>
        <w:t>万元，比20</w:t>
      </w:r>
      <w:r>
        <w:rPr>
          <w:rFonts w:hint="eastAsia" w:ascii="宋体" w:hAnsi="宋体" w:eastAsia="方正仿宋_GBK" w:cs="方正仿宋_GBK"/>
          <w:color w:val="auto"/>
          <w:sz w:val="33"/>
          <w:szCs w:val="33"/>
          <w:highlight w:val="none"/>
          <w:lang w:val="en-US" w:eastAsia="zh-CN"/>
        </w:rPr>
        <w:t>21</w:t>
      </w:r>
      <w:r>
        <w:rPr>
          <w:rFonts w:hint="eastAsia" w:ascii="宋体" w:hAnsi="宋体" w:eastAsia="方正仿宋_GBK" w:cs="方正仿宋_GBK"/>
          <w:color w:val="auto"/>
          <w:sz w:val="33"/>
          <w:szCs w:val="33"/>
          <w:highlight w:val="none"/>
        </w:rPr>
        <w:t>年减少</w:t>
      </w:r>
      <w:r>
        <w:rPr>
          <w:rFonts w:hint="eastAsia" w:ascii="宋体" w:hAnsi="宋体" w:eastAsia="方正仿宋_GBK" w:cs="方正仿宋_GBK"/>
          <w:color w:val="auto"/>
          <w:sz w:val="33"/>
          <w:szCs w:val="33"/>
          <w:highlight w:val="none"/>
          <w:lang w:val="en-US" w:eastAsia="zh-CN"/>
        </w:rPr>
        <w:t>1.11</w:t>
      </w:r>
      <w:r>
        <w:rPr>
          <w:rFonts w:hint="eastAsia" w:ascii="宋体" w:hAnsi="宋体" w:eastAsia="方正仿宋_GBK" w:cs="方正仿宋_GBK"/>
          <w:color w:val="auto"/>
          <w:sz w:val="33"/>
          <w:szCs w:val="33"/>
          <w:highlight w:val="none"/>
        </w:rPr>
        <w:t>万元，下降</w:t>
      </w:r>
      <w:r>
        <w:rPr>
          <w:rFonts w:hint="eastAsia" w:ascii="宋体" w:hAnsi="宋体" w:eastAsia="方正仿宋_GBK" w:cs="方正仿宋_GBK"/>
          <w:color w:val="auto"/>
          <w:sz w:val="33"/>
          <w:szCs w:val="33"/>
          <w:highlight w:val="none"/>
          <w:lang w:val="en-US" w:eastAsia="zh-CN"/>
        </w:rPr>
        <w:t>22.84</w:t>
      </w:r>
      <w:r>
        <w:rPr>
          <w:rFonts w:hint="eastAsia" w:ascii="宋体" w:hAnsi="宋体" w:eastAsia="方正仿宋_GBK" w:cs="方正仿宋_GBK"/>
          <w:color w:val="auto"/>
          <w:sz w:val="33"/>
          <w:szCs w:val="33"/>
          <w:highlight w:val="none"/>
        </w:rPr>
        <w:t>%。主要原因是公用经费未按时拨付</w:t>
      </w:r>
      <w:r>
        <w:rPr>
          <w:rFonts w:hint="eastAsia" w:ascii="宋体" w:hAnsi="宋体" w:eastAsia="方正仿宋_GBK" w:cs="方正仿宋_GBK"/>
          <w:color w:val="auto"/>
          <w:sz w:val="33"/>
          <w:szCs w:val="33"/>
          <w:highlight w:val="none"/>
          <w:lang w:val="en-US" w:eastAsia="zh-CN"/>
        </w:rPr>
        <w:t>。</w:t>
      </w:r>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66" w:name="_Toc15377223"/>
      <w:r>
        <w:rPr>
          <w:rFonts w:hint="eastAsia" w:ascii="宋体" w:hAnsi="宋体" w:eastAsia="方正楷体_GBK" w:cs="方正楷体_GBK"/>
          <w:b/>
          <w:bCs w:val="0"/>
          <w:color w:val="auto"/>
          <w:sz w:val="33"/>
          <w:szCs w:val="33"/>
          <w:highlight w:val="none"/>
        </w:rPr>
        <w:t>（二）政府采购支出情况</w:t>
      </w:r>
      <w:bookmarkEnd w:id="66"/>
    </w:p>
    <w:p>
      <w:pPr>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b/>
          <w:color w:val="auto"/>
          <w:sz w:val="33"/>
          <w:szCs w:val="33"/>
          <w:highlight w:val="none"/>
          <w:lang w:eastAsia="zh-CN"/>
        </w:rPr>
      </w:pPr>
      <w:r>
        <w:rPr>
          <w:rFonts w:hint="eastAsia" w:ascii="宋体" w:hAnsi="宋体" w:eastAsia="方正仿宋_GBK" w:cs="方正仿宋_GBK"/>
          <w:color w:val="auto"/>
          <w:sz w:val="33"/>
          <w:szCs w:val="33"/>
          <w:highlight w:val="none"/>
        </w:rPr>
        <w:t>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w:t>
      </w:r>
      <w:r>
        <w:rPr>
          <w:rFonts w:hint="eastAsia" w:ascii="宋体" w:hAnsi="宋体" w:eastAsia="方正仿宋_GBK" w:cs="方正仿宋_GBK"/>
          <w:color w:val="auto"/>
          <w:sz w:val="33"/>
          <w:szCs w:val="33"/>
          <w:highlight w:val="none"/>
          <w:lang w:val="en-US" w:eastAsia="zh-CN"/>
        </w:rPr>
        <w:t>我单位无</w:t>
      </w:r>
      <w:r>
        <w:rPr>
          <w:rFonts w:hint="eastAsia" w:ascii="宋体" w:hAnsi="宋体" w:eastAsia="方正仿宋_GBK" w:cs="方正仿宋_GBK"/>
          <w:color w:val="auto"/>
          <w:sz w:val="33"/>
          <w:szCs w:val="33"/>
          <w:highlight w:val="none"/>
        </w:rPr>
        <w:t>政府采购支出</w:t>
      </w:r>
      <w:r>
        <w:rPr>
          <w:rFonts w:hint="eastAsia" w:ascii="宋体" w:hAnsi="宋体" w:eastAsia="方正仿宋_GBK" w:cs="方正仿宋_GBK"/>
          <w:color w:val="auto"/>
          <w:sz w:val="33"/>
          <w:szCs w:val="33"/>
          <w:highlight w:val="none"/>
          <w:lang w:eastAsia="zh-CN"/>
        </w:rPr>
        <w:t>。</w:t>
      </w:r>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rPr>
      </w:pPr>
      <w:bookmarkStart w:id="67" w:name="_Toc15377224"/>
      <w:r>
        <w:rPr>
          <w:rFonts w:hint="eastAsia" w:ascii="宋体" w:hAnsi="宋体" w:eastAsia="方正楷体_GBK" w:cs="方正楷体_GBK"/>
          <w:b/>
          <w:bCs w:val="0"/>
          <w:color w:val="auto"/>
          <w:sz w:val="33"/>
          <w:szCs w:val="33"/>
          <w:highlight w:val="none"/>
        </w:rPr>
        <w:t>（三）国有资产占有使用情况</w:t>
      </w:r>
      <w:bookmarkEnd w:id="67"/>
    </w:p>
    <w:p>
      <w:pPr>
        <w:pageBreakBefore w:val="0"/>
        <w:kinsoku/>
        <w:wordWrap/>
        <w:overflowPunct/>
        <w:topLinePunct w:val="0"/>
        <w:autoSpaceDE w:val="0"/>
        <w:autoSpaceDN w:val="0"/>
        <w:bidi w:val="0"/>
        <w:adjustRightInd w:val="0"/>
        <w:spacing w:line="590" w:lineRule="exact"/>
        <w:ind w:left="0" w:right="0" w:firstLine="660" w:firstLineChars="200"/>
        <w:jc w:val="left"/>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截至20</w:t>
      </w:r>
      <w:r>
        <w:rPr>
          <w:rFonts w:hint="eastAsia" w:ascii="宋体" w:hAnsi="宋体" w:eastAsia="方正仿宋_GBK" w:cs="方正仿宋_GBK"/>
          <w:color w:val="auto"/>
          <w:sz w:val="33"/>
          <w:szCs w:val="33"/>
          <w:highlight w:val="none"/>
          <w:lang w:val="en-US" w:eastAsia="zh-CN"/>
        </w:rPr>
        <w:t>22</w:t>
      </w:r>
      <w:r>
        <w:rPr>
          <w:rFonts w:hint="eastAsia" w:ascii="宋体" w:hAnsi="宋体" w:eastAsia="方正仿宋_GBK" w:cs="方正仿宋_GBK"/>
          <w:color w:val="auto"/>
          <w:sz w:val="33"/>
          <w:szCs w:val="33"/>
          <w:highlight w:val="none"/>
        </w:rPr>
        <w:t>年12月31日，</w:t>
      </w:r>
      <w:r>
        <w:rPr>
          <w:rFonts w:hint="eastAsia" w:ascii="宋体" w:hAnsi="宋体" w:eastAsia="方正仿宋_GBK" w:cs="方正仿宋_GBK"/>
          <w:color w:val="auto"/>
          <w:sz w:val="33"/>
          <w:szCs w:val="33"/>
          <w:highlight w:val="none"/>
          <w:lang w:val="en-US" w:eastAsia="zh-CN"/>
        </w:rPr>
        <w:t>我单位无公务车辆，无</w:t>
      </w:r>
      <w:r>
        <w:rPr>
          <w:rFonts w:hint="eastAsia" w:ascii="宋体" w:hAnsi="宋体" w:eastAsia="方正仿宋_GBK" w:cs="方正仿宋_GBK"/>
          <w:color w:val="auto"/>
          <w:sz w:val="33"/>
          <w:szCs w:val="33"/>
          <w:highlight w:val="none"/>
        </w:rPr>
        <w:t>单价100万元以上专用设备。</w:t>
      </w:r>
    </w:p>
    <w:p>
      <w:pPr>
        <w:pageBreakBefore w:val="0"/>
        <w:kinsoku/>
        <w:wordWrap/>
        <w:overflowPunct/>
        <w:topLinePunct w:val="0"/>
        <w:bidi w:val="0"/>
        <w:spacing w:line="590" w:lineRule="exact"/>
        <w:ind w:left="0" w:right="0" w:firstLine="663" w:firstLineChars="200"/>
        <w:textAlignment w:val="auto"/>
        <w:outlineLvl w:val="2"/>
        <w:rPr>
          <w:rFonts w:hint="eastAsia" w:ascii="宋体" w:hAnsi="宋体" w:eastAsia="方正楷体_GBK" w:cs="方正楷体_GBK"/>
          <w:b/>
          <w:bCs w:val="0"/>
          <w:color w:val="auto"/>
          <w:sz w:val="33"/>
          <w:szCs w:val="33"/>
          <w:highlight w:val="none"/>
          <w:lang w:eastAsia="zh-CN"/>
        </w:rPr>
      </w:pPr>
      <w:r>
        <w:rPr>
          <w:rFonts w:hint="eastAsia" w:ascii="宋体" w:hAnsi="宋体" w:eastAsia="方正楷体_GBK" w:cs="方正楷体_GBK"/>
          <w:b/>
          <w:bCs w:val="0"/>
          <w:color w:val="auto"/>
          <w:sz w:val="33"/>
          <w:szCs w:val="33"/>
          <w:highlight w:val="none"/>
        </w:rPr>
        <w:t>（四）预算绩效管理情况</w:t>
      </w:r>
    </w:p>
    <w:p>
      <w:pPr>
        <w:pStyle w:val="3"/>
        <w:pageBreakBefore w:val="0"/>
        <w:kinsoku/>
        <w:wordWrap/>
        <w:overflowPunct/>
        <w:topLinePunct w:val="0"/>
        <w:bidi w:val="0"/>
        <w:spacing w:before="0" w:after="0" w:line="590" w:lineRule="exact"/>
        <w:ind w:left="0" w:right="0" w:firstLine="660" w:firstLineChars="200"/>
        <w:jc w:val="both"/>
        <w:textAlignment w:val="auto"/>
        <w:rPr>
          <w:rFonts w:hint="eastAsia" w:ascii="宋体" w:hAnsi="宋体" w:eastAsia="方正仿宋_GBK" w:cs="方正仿宋_GBK"/>
          <w:b w:val="0"/>
          <w:bCs w:val="0"/>
          <w:color w:val="auto"/>
          <w:kern w:val="2"/>
          <w:sz w:val="33"/>
          <w:szCs w:val="33"/>
          <w:highlight w:val="none"/>
          <w:lang w:val="en-US" w:eastAsia="zh-CN" w:bidi="ar-SA"/>
        </w:rPr>
      </w:pPr>
      <w:r>
        <w:rPr>
          <w:rFonts w:hint="eastAsia" w:ascii="宋体" w:hAnsi="宋体" w:eastAsia="方正仿宋_GBK" w:cs="方正仿宋_GBK"/>
          <w:b w:val="0"/>
          <w:bCs w:val="0"/>
          <w:color w:val="auto"/>
          <w:kern w:val="2"/>
          <w:sz w:val="33"/>
          <w:szCs w:val="33"/>
          <w:highlight w:val="none"/>
          <w:lang w:val="en-US" w:eastAsia="zh-CN" w:bidi="ar-SA"/>
        </w:rPr>
        <w:t>根据预算绩效管理要求，本单位在2022年度预算编制阶段，组织对“侨联相关工作经费”“预算管理一体化系统会计核算培训及运维费”（我单位仅2个项目）开展了预算事前绩效评估，对项目编制了绩效目标，预算执行过程中，对项目开展绩效监控，组织对项目开展绩效自评，绩效自评表详见（第四部分  附件）。</w:t>
      </w:r>
      <w:bookmarkStart w:id="68" w:name="_Toc16243"/>
      <w:bookmarkStart w:id="69" w:name="_Toc15396613"/>
      <w:bookmarkStart w:id="70" w:name="_Toc15377225"/>
    </w:p>
    <w:p>
      <w:pPr>
        <w:rPr>
          <w:rFonts w:hint="eastAsia" w:ascii="宋体" w:hAnsi="宋体" w:eastAsia="方正黑体_GBK" w:cs="方正黑体_GBK"/>
          <w:b w:val="0"/>
          <w:bCs/>
          <w:color w:val="auto"/>
          <w:sz w:val="44"/>
          <w:szCs w:val="44"/>
          <w:highlight w:val="none"/>
          <w:lang w:val="en-US" w:eastAsia="zh-CN"/>
        </w:rPr>
      </w:pPr>
      <w:r>
        <w:rPr>
          <w:rFonts w:hint="eastAsia" w:ascii="宋体" w:hAnsi="宋体" w:eastAsia="方正黑体_GBK" w:cs="方正黑体_GBK"/>
          <w:b w:val="0"/>
          <w:bCs/>
          <w:color w:val="auto"/>
          <w:sz w:val="44"/>
          <w:szCs w:val="44"/>
          <w:highlight w:val="none"/>
          <w:lang w:val="en-US" w:eastAsia="zh-CN"/>
        </w:rPr>
        <w:br w:type="page"/>
      </w:r>
    </w:p>
    <w:p>
      <w:pPr>
        <w:pStyle w:val="3"/>
        <w:pageBreakBefore w:val="0"/>
        <w:kinsoku/>
        <w:wordWrap/>
        <w:overflowPunct/>
        <w:topLinePunct w:val="0"/>
        <w:bidi w:val="0"/>
        <w:spacing w:before="0" w:after="0" w:line="590" w:lineRule="exact"/>
        <w:ind w:left="0" w:right="0"/>
        <w:jc w:val="center"/>
        <w:textAlignment w:val="auto"/>
        <w:rPr>
          <w:rFonts w:hint="eastAsia" w:ascii="方正小标宋_GBK" w:hAnsi="方正小标宋_GBK" w:eastAsia="方正小标宋_GBK" w:cs="方正小标宋_GBK"/>
          <w:b w:val="0"/>
          <w:color w:val="auto"/>
          <w:sz w:val="44"/>
          <w:szCs w:val="44"/>
          <w:highlight w:val="none"/>
        </w:rPr>
      </w:pPr>
      <w:r>
        <w:rPr>
          <w:rFonts w:hint="eastAsia" w:ascii="方正小标宋_GBK" w:hAnsi="方正小标宋_GBK" w:eastAsia="方正小标宋_GBK" w:cs="方正小标宋_GBK"/>
          <w:b w:val="0"/>
          <w:color w:val="auto"/>
          <w:sz w:val="44"/>
          <w:szCs w:val="44"/>
          <w:highlight w:val="none"/>
          <w:lang w:val="en-US" w:eastAsia="zh-CN"/>
        </w:rPr>
        <w:t xml:space="preserve">第三部分  </w:t>
      </w:r>
      <w:r>
        <w:rPr>
          <w:rFonts w:hint="eastAsia" w:ascii="方正小标宋_GBK" w:hAnsi="方正小标宋_GBK" w:eastAsia="方正小标宋_GBK" w:cs="方正小标宋_GBK"/>
          <w:b w:val="0"/>
          <w:color w:val="auto"/>
          <w:sz w:val="44"/>
          <w:szCs w:val="44"/>
          <w:highlight w:val="none"/>
        </w:rPr>
        <w:t>名词解释</w:t>
      </w:r>
      <w:bookmarkEnd w:id="68"/>
      <w:bookmarkEnd w:id="69"/>
      <w:bookmarkEnd w:id="70"/>
    </w:p>
    <w:p>
      <w:pPr>
        <w:pageBreakBefore w:val="0"/>
        <w:kinsoku/>
        <w:wordWrap/>
        <w:overflowPunct/>
        <w:topLinePunct w:val="0"/>
        <w:bidi w:val="0"/>
        <w:spacing w:line="590" w:lineRule="exact"/>
        <w:ind w:left="0" w:right="0"/>
        <w:jc w:val="left"/>
        <w:textAlignment w:val="auto"/>
        <w:rPr>
          <w:rFonts w:ascii="宋体" w:hAnsi="宋体"/>
          <w:b/>
          <w:color w:val="auto"/>
          <w:sz w:val="33"/>
          <w:szCs w:val="33"/>
          <w:highlight w:val="none"/>
        </w:rPr>
      </w:pPr>
    </w:p>
    <w:p>
      <w:pPr>
        <w:pStyle w:val="25"/>
        <w:pageBreakBefore w:val="0"/>
        <w:numPr>
          <w:ilvl w:val="0"/>
          <w:numId w:val="1"/>
        </w:numPr>
        <w:kinsoku/>
        <w:wordWrap/>
        <w:overflowPunct/>
        <w:topLinePunct w:val="0"/>
        <w:bidi w:val="0"/>
        <w:snapToGrid/>
        <w:spacing w:line="590" w:lineRule="exact"/>
        <w:ind w:right="0" w:rightChars="0" w:firstLine="660" w:firstLineChars="200"/>
        <w:jc w:val="both"/>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color w:val="auto"/>
          <w:sz w:val="33"/>
          <w:szCs w:val="33"/>
          <w:highlight w:val="none"/>
        </w:rPr>
        <w:t>财政拨款收入</w:t>
      </w:r>
      <w:r>
        <w:rPr>
          <w:rFonts w:hint="eastAsia" w:ascii="宋体" w:hAnsi="宋体" w:eastAsia="方正仿宋_GBK" w:cs="方正仿宋_GBK"/>
          <w:color w:val="auto"/>
          <w:sz w:val="33"/>
          <w:szCs w:val="33"/>
          <w:highlight w:val="none"/>
          <w:lang w:eastAsia="zh-CN"/>
        </w:rPr>
        <w:t>：</w:t>
      </w:r>
      <w:r>
        <w:rPr>
          <w:rFonts w:hint="eastAsia" w:ascii="宋体" w:hAnsi="宋体" w:eastAsia="方正仿宋_GBK" w:cs="方正仿宋_GBK"/>
          <w:color w:val="auto"/>
          <w:sz w:val="33"/>
          <w:szCs w:val="33"/>
          <w:highlight w:val="none"/>
        </w:rPr>
        <w:t>指单位从同级财政部门取得的财政预算资金。</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color w:val="000000"/>
          <w:sz w:val="33"/>
          <w:szCs w:val="33"/>
          <w:lang w:val="en-US" w:eastAsia="zh-CN"/>
        </w:rPr>
        <w:t>2</w:t>
      </w:r>
      <w:r>
        <w:rPr>
          <w:rFonts w:hint="eastAsia" w:ascii="宋体" w:hAnsi="宋体" w:eastAsia="方正仿宋_GBK" w:cs="方正仿宋_GBK"/>
          <w:color w:val="000000"/>
          <w:sz w:val="33"/>
          <w:szCs w:val="33"/>
        </w:rPr>
        <w:t>.</w:t>
      </w:r>
      <w:r>
        <w:rPr>
          <w:rFonts w:hint="eastAsia" w:ascii="宋体" w:hAnsi="宋体" w:eastAsia="方正仿宋_GBK" w:cs="方正仿宋_GBK"/>
          <w:color w:val="000000"/>
          <w:sz w:val="33"/>
          <w:szCs w:val="33"/>
          <w:lang w:val="en-US" w:eastAsia="zh-CN"/>
        </w:rPr>
        <w:t xml:space="preserve"> </w:t>
      </w:r>
      <w:r>
        <w:rPr>
          <w:rFonts w:hint="eastAsia" w:ascii="宋体" w:hAnsi="宋体" w:eastAsia="方正仿宋_GBK" w:cs="方正仿宋_GBK"/>
          <w:color w:val="000000"/>
          <w:sz w:val="33"/>
          <w:szCs w:val="33"/>
        </w:rPr>
        <w:t xml:space="preserve">年初结转和结余：指以前年度尚未完成、结转到本年按有关规定继续使用的资金。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color w:val="000000"/>
          <w:sz w:val="33"/>
          <w:szCs w:val="33"/>
          <w:lang w:val="en-US" w:eastAsia="zh-CN"/>
        </w:rPr>
        <w:t xml:space="preserve">3. </w:t>
      </w:r>
      <w:r>
        <w:rPr>
          <w:rFonts w:hint="eastAsia" w:ascii="宋体" w:hAnsi="宋体" w:eastAsia="方正仿宋_GBK" w:cs="方正仿宋_GBK"/>
          <w:color w:val="000000"/>
          <w:sz w:val="33"/>
          <w:szCs w:val="33"/>
        </w:rPr>
        <w:t>年末结转和结余</w:t>
      </w:r>
      <w:r>
        <w:rPr>
          <w:rFonts w:hint="eastAsia" w:ascii="宋体" w:hAnsi="宋体" w:eastAsia="方正仿宋_GBK" w:cs="方正仿宋_GBK"/>
          <w:color w:val="000000"/>
          <w:sz w:val="33"/>
          <w:szCs w:val="33"/>
          <w:lang w:eastAsia="zh-CN"/>
        </w:rPr>
        <w:t>：</w:t>
      </w:r>
      <w:r>
        <w:rPr>
          <w:rFonts w:hint="eastAsia" w:ascii="宋体" w:hAnsi="宋体" w:eastAsia="方正仿宋_GBK" w:cs="方正仿宋_GBK"/>
          <w:color w:val="000000"/>
          <w:sz w:val="33"/>
          <w:szCs w:val="33"/>
        </w:rPr>
        <w:t>指单位按有关规定结转到下年或以后年度继续使用的资金。</w:t>
      </w:r>
      <w:r>
        <w:rPr>
          <w:rFonts w:hint="eastAsia" w:ascii="宋体" w:hAnsi="宋体" w:eastAsia="方正仿宋_GBK" w:cs="方正仿宋_GBK"/>
          <w:sz w:val="33"/>
          <w:szCs w:val="33"/>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color w:val="000000"/>
          <w:sz w:val="33"/>
          <w:szCs w:val="33"/>
          <w:lang w:val="en-US" w:eastAsia="zh-CN"/>
        </w:rPr>
        <w:t>4</w:t>
      </w:r>
      <w:r>
        <w:rPr>
          <w:rFonts w:hint="eastAsia" w:ascii="宋体" w:hAnsi="宋体" w:eastAsia="方正仿宋_GBK" w:cs="方正仿宋_GBK"/>
          <w:color w:val="000000"/>
          <w:sz w:val="33"/>
          <w:szCs w:val="33"/>
        </w:rPr>
        <w:t>.</w:t>
      </w:r>
      <w:r>
        <w:rPr>
          <w:rFonts w:hint="eastAsia" w:ascii="宋体" w:hAnsi="宋体" w:eastAsia="方正仿宋_GBK" w:cs="方正仿宋_GBK"/>
          <w:color w:val="000000"/>
          <w:sz w:val="33"/>
          <w:szCs w:val="33"/>
          <w:lang w:val="en-US" w:eastAsia="zh-CN"/>
        </w:rPr>
        <w:t xml:space="preserve"> </w:t>
      </w:r>
      <w:r>
        <w:rPr>
          <w:rFonts w:hint="eastAsia" w:ascii="宋体" w:hAnsi="宋体" w:eastAsia="方正仿宋_GBK" w:cs="方正仿宋_GBK"/>
          <w:color w:val="000000"/>
          <w:sz w:val="33"/>
          <w:szCs w:val="33"/>
        </w:rPr>
        <w:t>一般公共服务（类）群众团体事务（款）行政运行（项）：指行政单位（包括实行公务员管理的事业单位）的基本支出。</w:t>
      </w:r>
      <w:r>
        <w:rPr>
          <w:rFonts w:hint="eastAsia" w:ascii="宋体" w:hAnsi="宋体" w:eastAsia="方正仿宋_GBK" w:cs="方正仿宋_GBK"/>
          <w:sz w:val="33"/>
          <w:szCs w:val="33"/>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color w:val="000000"/>
          <w:sz w:val="33"/>
          <w:szCs w:val="33"/>
          <w:lang w:val="en-US" w:eastAsia="zh-CN"/>
        </w:rPr>
        <w:t>5</w:t>
      </w:r>
      <w:r>
        <w:rPr>
          <w:rFonts w:hint="eastAsia" w:ascii="宋体" w:hAnsi="宋体" w:eastAsia="方正仿宋_GBK" w:cs="方正仿宋_GBK"/>
          <w:color w:val="000000"/>
          <w:sz w:val="33"/>
          <w:szCs w:val="33"/>
        </w:rPr>
        <w:t>.</w:t>
      </w:r>
      <w:r>
        <w:rPr>
          <w:rFonts w:hint="eastAsia" w:ascii="宋体" w:hAnsi="宋体" w:eastAsia="方正仿宋_GBK" w:cs="方正仿宋_GBK"/>
          <w:color w:val="000000"/>
          <w:sz w:val="33"/>
          <w:szCs w:val="33"/>
          <w:lang w:val="en-US" w:eastAsia="zh-CN"/>
        </w:rPr>
        <w:t xml:space="preserve"> </w:t>
      </w:r>
      <w:r>
        <w:rPr>
          <w:rFonts w:hint="eastAsia" w:ascii="宋体" w:hAnsi="宋体" w:eastAsia="方正仿宋_GBK" w:cs="方正仿宋_GBK"/>
          <w:color w:val="000000"/>
          <w:sz w:val="33"/>
          <w:szCs w:val="33"/>
        </w:rPr>
        <w:t>一般公共服务（类）群众团体事务（款）一般行政事务管理（项）：指行政单位（包括实行公务员管理的事业单位）未单独设置项级科目的其他项目支出。</w:t>
      </w:r>
      <w:r>
        <w:rPr>
          <w:rFonts w:hint="eastAsia" w:ascii="宋体" w:hAnsi="宋体" w:eastAsia="方正仿宋_GBK" w:cs="方正仿宋_GBK"/>
          <w:sz w:val="33"/>
          <w:szCs w:val="33"/>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color w:val="000000"/>
          <w:sz w:val="33"/>
          <w:szCs w:val="33"/>
          <w:lang w:val="en-US" w:eastAsia="zh-CN"/>
        </w:rPr>
        <w:t>6</w:t>
      </w:r>
      <w:r>
        <w:rPr>
          <w:rFonts w:hint="eastAsia" w:ascii="宋体" w:hAnsi="宋体" w:eastAsia="方正仿宋_GBK" w:cs="方正仿宋_GBK"/>
          <w:color w:val="000000"/>
          <w:sz w:val="33"/>
          <w:szCs w:val="33"/>
        </w:rPr>
        <w:t>.</w:t>
      </w:r>
      <w:r>
        <w:rPr>
          <w:rFonts w:hint="eastAsia" w:ascii="宋体" w:hAnsi="宋体" w:eastAsia="方正仿宋_GBK" w:cs="方正仿宋_GBK"/>
          <w:color w:val="000000"/>
          <w:sz w:val="33"/>
          <w:szCs w:val="33"/>
          <w:lang w:val="en-US" w:eastAsia="zh-CN"/>
        </w:rPr>
        <w:t xml:space="preserve"> </w:t>
      </w:r>
      <w:r>
        <w:rPr>
          <w:rFonts w:hint="eastAsia" w:ascii="宋体" w:hAnsi="宋体" w:eastAsia="方正仿宋_GBK" w:cs="方正仿宋_GBK"/>
          <w:color w:val="000000"/>
          <w:sz w:val="33"/>
          <w:szCs w:val="33"/>
        </w:rPr>
        <w:t>社会保障和就业（类）行政事业单位离退休（款）机关事业单位基本养老保险缴费支出（项）：指机关事业单位实施养老保险制度由单位缴纳的基本养老保险费支出。</w:t>
      </w:r>
      <w:r>
        <w:rPr>
          <w:rFonts w:hint="eastAsia" w:ascii="宋体" w:hAnsi="宋体" w:eastAsia="方正仿宋_GBK" w:cs="方正仿宋_GBK"/>
          <w:sz w:val="33"/>
          <w:szCs w:val="33"/>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宋体" w:hAnsi="宋体" w:eastAsia="方正仿宋_GBK" w:cs="方正仿宋_GBK"/>
          <w:sz w:val="33"/>
          <w:szCs w:val="33"/>
        </w:rPr>
      </w:pPr>
      <w:r>
        <w:rPr>
          <w:rFonts w:hint="eastAsia" w:ascii="宋体" w:hAnsi="宋体" w:eastAsia="方正仿宋_GBK" w:cs="方正仿宋_GBK"/>
          <w:color w:val="000000"/>
          <w:sz w:val="33"/>
          <w:szCs w:val="33"/>
          <w:lang w:val="en-US" w:eastAsia="zh-CN"/>
        </w:rPr>
        <w:t>7</w:t>
      </w:r>
      <w:r>
        <w:rPr>
          <w:rFonts w:hint="eastAsia" w:ascii="宋体" w:hAnsi="宋体" w:eastAsia="方正仿宋_GBK" w:cs="方正仿宋_GBK"/>
          <w:color w:val="000000"/>
          <w:sz w:val="33"/>
          <w:szCs w:val="33"/>
        </w:rPr>
        <w:t>.</w:t>
      </w:r>
      <w:r>
        <w:rPr>
          <w:rFonts w:hint="eastAsia" w:ascii="宋体" w:hAnsi="宋体" w:eastAsia="方正仿宋_GBK" w:cs="方正仿宋_GBK"/>
          <w:color w:val="000000"/>
          <w:sz w:val="33"/>
          <w:szCs w:val="33"/>
          <w:lang w:val="en-US" w:eastAsia="zh-CN"/>
        </w:rPr>
        <w:t xml:space="preserve"> </w:t>
      </w:r>
      <w:r>
        <w:rPr>
          <w:rFonts w:hint="eastAsia" w:ascii="宋体" w:hAnsi="宋体" w:eastAsia="方正仿宋_GBK" w:cs="方正仿宋_GBK"/>
          <w:color w:val="000000"/>
          <w:sz w:val="33"/>
          <w:szCs w:val="33"/>
        </w:rPr>
        <w:t>医疗卫生与计划生育（类）行政事业单位医疗（款）行政单位医疗（项）：指财政部门集中安排的行政单位基本医疗保险缴费经费，未参加医疗保险的行政单位的公费医疗经费，按国家规定享受离休人员、红军老战士待遇人员的医疗经费。</w:t>
      </w:r>
      <w:r>
        <w:rPr>
          <w:rFonts w:hint="eastAsia" w:ascii="宋体" w:hAnsi="宋体" w:eastAsia="方正仿宋_GBK" w:cs="方正仿宋_GBK"/>
          <w:sz w:val="33"/>
          <w:szCs w:val="33"/>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color w:val="000000"/>
          <w:sz w:val="33"/>
          <w:szCs w:val="33"/>
          <w:lang w:val="en-US" w:eastAsia="zh-CN"/>
        </w:rPr>
        <w:t>8</w:t>
      </w:r>
      <w:r>
        <w:rPr>
          <w:rFonts w:hint="eastAsia" w:ascii="宋体" w:hAnsi="宋体" w:eastAsia="方正仿宋_GBK" w:cs="方正仿宋_GBK"/>
          <w:color w:val="000000"/>
          <w:sz w:val="33"/>
          <w:szCs w:val="33"/>
        </w:rPr>
        <w:t>.</w:t>
      </w:r>
      <w:r>
        <w:rPr>
          <w:rFonts w:hint="eastAsia" w:ascii="宋体" w:hAnsi="宋体" w:eastAsia="方正仿宋_GBK" w:cs="方正仿宋_GBK"/>
          <w:color w:val="000000"/>
          <w:sz w:val="33"/>
          <w:szCs w:val="33"/>
          <w:lang w:val="en-US" w:eastAsia="zh-CN"/>
        </w:rPr>
        <w:t xml:space="preserve"> </w:t>
      </w:r>
      <w:r>
        <w:rPr>
          <w:rFonts w:hint="eastAsia" w:ascii="宋体" w:hAnsi="宋体" w:eastAsia="方正仿宋_GBK" w:cs="方正仿宋_GBK"/>
          <w:color w:val="000000"/>
          <w:sz w:val="33"/>
          <w:szCs w:val="33"/>
        </w:rPr>
        <w:t>住房保障（类）住房改革（款）住房公积金（项）：指行政事业单位按人力资源和社会保障部、财政部规定的基本工资和津贴补贴以及规定比例为职工缴纳的住房公积金。</w:t>
      </w:r>
      <w:r>
        <w:rPr>
          <w:rFonts w:hint="eastAsia" w:ascii="宋体" w:hAnsi="宋体" w:eastAsia="方正仿宋_GBK" w:cs="方正仿宋_GBK"/>
          <w:sz w:val="33"/>
          <w:szCs w:val="33"/>
        </w:rPr>
        <w:t xml:space="preserve">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9</w:t>
      </w:r>
      <w:r>
        <w:rPr>
          <w:rFonts w:hint="eastAsia" w:ascii="宋体" w:hAnsi="宋体" w:eastAsia="方正仿宋_GBK" w:cs="方正仿宋_GBK"/>
          <w:sz w:val="33"/>
          <w:szCs w:val="33"/>
        </w:rPr>
        <w:t>.</w:t>
      </w:r>
      <w:r>
        <w:rPr>
          <w:rFonts w:hint="eastAsia" w:ascii="宋体" w:hAnsi="宋体" w:eastAsia="方正仿宋_GBK" w:cs="方正仿宋_GBK"/>
          <w:sz w:val="33"/>
          <w:szCs w:val="33"/>
          <w:lang w:val="en-US" w:eastAsia="zh-CN"/>
        </w:rPr>
        <w:t xml:space="preserve"> </w:t>
      </w:r>
      <w:r>
        <w:rPr>
          <w:rFonts w:hint="eastAsia" w:ascii="宋体" w:hAnsi="宋体" w:eastAsia="方正仿宋_GBK" w:cs="方正仿宋_GBK"/>
          <w:sz w:val="33"/>
          <w:szCs w:val="33"/>
        </w:rPr>
        <w:t>基本支出：</w:t>
      </w:r>
      <w:r>
        <w:rPr>
          <w:rFonts w:hint="eastAsia" w:ascii="宋体" w:hAnsi="宋体" w:eastAsia="方正仿宋_GBK" w:cs="方正仿宋_GBK"/>
          <w:color w:val="auto"/>
          <w:sz w:val="33"/>
          <w:szCs w:val="33"/>
          <w:highlight w:val="none"/>
        </w:rPr>
        <w:t>指为保障机构正常运转、完成日常工作任务而发生的人员支出和公用支出。</w:t>
      </w:r>
      <w:r>
        <w:rPr>
          <w:rFonts w:hint="eastAsia" w:ascii="宋体" w:hAnsi="宋体" w:eastAsia="方正仿宋_GBK" w:cs="方正仿宋_GBK"/>
          <w:sz w:val="33"/>
          <w:szCs w:val="33"/>
        </w:rPr>
        <w:t xml:space="preserve"> </w:t>
      </w:r>
    </w:p>
    <w:p>
      <w:pPr>
        <w:pStyle w:val="25"/>
        <w:pageBreakBefore w:val="0"/>
        <w:kinsoku/>
        <w:wordWrap/>
        <w:overflowPunct/>
        <w:topLinePunct w:val="0"/>
        <w:bidi w:val="0"/>
        <w:snapToGrid/>
        <w:spacing w:line="590" w:lineRule="exact"/>
        <w:ind w:left="0" w:right="0" w:firstLine="660" w:firstLineChars="200"/>
        <w:jc w:val="both"/>
        <w:textAlignment w:val="auto"/>
        <w:rPr>
          <w:rFonts w:hint="eastAsia" w:ascii="宋体" w:hAnsi="宋体" w:eastAsia="方正仿宋_GBK" w:cs="方正仿宋_GBK"/>
          <w:color w:val="auto"/>
          <w:sz w:val="33"/>
          <w:szCs w:val="33"/>
          <w:highlight w:val="none"/>
        </w:rPr>
      </w:pPr>
      <w:r>
        <w:rPr>
          <w:rFonts w:hint="eastAsia" w:ascii="宋体" w:hAnsi="宋体" w:eastAsia="方正仿宋_GBK" w:cs="方正仿宋_GBK"/>
          <w:sz w:val="33"/>
          <w:szCs w:val="33"/>
          <w:lang w:val="en-US" w:eastAsia="zh-CN"/>
        </w:rPr>
        <w:t>10</w:t>
      </w:r>
      <w:r>
        <w:rPr>
          <w:rFonts w:hint="eastAsia" w:ascii="宋体" w:hAnsi="宋体" w:eastAsia="方正仿宋_GBK" w:cs="方正仿宋_GBK"/>
          <w:sz w:val="33"/>
          <w:szCs w:val="33"/>
        </w:rPr>
        <w:t>.</w:t>
      </w:r>
      <w:r>
        <w:rPr>
          <w:rFonts w:hint="eastAsia" w:ascii="宋体" w:hAnsi="宋体" w:eastAsia="方正仿宋_GBK" w:cs="方正仿宋_GBK"/>
          <w:sz w:val="33"/>
          <w:szCs w:val="33"/>
          <w:lang w:val="en-US" w:eastAsia="zh-CN"/>
        </w:rPr>
        <w:t xml:space="preserve"> </w:t>
      </w:r>
      <w:r>
        <w:rPr>
          <w:rFonts w:hint="eastAsia" w:ascii="宋体" w:hAnsi="宋体" w:eastAsia="方正仿宋_GBK" w:cs="方正仿宋_GBK"/>
          <w:sz w:val="33"/>
          <w:szCs w:val="33"/>
        </w:rPr>
        <w:t>项目支出：</w:t>
      </w:r>
      <w:r>
        <w:rPr>
          <w:rFonts w:hint="eastAsia" w:ascii="宋体" w:hAnsi="宋体" w:eastAsia="方正仿宋_GBK" w:cs="方正仿宋_GBK"/>
          <w:color w:val="auto"/>
          <w:sz w:val="33"/>
          <w:szCs w:val="33"/>
          <w:highlight w:val="none"/>
        </w:rPr>
        <w:t xml:space="preserve">指在基本支出之外为完成特定行政任务和事业发展目标所发生的支出。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11</w:t>
      </w:r>
      <w:r>
        <w:rPr>
          <w:rFonts w:hint="eastAsia" w:ascii="宋体" w:hAnsi="宋体" w:eastAsia="方正仿宋_GBK" w:cs="方正仿宋_GBK"/>
          <w:sz w:val="33"/>
          <w:szCs w:val="33"/>
        </w:rPr>
        <w:t>.</w:t>
      </w:r>
      <w:r>
        <w:rPr>
          <w:rFonts w:hint="eastAsia" w:ascii="宋体" w:hAnsi="宋体" w:eastAsia="方正仿宋_GBK" w:cs="方正仿宋_GBK"/>
          <w:sz w:val="33"/>
          <w:szCs w:val="33"/>
          <w:lang w:val="en-US" w:eastAsia="zh-CN"/>
        </w:rPr>
        <w:t xml:space="preserve"> </w:t>
      </w:r>
      <w:r>
        <w:rPr>
          <w:rFonts w:hint="eastAsia" w:ascii="宋体" w:hAnsi="宋体" w:eastAsia="方正仿宋_GBK" w:cs="方正仿宋_GBK"/>
          <w:sz w:val="33"/>
          <w:szCs w:val="33"/>
        </w:rPr>
        <w:t>“三公”经费：</w:t>
      </w:r>
      <w:r>
        <w:rPr>
          <w:rFonts w:hint="eastAsia" w:ascii="宋体" w:hAnsi="宋体" w:eastAsia="方正仿宋_GBK" w:cs="方正仿宋_GBK"/>
          <w:color w:val="auto"/>
          <w:sz w:val="33"/>
          <w:szCs w:val="33"/>
          <w:highlight w:val="none"/>
        </w:rPr>
        <w:t>指</w:t>
      </w:r>
      <w:r>
        <w:rPr>
          <w:rFonts w:hint="eastAsia" w:ascii="宋体" w:hAnsi="宋体" w:eastAsia="方正仿宋_GBK" w:cs="方正仿宋_GBK"/>
          <w:color w:val="auto"/>
          <w:sz w:val="33"/>
          <w:szCs w:val="33"/>
          <w:highlight w:val="none"/>
          <w:lang w:eastAsia="zh-CN"/>
        </w:rPr>
        <w:t>单位</w:t>
      </w:r>
      <w:r>
        <w:rPr>
          <w:rFonts w:hint="eastAsia" w:ascii="宋体" w:hAnsi="宋体" w:eastAsia="方正仿宋_GBK" w:cs="方正仿宋_GBK"/>
          <w:color w:val="auto"/>
          <w:sz w:val="33"/>
          <w:szCs w:val="33"/>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pageBreakBefore w:val="0"/>
        <w:kinsoku/>
        <w:wordWrap/>
        <w:overflowPunct/>
        <w:topLinePunct w:val="0"/>
        <w:bidi w:val="0"/>
        <w:snapToGrid/>
        <w:spacing w:line="590" w:lineRule="exact"/>
        <w:ind w:left="0" w:right="0" w:firstLine="660" w:firstLineChars="200"/>
        <w:jc w:val="both"/>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12</w:t>
      </w:r>
      <w:r>
        <w:rPr>
          <w:rFonts w:hint="eastAsia" w:ascii="宋体" w:hAnsi="宋体" w:eastAsia="方正仿宋_GBK" w:cs="方正仿宋_GBK"/>
          <w:sz w:val="33"/>
          <w:szCs w:val="33"/>
        </w:rPr>
        <w:t>.</w:t>
      </w:r>
      <w:r>
        <w:rPr>
          <w:rFonts w:hint="eastAsia" w:ascii="宋体" w:hAnsi="宋体" w:eastAsia="方正仿宋_GBK" w:cs="方正仿宋_GBK"/>
          <w:sz w:val="33"/>
          <w:szCs w:val="33"/>
          <w:lang w:val="en-US" w:eastAsia="zh-CN"/>
        </w:rPr>
        <w:t xml:space="preserve"> </w:t>
      </w:r>
      <w:r>
        <w:rPr>
          <w:rFonts w:hint="eastAsia" w:ascii="宋体" w:hAnsi="宋体" w:eastAsia="方正仿宋_GBK" w:cs="方正仿宋_GBK"/>
          <w:sz w:val="33"/>
          <w:szCs w:val="33"/>
        </w:rPr>
        <w:t>机关运行经费：</w:t>
      </w:r>
      <w:r>
        <w:rPr>
          <w:rFonts w:hint="eastAsia" w:ascii="宋体" w:hAnsi="宋体" w:eastAsia="方正仿宋_GBK" w:cs="方正仿宋_GBK"/>
          <w:color w:val="auto"/>
          <w:sz w:val="33"/>
          <w:szCs w:val="33"/>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pageBreakBefore w:val="0"/>
        <w:kinsoku/>
        <w:wordWrap/>
        <w:overflowPunct/>
        <w:topLinePunct w:val="0"/>
        <w:bidi w:val="0"/>
        <w:snapToGrid/>
        <w:spacing w:before="0" w:after="0" w:line="590" w:lineRule="exact"/>
        <w:ind w:left="0" w:right="0"/>
        <w:jc w:val="center"/>
        <w:textAlignment w:val="auto"/>
        <w:rPr>
          <w:rFonts w:hint="eastAsia" w:ascii="方正小标宋_GBK" w:hAnsi="方正小标宋_GBK" w:eastAsia="方正小标宋_GBK" w:cs="方正小标宋_GBK"/>
          <w:b w:val="0"/>
          <w:color w:val="auto"/>
          <w:sz w:val="44"/>
          <w:szCs w:val="44"/>
          <w:highlight w:val="none"/>
          <w:lang w:val="en-US" w:eastAsia="zh-CN"/>
        </w:rPr>
      </w:pPr>
      <w:bookmarkStart w:id="71" w:name="_Toc15377226"/>
      <w:r>
        <w:rPr>
          <w:rFonts w:ascii="宋体" w:hAnsi="宋体"/>
          <w:b/>
          <w:color w:val="auto"/>
          <w:sz w:val="33"/>
          <w:szCs w:val="33"/>
          <w:highlight w:val="none"/>
        </w:rPr>
        <w:br w:type="page"/>
      </w:r>
      <w:bookmarkStart w:id="72" w:name="_Toc15396614"/>
      <w:bookmarkStart w:id="73" w:name="_Toc29731"/>
      <w:r>
        <w:rPr>
          <w:rFonts w:hint="eastAsia" w:ascii="方正小标宋_GBK" w:hAnsi="方正小标宋_GBK" w:eastAsia="方正小标宋_GBK" w:cs="方正小标宋_GBK"/>
          <w:b w:val="0"/>
          <w:color w:val="auto"/>
          <w:sz w:val="44"/>
          <w:szCs w:val="44"/>
          <w:highlight w:val="none"/>
          <w:lang w:val="en-US" w:eastAsia="zh-CN"/>
        </w:rPr>
        <w:t>第四部分  附件</w:t>
      </w:r>
      <w:bookmarkEnd w:id="72"/>
      <w:bookmarkEnd w:id="73"/>
    </w:p>
    <w:p>
      <w:pPr>
        <w:keepNext w:val="0"/>
        <w:keepLines w:val="0"/>
        <w:pageBreakBefore w:val="0"/>
        <w:kinsoku/>
        <w:wordWrap/>
        <w:overflowPunct/>
        <w:topLinePunct w:val="0"/>
        <w:autoSpaceDE/>
        <w:autoSpaceDN/>
        <w:bidi w:val="0"/>
        <w:spacing w:line="590" w:lineRule="exact"/>
        <w:ind w:left="0" w:right="0"/>
        <w:jc w:val="left"/>
        <w:textAlignment w:val="auto"/>
        <w:outlineLvl w:val="9"/>
        <w:rPr>
          <w:rFonts w:ascii="宋体" w:hAnsi="宋体" w:eastAsia="仿宋_GB2312" w:cs="仿宋_GB2312"/>
          <w:color w:val="auto"/>
          <w:sz w:val="33"/>
          <w:szCs w:val="33"/>
          <w:highlight w:val="none"/>
        </w:rPr>
      </w:pPr>
    </w:p>
    <w:p>
      <w:pPr>
        <w:pStyle w:val="25"/>
        <w:pageBreakBefore w:val="0"/>
        <w:kinsoku/>
        <w:wordWrap/>
        <w:overflowPunct/>
        <w:topLinePunct w:val="0"/>
        <w:bidi w:val="0"/>
        <w:spacing w:line="590" w:lineRule="exact"/>
        <w:ind w:right="0"/>
        <w:jc w:val="center"/>
        <w:textAlignment w:val="auto"/>
        <w:rPr>
          <w:rFonts w:hint="eastAsia" w:ascii="宋体" w:hAnsi="宋体" w:eastAsia="方正黑体_GBK" w:cs="方正黑体_GBK"/>
          <w:color w:val="auto"/>
          <w:sz w:val="33"/>
          <w:szCs w:val="33"/>
          <w:highlight w:val="none"/>
          <w:lang w:val="en-US" w:eastAsia="zh-CN"/>
        </w:rPr>
      </w:pPr>
      <w:bookmarkStart w:id="74" w:name="_Toc185"/>
      <w:bookmarkStart w:id="75" w:name="_Toc15396618"/>
      <w:r>
        <w:rPr>
          <w:rFonts w:hint="eastAsia" w:ascii="宋体" w:hAnsi="宋体" w:eastAsia="方正黑体_GBK" w:cs="方正黑体_GBK"/>
          <w:color w:val="auto"/>
          <w:sz w:val="33"/>
          <w:szCs w:val="33"/>
          <w:highlight w:val="none"/>
          <w:lang w:val="en-US" w:eastAsia="zh-CN"/>
        </w:rPr>
        <w:t>部门预算项目支出绩效自评表（2022年度）</w:t>
      </w:r>
      <w:bookmarkEnd w:id="74"/>
    </w:p>
    <w:p>
      <w:pPr>
        <w:pStyle w:val="25"/>
        <w:pageBreakBefore w:val="0"/>
        <w:kinsoku/>
        <w:wordWrap/>
        <w:overflowPunct/>
        <w:topLinePunct w:val="0"/>
        <w:bidi w:val="0"/>
        <w:spacing w:line="590" w:lineRule="exact"/>
        <w:ind w:right="0"/>
        <w:textAlignment w:val="auto"/>
        <w:rPr>
          <w:rFonts w:hint="eastAsia" w:ascii="宋体" w:hAnsi="宋体" w:eastAsia="方正仿宋_GBK" w:cs="方正仿宋_GBK"/>
          <w:color w:val="auto"/>
          <w:sz w:val="33"/>
          <w:szCs w:val="33"/>
          <w:highlight w:val="none"/>
          <w:lang w:val="en-US" w:eastAsia="zh-CN"/>
        </w:rPr>
      </w:pPr>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r>
        <w:rPr>
          <w:rFonts w:hint="eastAsia" w:ascii="宋体" w:hAnsi="宋体" w:eastAsia="方正仿宋_GBK" w:cs="方正仿宋_GBK"/>
          <w:color w:val="auto"/>
          <w:sz w:val="33"/>
          <w:szCs w:val="33"/>
          <w:highlight w:val="none"/>
          <w:lang w:val="en-US" w:eastAsia="zh-CN"/>
        </w:rPr>
        <w:t>详见附表1</w:t>
      </w:r>
    </w:p>
    <w:p>
      <w:pPr>
        <w:rPr>
          <w:rFonts w:hint="eastAsia" w:ascii="宋体" w:hAnsi="宋体" w:eastAsia="方正仿宋_GBK" w:cs="方正仿宋_GBK"/>
          <w:color w:val="auto"/>
          <w:sz w:val="33"/>
          <w:szCs w:val="33"/>
          <w:highlight w:val="none"/>
          <w:lang w:val="en-US" w:eastAsia="zh-CN"/>
        </w:rPr>
      </w:pPr>
      <w:r>
        <w:rPr>
          <w:rFonts w:hint="eastAsia" w:ascii="宋体" w:hAnsi="宋体" w:eastAsia="方正仿宋_GBK" w:cs="方正仿宋_GBK"/>
          <w:color w:val="auto"/>
          <w:sz w:val="33"/>
          <w:szCs w:val="33"/>
          <w:highlight w:val="none"/>
          <w:lang w:val="en-US" w:eastAsia="zh-CN"/>
        </w:rPr>
        <w:br w:type="page"/>
      </w:r>
    </w:p>
    <w:p>
      <w:pPr>
        <w:pStyle w:val="3"/>
        <w:pageBreakBefore w:val="0"/>
        <w:kinsoku/>
        <w:wordWrap/>
        <w:overflowPunct/>
        <w:topLinePunct w:val="0"/>
        <w:bidi w:val="0"/>
        <w:spacing w:before="0" w:after="0" w:line="590" w:lineRule="exact"/>
        <w:ind w:left="0" w:right="0"/>
        <w:jc w:val="center"/>
        <w:textAlignment w:val="auto"/>
        <w:rPr>
          <w:rFonts w:hint="eastAsia" w:ascii="方正小标宋_GBK" w:hAnsi="方正小标宋_GBK" w:eastAsia="方正小标宋_GBK" w:cs="方正小标宋_GBK"/>
          <w:b w:val="0"/>
          <w:color w:val="auto"/>
          <w:sz w:val="44"/>
          <w:szCs w:val="44"/>
          <w:highlight w:val="none"/>
          <w:lang w:val="en-US" w:eastAsia="zh-CN"/>
        </w:rPr>
      </w:pPr>
      <w:bookmarkStart w:id="76" w:name="_Toc27738"/>
      <w:r>
        <w:rPr>
          <w:rFonts w:hint="eastAsia" w:ascii="方正小标宋_GBK" w:hAnsi="方正小标宋_GBK" w:eastAsia="方正小标宋_GBK" w:cs="方正小标宋_GBK"/>
          <w:b w:val="0"/>
          <w:color w:val="auto"/>
          <w:sz w:val="44"/>
          <w:szCs w:val="44"/>
          <w:highlight w:val="none"/>
          <w:lang w:val="en-US" w:eastAsia="zh-CN"/>
        </w:rPr>
        <w:t>第五部分  附表</w:t>
      </w:r>
      <w:bookmarkEnd w:id="71"/>
      <w:bookmarkEnd w:id="75"/>
      <w:bookmarkEnd w:id="76"/>
      <w:bookmarkStart w:id="77" w:name="_Toc15396619"/>
    </w:p>
    <w:p>
      <w:pPr>
        <w:pStyle w:val="25"/>
        <w:pageBreakBefore w:val="0"/>
        <w:kinsoku/>
        <w:wordWrap/>
        <w:overflowPunct/>
        <w:topLinePunct w:val="0"/>
        <w:bidi w:val="0"/>
        <w:spacing w:line="590" w:lineRule="exact"/>
        <w:ind w:right="0"/>
        <w:jc w:val="center"/>
        <w:textAlignment w:val="auto"/>
        <w:rPr>
          <w:rFonts w:hint="default" w:ascii="宋体" w:hAnsi="宋体" w:eastAsia="方正仿宋_GBK" w:cs="方正仿宋_GBK"/>
          <w:color w:val="auto"/>
          <w:sz w:val="33"/>
          <w:szCs w:val="33"/>
          <w:highlight w:val="none"/>
          <w:lang w:val="en-US" w:eastAsia="zh-CN"/>
        </w:rPr>
      </w:pPr>
      <w:bookmarkStart w:id="78" w:name="_Toc20282"/>
      <w:r>
        <w:rPr>
          <w:rFonts w:hint="eastAsia" w:ascii="宋体" w:hAnsi="宋体" w:eastAsia="方正仿宋_GBK" w:cs="方正仿宋_GBK"/>
          <w:color w:val="auto"/>
          <w:sz w:val="33"/>
          <w:szCs w:val="33"/>
          <w:highlight w:val="none"/>
          <w:lang w:val="en-US" w:eastAsia="zh-CN"/>
        </w:rPr>
        <w:t>（详见附表2）</w:t>
      </w:r>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r>
        <w:rPr>
          <w:rFonts w:hint="eastAsia" w:ascii="宋体" w:hAnsi="宋体" w:eastAsia="方正仿宋_GBK" w:cs="方正仿宋_GBK"/>
          <w:color w:val="auto"/>
          <w:sz w:val="33"/>
          <w:szCs w:val="33"/>
          <w:highlight w:val="none"/>
          <w:lang w:val="en-US" w:eastAsia="zh-CN"/>
        </w:rPr>
        <w:t>一、收入支出决算总表</w:t>
      </w:r>
      <w:bookmarkEnd w:id="77"/>
      <w:bookmarkEnd w:id="78"/>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79" w:name="_Toc15396620"/>
      <w:bookmarkStart w:id="80" w:name="_Toc15186"/>
      <w:r>
        <w:rPr>
          <w:rFonts w:hint="eastAsia" w:ascii="宋体" w:hAnsi="宋体" w:eastAsia="方正仿宋_GBK" w:cs="方正仿宋_GBK"/>
          <w:color w:val="auto"/>
          <w:sz w:val="33"/>
          <w:szCs w:val="33"/>
          <w:highlight w:val="none"/>
          <w:lang w:val="en-US" w:eastAsia="zh-CN"/>
        </w:rPr>
        <w:t>二、收入决算表</w:t>
      </w:r>
      <w:bookmarkEnd w:id="79"/>
      <w:bookmarkEnd w:id="80"/>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81" w:name="_Toc15396621"/>
      <w:bookmarkStart w:id="82" w:name="_Toc18387"/>
      <w:r>
        <w:rPr>
          <w:rFonts w:hint="eastAsia" w:ascii="宋体" w:hAnsi="宋体" w:eastAsia="方正仿宋_GBK" w:cs="方正仿宋_GBK"/>
          <w:color w:val="auto"/>
          <w:sz w:val="33"/>
          <w:szCs w:val="33"/>
          <w:highlight w:val="none"/>
          <w:lang w:val="en-US" w:eastAsia="zh-CN"/>
        </w:rPr>
        <w:t>三、支出决算表</w:t>
      </w:r>
      <w:bookmarkEnd w:id="81"/>
      <w:bookmarkEnd w:id="82"/>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83" w:name="_Toc15396622"/>
      <w:bookmarkStart w:id="84" w:name="_Toc17184"/>
      <w:r>
        <w:rPr>
          <w:rFonts w:hint="eastAsia" w:ascii="宋体" w:hAnsi="宋体" w:eastAsia="方正仿宋_GBK" w:cs="方正仿宋_GBK"/>
          <w:color w:val="auto"/>
          <w:sz w:val="33"/>
          <w:szCs w:val="33"/>
          <w:highlight w:val="none"/>
          <w:lang w:val="en-US" w:eastAsia="zh-CN"/>
        </w:rPr>
        <w:t>四、财政拨款收入支出决算总表</w:t>
      </w:r>
      <w:bookmarkEnd w:id="83"/>
      <w:bookmarkEnd w:id="84"/>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85" w:name="_Toc15396623"/>
      <w:bookmarkStart w:id="86" w:name="_Toc30014"/>
      <w:r>
        <w:rPr>
          <w:rFonts w:hint="eastAsia" w:ascii="宋体" w:hAnsi="宋体" w:eastAsia="方正仿宋_GBK" w:cs="方正仿宋_GBK"/>
          <w:color w:val="auto"/>
          <w:sz w:val="33"/>
          <w:szCs w:val="33"/>
          <w:highlight w:val="none"/>
          <w:lang w:val="en-US" w:eastAsia="zh-CN"/>
        </w:rPr>
        <w:t>五、财政拨款支出决算明细表</w:t>
      </w:r>
      <w:bookmarkEnd w:id="85"/>
      <w:bookmarkEnd w:id="86"/>
      <w:bookmarkStart w:id="87" w:name="_Toc15396624"/>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88" w:name="_Toc8073"/>
      <w:r>
        <w:rPr>
          <w:rFonts w:hint="eastAsia" w:ascii="宋体" w:hAnsi="宋体" w:eastAsia="方正仿宋_GBK" w:cs="方正仿宋_GBK"/>
          <w:color w:val="auto"/>
          <w:sz w:val="33"/>
          <w:szCs w:val="33"/>
          <w:highlight w:val="none"/>
          <w:lang w:val="en-US" w:eastAsia="zh-CN"/>
        </w:rPr>
        <w:t>六、一般公共预算财政拨款支出决算表</w:t>
      </w:r>
      <w:bookmarkEnd w:id="87"/>
      <w:bookmarkEnd w:id="88"/>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89" w:name="_Toc6310"/>
      <w:bookmarkStart w:id="90" w:name="_Toc15396625"/>
      <w:r>
        <w:rPr>
          <w:rFonts w:hint="eastAsia" w:ascii="宋体" w:hAnsi="宋体" w:eastAsia="方正仿宋_GBK" w:cs="方正仿宋_GBK"/>
          <w:color w:val="auto"/>
          <w:sz w:val="33"/>
          <w:szCs w:val="33"/>
          <w:highlight w:val="none"/>
          <w:lang w:val="en-US" w:eastAsia="zh-CN"/>
        </w:rPr>
        <w:t>七、一般公共预算财政拨款支出决算明细表</w:t>
      </w:r>
      <w:bookmarkEnd w:id="89"/>
      <w:bookmarkEnd w:id="90"/>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91" w:name="_Toc22404"/>
      <w:bookmarkStart w:id="92" w:name="_Toc15396626"/>
      <w:r>
        <w:rPr>
          <w:rFonts w:hint="eastAsia" w:ascii="宋体" w:hAnsi="宋体" w:eastAsia="方正仿宋_GBK" w:cs="方正仿宋_GBK"/>
          <w:color w:val="auto"/>
          <w:sz w:val="33"/>
          <w:szCs w:val="33"/>
          <w:highlight w:val="none"/>
          <w:lang w:val="en-US" w:eastAsia="zh-CN"/>
        </w:rPr>
        <w:t>八、一般公共预算财政拨款基本支出决算表</w:t>
      </w:r>
      <w:bookmarkEnd w:id="91"/>
      <w:bookmarkEnd w:id="92"/>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93" w:name="_Toc15396627"/>
      <w:bookmarkStart w:id="94" w:name="_Toc9662"/>
      <w:r>
        <w:rPr>
          <w:rFonts w:hint="eastAsia" w:ascii="宋体" w:hAnsi="宋体" w:eastAsia="方正仿宋_GBK" w:cs="方正仿宋_GBK"/>
          <w:color w:val="auto"/>
          <w:sz w:val="33"/>
          <w:szCs w:val="33"/>
          <w:highlight w:val="none"/>
          <w:lang w:val="en-US" w:eastAsia="zh-CN"/>
        </w:rPr>
        <w:t>九、一般公共预算财政拨款项目支出决算表</w:t>
      </w:r>
      <w:bookmarkEnd w:id="93"/>
      <w:bookmarkEnd w:id="94"/>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95" w:name="_Toc15396628"/>
      <w:bookmarkStart w:id="96" w:name="_Toc15937"/>
      <w:r>
        <w:rPr>
          <w:rFonts w:hint="eastAsia" w:ascii="宋体" w:hAnsi="宋体" w:eastAsia="方正仿宋_GBK" w:cs="方正仿宋_GBK"/>
          <w:color w:val="auto"/>
          <w:sz w:val="33"/>
          <w:szCs w:val="33"/>
          <w:highlight w:val="none"/>
          <w:lang w:val="en-US" w:eastAsia="zh-CN"/>
        </w:rPr>
        <w:t>十、</w:t>
      </w:r>
      <w:bookmarkEnd w:id="95"/>
      <w:r>
        <w:rPr>
          <w:rFonts w:hint="eastAsia" w:ascii="宋体" w:hAnsi="宋体" w:eastAsia="方正仿宋_GBK" w:cs="方正仿宋_GBK"/>
          <w:color w:val="auto"/>
          <w:sz w:val="33"/>
          <w:szCs w:val="33"/>
          <w:highlight w:val="none"/>
          <w:lang w:val="en-US" w:eastAsia="zh-CN"/>
        </w:rPr>
        <w:t>政府性基金预算财政拨款收入支出决算表</w:t>
      </w:r>
      <w:bookmarkEnd w:id="96"/>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97" w:name="_Toc15396629"/>
      <w:bookmarkStart w:id="98" w:name="_Toc16406"/>
      <w:r>
        <w:rPr>
          <w:rFonts w:hint="eastAsia" w:ascii="宋体" w:hAnsi="宋体" w:eastAsia="方正仿宋_GBK" w:cs="方正仿宋_GBK"/>
          <w:color w:val="auto"/>
          <w:sz w:val="33"/>
          <w:szCs w:val="33"/>
          <w:highlight w:val="none"/>
          <w:lang w:val="en-US" w:eastAsia="zh-CN"/>
        </w:rPr>
        <w:t>十一、</w:t>
      </w:r>
      <w:bookmarkEnd w:id="97"/>
      <w:r>
        <w:rPr>
          <w:rFonts w:hint="eastAsia" w:ascii="宋体" w:hAnsi="宋体" w:eastAsia="方正仿宋_GBK" w:cs="方正仿宋_GBK"/>
          <w:color w:val="auto"/>
          <w:sz w:val="33"/>
          <w:szCs w:val="33"/>
          <w:highlight w:val="none"/>
          <w:lang w:val="en-US" w:eastAsia="zh-CN"/>
        </w:rPr>
        <w:t>国有资本经营预算财政拨款收入支出决算表</w:t>
      </w:r>
      <w:bookmarkEnd w:id="98"/>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99" w:name="_Toc15396630"/>
      <w:bookmarkStart w:id="100" w:name="_Toc6572"/>
      <w:r>
        <w:rPr>
          <w:rFonts w:hint="eastAsia" w:ascii="宋体" w:hAnsi="宋体" w:eastAsia="方正仿宋_GBK" w:cs="方正仿宋_GBK"/>
          <w:color w:val="auto"/>
          <w:sz w:val="33"/>
          <w:szCs w:val="33"/>
          <w:highlight w:val="none"/>
          <w:lang w:val="en-US" w:eastAsia="zh-CN"/>
        </w:rPr>
        <w:t>十二、</w:t>
      </w:r>
      <w:bookmarkEnd w:id="99"/>
      <w:r>
        <w:rPr>
          <w:rFonts w:hint="eastAsia" w:ascii="宋体" w:hAnsi="宋体" w:eastAsia="方正仿宋_GBK" w:cs="方正仿宋_GBK"/>
          <w:color w:val="auto"/>
          <w:sz w:val="33"/>
          <w:szCs w:val="33"/>
          <w:highlight w:val="none"/>
          <w:lang w:val="en-US" w:eastAsia="zh-CN"/>
        </w:rPr>
        <w:t>国有资本经营预算财政拨款支出决算表</w:t>
      </w:r>
      <w:bookmarkEnd w:id="100"/>
    </w:p>
    <w:p>
      <w:pPr>
        <w:pStyle w:val="25"/>
        <w:pageBreakBefore w:val="0"/>
        <w:kinsoku/>
        <w:wordWrap/>
        <w:overflowPunct/>
        <w:topLinePunct w:val="0"/>
        <w:bidi w:val="0"/>
        <w:spacing w:line="590" w:lineRule="exact"/>
        <w:ind w:left="0" w:right="0" w:firstLine="660" w:firstLineChars="200"/>
        <w:textAlignment w:val="auto"/>
        <w:rPr>
          <w:rFonts w:hint="eastAsia" w:ascii="宋体" w:hAnsi="宋体" w:eastAsia="方正仿宋_GBK" w:cs="方正仿宋_GBK"/>
          <w:color w:val="auto"/>
          <w:sz w:val="33"/>
          <w:szCs w:val="33"/>
          <w:highlight w:val="none"/>
          <w:lang w:val="en-US" w:eastAsia="zh-CN"/>
        </w:rPr>
      </w:pPr>
      <w:bookmarkStart w:id="101" w:name="_Toc15396631"/>
      <w:bookmarkStart w:id="102" w:name="_Toc27676"/>
      <w:r>
        <w:rPr>
          <w:rFonts w:hint="eastAsia" w:ascii="宋体" w:hAnsi="宋体" w:eastAsia="方正仿宋_GBK" w:cs="方正仿宋_GBK"/>
          <w:color w:val="auto"/>
          <w:sz w:val="33"/>
          <w:szCs w:val="33"/>
          <w:highlight w:val="none"/>
          <w:lang w:val="en-US" w:eastAsia="zh-CN"/>
        </w:rPr>
        <w:t>十三、</w:t>
      </w:r>
      <w:bookmarkEnd w:id="101"/>
      <w:r>
        <w:rPr>
          <w:rFonts w:hint="eastAsia" w:ascii="宋体" w:hAnsi="宋体" w:eastAsia="方正仿宋_GBK" w:cs="方正仿宋_GBK"/>
          <w:color w:val="auto"/>
          <w:sz w:val="33"/>
          <w:szCs w:val="33"/>
          <w:highlight w:val="none"/>
          <w:lang w:val="en-US" w:eastAsia="zh-CN"/>
        </w:rPr>
        <w:t>财政拨款“三公”经费支出决算表</w:t>
      </w:r>
      <w:bookmarkEnd w:id="102"/>
    </w:p>
    <w:sectPr>
      <w:footerReference r:id="rId8" w:type="first"/>
      <w:footerReference r:id="rId7" w:type="default"/>
      <w:pgSz w:w="11906" w:h="16838"/>
      <w:pgMar w:top="1984"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posOffset>4987290</wp:posOffset>
              </wp:positionH>
              <wp:positionV relativeFrom="paragraph">
                <wp:posOffset>-60325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2.7pt;margin-top:-4.75pt;height:144pt;width:144pt;mso-position-horizontal-relative:margin;mso-wrap-style:none;z-index:251667456;mso-width-relative:page;mso-height-relative:page;" filled="f" stroked="f" coordsize="21600,21600" o:gfxdata="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OO2NA1wAAAAsBAAAPAAAAAAAAAAEAIAAAACIAAABkcnMvZG93bnJldi54bWxQ&#10;SwECFAAUAAAACACHTuJAbP7xkTECAABjBAAADgAAAAAAAAABACAAAAAmAQAAZHJzL2Uyb0RvYy54&#10;bWxQSwUGAAAAAAYABgBZAQAAyQ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posOffset>17145</wp:posOffset>
              </wp:positionH>
              <wp:positionV relativeFrom="paragraph">
                <wp:posOffset>-181610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5pt;margin-top:-14.3pt;height:144pt;width:144pt;mso-position-horizontal-relative:margin;mso-wrap-style:none;z-index:251665408;mso-width-relative:page;mso-height-relative:page;" filled="f" stroked="f" coordsize="21600,21600" o:gfxdata="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KAVxs1wAAAAkBAAAPAAAAAAAAAAEAIAAAACIAAABkcnMvZG93bnJldi54bWxQ&#10;SwECFAAUAAAACACHTuJAx5e1zjECAABhBAAADgAAAAAAAAABACAAAAAmAQAAZHJzL2Uyb0RvYy54&#10;bWxQSwUGAAAAAAYABgBZAQAAyQ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3B40B"/>
    <w:multiLevelType w:val="singleLevel"/>
    <w:tmpl w:val="AAA3B40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1DAB"/>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10C055FF"/>
    <w:rsid w:val="118107EC"/>
    <w:rsid w:val="11DD6519"/>
    <w:rsid w:val="123D5579"/>
    <w:rsid w:val="16BB723D"/>
    <w:rsid w:val="17DA2129"/>
    <w:rsid w:val="18015F3F"/>
    <w:rsid w:val="1A0E38B8"/>
    <w:rsid w:val="1BE8440E"/>
    <w:rsid w:val="1D155CEE"/>
    <w:rsid w:val="20F57F95"/>
    <w:rsid w:val="240371BF"/>
    <w:rsid w:val="25711CC6"/>
    <w:rsid w:val="25C741E6"/>
    <w:rsid w:val="277018C3"/>
    <w:rsid w:val="27842671"/>
    <w:rsid w:val="295A7167"/>
    <w:rsid w:val="29FD04D3"/>
    <w:rsid w:val="2ABE7A3E"/>
    <w:rsid w:val="2CA234A8"/>
    <w:rsid w:val="2CD66800"/>
    <w:rsid w:val="2D5972D4"/>
    <w:rsid w:val="2EFA178C"/>
    <w:rsid w:val="30B46D73"/>
    <w:rsid w:val="319F7F4E"/>
    <w:rsid w:val="36076482"/>
    <w:rsid w:val="383D272C"/>
    <w:rsid w:val="39AE70AB"/>
    <w:rsid w:val="3C0C0783"/>
    <w:rsid w:val="3CA22C38"/>
    <w:rsid w:val="3F9F3A96"/>
    <w:rsid w:val="48BF60AB"/>
    <w:rsid w:val="493C27E9"/>
    <w:rsid w:val="496F39ED"/>
    <w:rsid w:val="49A923EA"/>
    <w:rsid w:val="49FF41D3"/>
    <w:rsid w:val="4BE068DB"/>
    <w:rsid w:val="4BF6002B"/>
    <w:rsid w:val="4D9D0AE2"/>
    <w:rsid w:val="4ECE2238"/>
    <w:rsid w:val="51DB4B86"/>
    <w:rsid w:val="55333C3E"/>
    <w:rsid w:val="583E7323"/>
    <w:rsid w:val="59A4660E"/>
    <w:rsid w:val="64CA39A1"/>
    <w:rsid w:val="66C52FA8"/>
    <w:rsid w:val="69630ADE"/>
    <w:rsid w:val="6C4A05C8"/>
    <w:rsid w:val="6D3B1A89"/>
    <w:rsid w:val="71BF4EC2"/>
    <w:rsid w:val="72734D90"/>
    <w:rsid w:val="7412278C"/>
    <w:rsid w:val="79E7B28D"/>
    <w:rsid w:val="79FE62E4"/>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qFormat/>
    <w:uiPriority w:val="99"/>
    <w:pPr>
      <w:spacing w:after="120" w:line="600" w:lineRule="exact"/>
      <w:ind w:left="420" w:leftChars="200"/>
    </w:pPr>
    <w:rPr>
      <w:szCs w:val="2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6"/>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8"/>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Personal\Desktop\2022&#24180;&#20915;&#31639;&#20844;&#24320;&#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Personal\Desktop\2022&#24180;&#20915;&#31639;&#20844;&#24320;&#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Personal\Desktop\2022&#24180;&#20915;&#31639;&#20844;&#24320;&#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Personal\Desktop\2022&#24180;&#20915;&#31639;&#20844;&#24320;&#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Personal\Desktop\2022&#24180;&#20915;&#31639;&#20844;&#24320;&#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Personal\Desktop\2022&#24180;&#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6111111111111"/>
          <c:y val="0.0949074074074074"/>
          <c:w val="0.888388888888889"/>
          <c:h val="0.837129629629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'[2022年决算公开图表.xlsx]图1——收、支决算总计变动情况图-柱状图'!$A$2:$B$2</c:f>
              <c:strCache>
                <c:ptCount val="2"/>
                <c:pt idx="0">
                  <c:v>2021年</c:v>
                </c:pt>
                <c:pt idx="1">
                  <c:v>2022年</c:v>
                </c:pt>
              </c:strCache>
            </c:strRef>
          </c:cat>
          <c:val>
            <c:numRef>
              <c:f>'[2022年决算公开图表.xlsx]图1——收、支决算总计变动情况图-柱状图'!$A$3:$B$3</c:f>
              <c:numCache>
                <c:formatCode>General</c:formatCode>
                <c:ptCount val="2"/>
                <c:pt idx="0">
                  <c:v>47.93</c:v>
                </c:pt>
                <c:pt idx="1">
                  <c:v>49.01</c:v>
                </c:pt>
              </c:numCache>
            </c:numRef>
          </c:val>
        </c:ser>
        <c:dLbls>
          <c:showLegendKey val="0"/>
          <c:showVal val="1"/>
          <c:showCatName val="0"/>
          <c:showSerName val="0"/>
          <c:showPercent val="0"/>
          <c:showBubbleSize val="0"/>
        </c:dLbls>
        <c:gapWidth val="219"/>
        <c:overlap val="-27"/>
        <c:axId val="147959570"/>
        <c:axId val="319839264"/>
      </c:barChart>
      <c:catAx>
        <c:axId val="1479595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839264"/>
        <c:crosses val="autoZero"/>
        <c:auto val="1"/>
        <c:lblAlgn val="ctr"/>
        <c:lblOffset val="100"/>
        <c:noMultiLvlLbl val="0"/>
      </c:catAx>
      <c:valAx>
        <c:axId val="31983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9595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'[2022年决算公开图表.xlsx]图2——收入决算结构图-饼状图'!$A$2</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'[2022年决算公开图表.xlsx]图2——收入决算结构图-饼状图'!$A$3</c:f>
              <c:numCache>
                <c:formatCode>General</c:formatCode>
                <c:ptCount val="1"/>
                <c:pt idx="0">
                  <c:v>47.11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'[2022年决算公开图表.xlsx]图3——支出决算结构图-饼状图'!$A$2:$B$2</c:f>
              <c:strCache>
                <c:ptCount val="2"/>
                <c:pt idx="0">
                  <c:v>基本支出</c:v>
                </c:pt>
                <c:pt idx="1">
                  <c:v>项目支出</c:v>
                </c:pt>
              </c:strCache>
            </c:strRef>
          </c:cat>
          <c:val>
            <c:numRef>
              <c:f>'[2022年决算公开图表.xlsx]图3——支出决算结构图-饼状图'!$A$3:$B$3</c:f>
              <c:numCache>
                <c:formatCode>General</c:formatCode>
                <c:ptCount val="2"/>
                <c:pt idx="0">
                  <c:v>41.85</c:v>
                </c:pt>
                <c:pt idx="1">
                  <c:v>5.26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'[2022年决算公开图表.xlsx]图4——财政拨款收、支决算总计变动情况-柱状图'!$A$2:$B$2</c:f>
              <c:strCache>
                <c:ptCount val="2"/>
                <c:pt idx="0">
                  <c:v>2021年</c:v>
                </c:pt>
                <c:pt idx="1">
                  <c:v>2022年</c:v>
                </c:pt>
              </c:strCache>
            </c:strRef>
          </c:cat>
          <c:val>
            <c:numRef>
              <c:f>'[2022年决算公开图表.xlsx]图4——财政拨款收、支决算总计变动情况-柱状图'!$A$3:$B$3</c:f>
              <c:numCache>
                <c:formatCode>General</c:formatCode>
                <c:ptCount val="2"/>
                <c:pt idx="0">
                  <c:v>47.93</c:v>
                </c:pt>
                <c:pt idx="1">
                  <c:v>49.01</c:v>
                </c:pt>
              </c:numCache>
            </c:numRef>
          </c:val>
        </c:ser>
        <c:dLbls>
          <c:showLegendKey val="0"/>
          <c:showVal val="1"/>
          <c:showCatName val="0"/>
          <c:showSerName val="0"/>
          <c:showPercent val="0"/>
          <c:showBubbleSize val="0"/>
        </c:dLbls>
        <c:gapWidth val="219"/>
        <c:overlap val="-27"/>
        <c:axId val="147959570"/>
        <c:axId val="319839264"/>
      </c:barChart>
      <c:catAx>
        <c:axId val="1479595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9839264"/>
        <c:crosses val="autoZero"/>
        <c:auto val="1"/>
        <c:lblAlgn val="ctr"/>
        <c:lblOffset val="100"/>
        <c:noMultiLvlLbl val="0"/>
      </c:catAx>
      <c:valAx>
        <c:axId val="31983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9595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'[2022年决算公开图表.xlsx]图5——一般公共预算财政拨款支出决算变动情况-柱状图'!$A$2:$B$2</c:f>
              <c:strCache>
                <c:ptCount val="2"/>
                <c:pt idx="0">
                  <c:v>2021年</c:v>
                </c:pt>
                <c:pt idx="1">
                  <c:v>2022年</c:v>
                </c:pt>
              </c:strCache>
            </c:strRef>
          </c:cat>
          <c:val>
            <c:numRef>
              <c:f>'[2022年决算公开图表.xlsx]图5——一般公共预算财政拨款支出决算变动情况-柱状图'!$A$3:$B$3</c:f>
              <c:numCache>
                <c:formatCode>General</c:formatCode>
                <c:ptCount val="2"/>
                <c:pt idx="0">
                  <c:v>46.03</c:v>
                </c:pt>
                <c:pt idx="1">
                  <c:v>47.11</c:v>
                </c:pt>
              </c:numCache>
            </c:numRef>
          </c:val>
        </c:ser>
        <c:dLbls>
          <c:showLegendKey val="0"/>
          <c:showVal val="1"/>
          <c:showCatName val="0"/>
          <c:showSerName val="0"/>
          <c:showPercent val="0"/>
          <c:showBubbleSize val="0"/>
        </c:dLbls>
        <c:gapWidth val="219"/>
        <c:overlap val="-27"/>
        <c:axId val="307081239"/>
        <c:axId val="836294401"/>
      </c:barChart>
      <c:catAx>
        <c:axId val="3070812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6294401"/>
        <c:crosses val="autoZero"/>
        <c:auto val="1"/>
        <c:lblAlgn val="ctr"/>
        <c:lblOffset val="100"/>
        <c:noMultiLvlLbl val="0"/>
      </c:catAx>
      <c:valAx>
        <c:axId val="8362944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70812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'[2022年决算公开图表.xlsx]图6——一般公共预算财政拨款支出决算结构-饼状图'!$A$2:$D$2</c:f>
              <c:strCache>
                <c:ptCount val="4"/>
                <c:pt idx="0">
                  <c:v>一般公共服务支出</c:v>
                </c:pt>
                <c:pt idx="1">
                  <c:v>社会保障和就业支出</c:v>
                </c:pt>
                <c:pt idx="2">
                  <c:v>卫生健康支出</c:v>
                </c:pt>
                <c:pt idx="3">
                  <c:v>住房保障支出</c:v>
                </c:pt>
              </c:strCache>
            </c:strRef>
          </c:cat>
          <c:val>
            <c:numRef>
              <c:f>'[2022年决算公开图表.xlsx]图6——一般公共预算财政拨款支出决算结构-饼状图'!$A$3:$D$3</c:f>
              <c:numCache>
                <c:formatCode>General</c:formatCode>
                <c:ptCount val="4"/>
                <c:pt idx="0">
                  <c:v>36.5</c:v>
                </c:pt>
                <c:pt idx="1">
                  <c:v>5.49</c:v>
                </c:pt>
                <c:pt idx="2">
                  <c:v>2.03</c:v>
                </c:pt>
                <c:pt idx="3">
                  <c:v>3.09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代娅莉</cp:lastModifiedBy>
  <cp:lastPrinted>2023-08-28T01:45:11Z</cp:lastPrinted>
  <dcterms:modified xsi:type="dcterms:W3CDTF">2023-08-28T01:45:20Z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F15C7EB5958344D39585C8ECD009994B</vt:lpwstr>
  </property>
</Properties>
</file>