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425"/>
      <w:bookmarkStart w:id="2" w:name="_Toc15396475"/>
      <w:bookmarkStart w:id="3" w:name="_Toc15377193"/>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44281984"/>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44281985"/>
      <w:bookmarkStart w:id="8" w:name="_Toc15396476"/>
      <w:bookmarkStart w:id="9" w:name="_Toc15378442"/>
      <w:bookmarkStart w:id="10" w:name="_Toc15377426"/>
      <w:bookmarkStart w:id="11" w:name="_Toc15306268"/>
      <w:bookmarkStart w:id="12" w:name="_Toc15377194"/>
      <w:bookmarkStart w:id="13" w:name="_Toc15396598"/>
      <w:r>
        <w:rPr>
          <w:rFonts w:hint="eastAsia" w:ascii="方正小标宋简体" w:hAnsi="方正小标宋简体" w:eastAsia="方正小标宋简体" w:cs="方正小标宋简体"/>
          <w:sz w:val="72"/>
          <w:szCs w:val="72"/>
        </w:rPr>
        <w:t>资阳市雁江区人民代表大会常务委员会办公室</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144281986"/>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5"/>
      </w:pPr>
      <w:r>
        <w:rPr>
          <w:rFonts w:hint="eastAsia"/>
        </w:rPr>
        <w:t>公开时间：2023年8月25日</w:t>
      </w:r>
    </w:p>
    <w:p/>
    <w:sdt>
      <w:sdtPr>
        <w:rPr>
          <w:rFonts w:ascii="Times New Roman" w:hAnsi="Times New Roman" w:eastAsia="宋体" w:cs="Times New Roman"/>
          <w:b w:val="0"/>
          <w:bCs w:val="0"/>
          <w:color w:val="auto"/>
          <w:kern w:val="2"/>
          <w:sz w:val="21"/>
          <w:szCs w:val="24"/>
          <w:lang w:val="zh-CN"/>
        </w:rPr>
        <w:id w:val="167623283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46"/>
          </w:pPr>
          <w:bookmarkStart w:id="15" w:name="_Toc15377196"/>
          <w:bookmarkStart w:id="16" w:name="_Toc15396599"/>
          <w:r>
            <w:rPr>
              <w:lang w:val="zh-CN"/>
            </w:rPr>
            <w:t>目录</w:t>
          </w:r>
        </w:p>
        <w:p>
          <w:pPr>
            <w:pStyle w:val="15"/>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"_Toc144281984" </w:instrText>
          </w:r>
          <w:r>
            <w:fldChar w:fldCharType="separate"/>
          </w:r>
          <w:r>
            <w:rPr>
              <w:rStyle w:val="26"/>
              <w:rFonts w:ascii="方正小标宋简体" w:hAnsi="方正小标宋简体" w:eastAsia="方正小标宋简体" w:cs="方正小标宋简体"/>
            </w:rPr>
            <w:t>2022</w:t>
          </w:r>
          <w:r>
            <w:rPr>
              <w:rStyle w:val="26"/>
              <w:rFonts w:hint="eastAsia" w:ascii="方正小标宋简体" w:hAnsi="方正小标宋简体" w:eastAsia="方正小标宋简体" w:cs="方正小标宋简体"/>
            </w:rPr>
            <w:t>年度</w:t>
          </w:r>
          <w:r>
            <w:tab/>
          </w:r>
          <w:r>
            <w:fldChar w:fldCharType="begin"/>
          </w:r>
          <w:r>
            <w:instrText xml:space="preserve"> PAGEREF _Toc144281984 \h </w:instrText>
          </w:r>
          <w:r>
            <w:fldChar w:fldCharType="separate"/>
          </w:r>
          <w:r>
            <w:t>1</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"_Toc144281985" </w:instrText>
          </w:r>
          <w:r>
            <w:fldChar w:fldCharType="separate"/>
          </w:r>
          <w:r>
            <w:rPr>
              <w:rStyle w:val="26"/>
              <w:rFonts w:hint="eastAsia" w:ascii="方正小标宋简体" w:hAnsi="方正小标宋简体" w:eastAsia="方正小标宋简体" w:cs="方正小标宋简体"/>
            </w:rPr>
            <w:t>资阳市雁江区人民代表大会常务委员会办公室</w:t>
          </w:r>
          <w:r>
            <w:tab/>
          </w:r>
          <w:r>
            <w:fldChar w:fldCharType="begin"/>
          </w:r>
          <w:r>
            <w:instrText xml:space="preserve"> PAGEREF _Toc144281985 \h </w:instrText>
          </w:r>
          <w:r>
            <w:fldChar w:fldCharType="separate"/>
          </w:r>
          <w:r>
            <w:t>1</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"_Toc144281986" </w:instrText>
          </w:r>
          <w:r>
            <w:fldChar w:fldCharType="separate"/>
          </w:r>
          <w:r>
            <w:rPr>
              <w:rStyle w:val="26"/>
              <w:rFonts w:hint="eastAsia" w:ascii="方正小标宋简体" w:hAnsi="方正小标宋简体" w:eastAsia="方正小标宋简体" w:cs="方正小标宋简体"/>
            </w:rPr>
            <w:t>部门决算</w:t>
          </w:r>
          <w:r>
            <w:tab/>
          </w:r>
          <w:r>
            <w:fldChar w:fldCharType="begin"/>
          </w:r>
          <w:r>
            <w:instrText xml:space="preserve"> PAGEREF _Toc144281986 \h </w:instrText>
          </w:r>
          <w:r>
            <w:fldChar w:fldCharType="separate"/>
          </w:r>
          <w:r>
            <w:t>1</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"_Toc144281987" </w:instrText>
          </w:r>
          <w:r>
            <w:fldChar w:fldCharType="separate"/>
          </w:r>
          <w:r>
            <w:rPr>
              <w:rStyle w:val="26"/>
              <w:rFonts w:hint="eastAsia" w:ascii="黑体" w:hAnsi="黑体" w:eastAsia="黑体"/>
            </w:rPr>
            <w:t>第一部分</w:t>
          </w:r>
          <w:r>
            <w:rPr>
              <w:rStyle w:val="26"/>
              <w:rFonts w:ascii="黑体" w:hAnsi="黑体" w:eastAsia="黑体"/>
            </w:rPr>
            <w:t xml:space="preserve"> </w:t>
          </w:r>
          <w:r>
            <w:rPr>
              <w:rStyle w:val="26"/>
              <w:rFonts w:hint="eastAsia" w:ascii="黑体" w:hAnsi="黑体" w:eastAsia="黑体"/>
            </w:rPr>
            <w:t>部门概况</w:t>
          </w:r>
          <w:r>
            <w:tab/>
          </w:r>
          <w:r>
            <w:fldChar w:fldCharType="begin"/>
          </w:r>
          <w:r>
            <w:instrText xml:space="preserve"> PAGEREF _Toc144281987 \h </w:instrText>
          </w:r>
          <w:r>
            <w:fldChar w:fldCharType="separate"/>
          </w:r>
          <w:r>
            <w:t>3</w:t>
          </w:r>
          <w:r>
            <w:fldChar w:fldCharType="end"/>
          </w:r>
          <w:r>
            <w:fldChar w:fldCharType="end"/>
          </w:r>
        </w:p>
        <w:p>
          <w:pPr>
            <w:pStyle w:val="18"/>
            <w:tabs>
              <w:tab w:val="left" w:pos="1260"/>
            </w:tabs>
            <w:rPr>
              <w:rFonts w:asciiTheme="minorHAnsi" w:hAnsiTheme="minorHAnsi" w:eastAsiaTheme="minorEastAsia" w:cstheme="minorBidi"/>
              <w:szCs w:val="22"/>
            </w:rPr>
          </w:pPr>
          <w:r>
            <w:fldChar w:fldCharType="begin"/>
          </w:r>
          <w:r>
            <w:instrText xml:space="preserve"> HYPERLINK \l "_Toc144281988" </w:instrText>
          </w:r>
          <w:r>
            <w:fldChar w:fldCharType="separate"/>
          </w:r>
          <w:r>
            <w:rPr>
              <w:rStyle w:val="26"/>
              <w:rFonts w:hint="eastAsia" w:ascii="黑体" w:hAnsi="黑体" w:eastAsia="黑体"/>
            </w:rPr>
            <w:t>一、</w:t>
          </w:r>
          <w:r>
            <w:rPr>
              <w:rFonts w:asciiTheme="minorHAnsi" w:hAnsiTheme="minorHAnsi" w:eastAsiaTheme="minorEastAsia" w:cstheme="minorBidi"/>
              <w:szCs w:val="22"/>
            </w:rPr>
            <w:tab/>
          </w:r>
          <w:r>
            <w:rPr>
              <w:rStyle w:val="26"/>
              <w:rFonts w:hint="eastAsia" w:ascii="黑体" w:hAnsi="黑体" w:eastAsia="黑体"/>
            </w:rPr>
            <w:t>基本情况</w:t>
          </w:r>
          <w:r>
            <w:tab/>
          </w:r>
          <w:r>
            <w:fldChar w:fldCharType="begin"/>
          </w:r>
          <w:r>
            <w:instrText xml:space="preserve"> PAGEREF _Toc144281988 \h </w:instrText>
          </w:r>
          <w:r>
            <w:fldChar w:fldCharType="separate"/>
          </w:r>
          <w:r>
            <w:t>3</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"_Toc144282009" </w:instrText>
          </w:r>
          <w:r>
            <w:fldChar w:fldCharType="separate"/>
          </w:r>
          <w:r>
            <w:rPr>
              <w:rStyle w:val="26"/>
              <w:rFonts w:hint="eastAsia" w:ascii="黑体" w:hAnsi="黑体" w:eastAsia="黑体"/>
            </w:rPr>
            <w:t>第二部分</w:t>
          </w:r>
          <w:r>
            <w:rPr>
              <w:rStyle w:val="26"/>
              <w:rFonts w:ascii="黑体" w:hAnsi="黑体" w:eastAsia="黑体"/>
            </w:rPr>
            <w:t xml:space="preserve"> 2022</w:t>
          </w:r>
          <w:r>
            <w:rPr>
              <w:rStyle w:val="26"/>
              <w:rFonts w:hint="eastAsia" w:ascii="黑体" w:hAnsi="黑体" w:eastAsia="黑体"/>
            </w:rPr>
            <w:t>年度部门决算情况说明</w:t>
          </w:r>
          <w:r>
            <w:tab/>
          </w:r>
          <w:r>
            <w:fldChar w:fldCharType="begin"/>
          </w:r>
          <w:r>
            <w:instrText xml:space="preserve"> PAGEREF _Toc144282009 \h </w:instrText>
          </w:r>
          <w:r>
            <w:fldChar w:fldCharType="separate"/>
          </w:r>
          <w:r>
            <w:t>6</w:t>
          </w:r>
          <w:r>
            <w:fldChar w:fldCharType="end"/>
          </w:r>
          <w:r>
            <w:fldChar w:fldCharType="end"/>
          </w:r>
        </w:p>
        <w:p>
          <w:pPr>
            <w:pStyle w:val="18"/>
            <w:tabs>
              <w:tab w:val="left" w:pos="1260"/>
            </w:tabs>
            <w:rPr>
              <w:rFonts w:asciiTheme="minorHAnsi" w:hAnsiTheme="minorHAnsi" w:eastAsiaTheme="minorEastAsia" w:cstheme="minorBidi"/>
              <w:szCs w:val="22"/>
            </w:rPr>
          </w:pPr>
          <w:r>
            <w:fldChar w:fldCharType="begin"/>
          </w:r>
          <w:r>
            <w:instrText xml:space="preserve"> HYPERLINK \l "_Toc144282010" </w:instrText>
          </w:r>
          <w:r>
            <w:fldChar w:fldCharType="separate"/>
          </w:r>
          <w:r>
            <w:rPr>
              <w:rStyle w:val="26"/>
              <w:rFonts w:hint="eastAsia" w:ascii="黑体" w:hAnsi="黑体" w:eastAsia="黑体" w:cstheme="majorBidi"/>
              <w:bCs/>
            </w:rPr>
            <w:t>一、</w:t>
          </w:r>
          <w:r>
            <w:rPr>
              <w:rFonts w:asciiTheme="minorHAnsi" w:hAnsiTheme="minorHAnsi" w:eastAsiaTheme="minorEastAsia" w:cstheme="minorBidi"/>
              <w:szCs w:val="22"/>
            </w:rPr>
            <w:tab/>
          </w:r>
          <w:r>
            <w:rPr>
              <w:rStyle w:val="26"/>
              <w:rFonts w:hint="eastAsia" w:ascii="黑体" w:hAnsi="黑体" w:eastAsia="黑体"/>
            </w:rPr>
            <w:t>收</w:t>
          </w:r>
          <w:r>
            <w:rPr>
              <w:rStyle w:val="26"/>
              <w:rFonts w:hint="eastAsia" w:ascii="黑体" w:hAnsi="黑体" w:eastAsia="黑体" w:cstheme="majorBidi"/>
              <w:bCs/>
            </w:rPr>
            <w:t>入支出决算总体情况说明</w:t>
          </w:r>
          <w:r>
            <w:tab/>
          </w:r>
          <w:r>
            <w:fldChar w:fldCharType="begin"/>
          </w:r>
          <w:r>
            <w:instrText xml:space="preserve"> PAGEREF _Toc144282010 \h </w:instrText>
          </w:r>
          <w:r>
            <w:fldChar w:fldCharType="separate"/>
          </w:r>
          <w:r>
            <w:t>6</w:t>
          </w:r>
          <w:r>
            <w:fldChar w:fldCharType="end"/>
          </w:r>
          <w:r>
            <w:fldChar w:fldCharType="end"/>
          </w:r>
        </w:p>
        <w:p>
          <w:pPr>
            <w:pStyle w:val="18"/>
            <w:tabs>
              <w:tab w:val="left" w:pos="1260"/>
            </w:tabs>
            <w:rPr>
              <w:rFonts w:asciiTheme="minorHAnsi" w:hAnsiTheme="minorHAnsi" w:eastAsiaTheme="minorEastAsia" w:cstheme="minorBidi"/>
              <w:szCs w:val="22"/>
            </w:rPr>
          </w:pPr>
          <w:r>
            <w:fldChar w:fldCharType="begin"/>
          </w:r>
          <w:r>
            <w:instrText xml:space="preserve"> HYPERLINK \l "_Toc144282011" </w:instrText>
          </w:r>
          <w:r>
            <w:fldChar w:fldCharType="separate"/>
          </w:r>
          <w:r>
            <w:rPr>
              <w:rStyle w:val="26"/>
              <w:rFonts w:hint="eastAsia" w:ascii="黑体" w:hAnsi="黑体" w:eastAsia="黑体" w:cstheme="majorBidi"/>
              <w:bCs/>
            </w:rPr>
            <w:t>二、</w:t>
          </w:r>
          <w:r>
            <w:rPr>
              <w:rFonts w:asciiTheme="minorHAnsi" w:hAnsiTheme="minorHAnsi" w:eastAsiaTheme="minorEastAsia" w:cstheme="minorBidi"/>
              <w:szCs w:val="22"/>
            </w:rPr>
            <w:tab/>
          </w:r>
          <w:r>
            <w:rPr>
              <w:rStyle w:val="26"/>
              <w:rFonts w:hint="eastAsia" w:ascii="黑体" w:hAnsi="黑体" w:eastAsia="黑体"/>
            </w:rPr>
            <w:t>收</w:t>
          </w:r>
          <w:r>
            <w:rPr>
              <w:rStyle w:val="26"/>
              <w:rFonts w:hint="eastAsia" w:ascii="黑体" w:hAnsi="黑体" w:eastAsia="黑体" w:cstheme="majorBidi"/>
              <w:bCs/>
            </w:rPr>
            <w:t>入决算情况说明</w:t>
          </w:r>
          <w:r>
            <w:tab/>
          </w:r>
          <w:r>
            <w:fldChar w:fldCharType="begin"/>
          </w:r>
          <w:r>
            <w:instrText xml:space="preserve"> PAGEREF _Toc144282011 \h </w:instrText>
          </w:r>
          <w:r>
            <w:fldChar w:fldCharType="separate"/>
          </w:r>
          <w:r>
            <w:t>6</w:t>
          </w:r>
          <w:r>
            <w:fldChar w:fldCharType="end"/>
          </w:r>
          <w:r>
            <w:fldChar w:fldCharType="end"/>
          </w:r>
        </w:p>
        <w:p>
          <w:pPr>
            <w:pStyle w:val="18"/>
            <w:tabs>
              <w:tab w:val="left" w:pos="1260"/>
            </w:tabs>
            <w:rPr>
              <w:rFonts w:asciiTheme="minorHAnsi" w:hAnsiTheme="minorHAnsi" w:eastAsiaTheme="minorEastAsia" w:cstheme="minorBidi"/>
              <w:szCs w:val="22"/>
            </w:rPr>
          </w:pPr>
          <w:r>
            <w:fldChar w:fldCharType="begin"/>
          </w:r>
          <w:r>
            <w:instrText xml:space="preserve"> HYPERLINK \l "_Toc144282013" </w:instrText>
          </w:r>
          <w:r>
            <w:fldChar w:fldCharType="separate"/>
          </w:r>
          <w:r>
            <w:rPr>
              <w:rStyle w:val="26"/>
              <w:rFonts w:hint="eastAsia" w:ascii="黑体" w:hAnsi="黑体" w:eastAsia="黑体" w:cstheme="majorBidi"/>
              <w:bCs/>
            </w:rPr>
            <w:t>三、</w:t>
          </w:r>
          <w:r>
            <w:rPr>
              <w:rFonts w:asciiTheme="minorHAnsi" w:hAnsiTheme="minorHAnsi" w:eastAsiaTheme="minorEastAsia" w:cstheme="minorBidi"/>
              <w:szCs w:val="22"/>
            </w:rPr>
            <w:tab/>
          </w:r>
          <w:r>
            <w:rPr>
              <w:rStyle w:val="26"/>
              <w:rFonts w:hint="eastAsia" w:ascii="黑体" w:hAnsi="黑体" w:eastAsia="黑体"/>
            </w:rPr>
            <w:t>支</w:t>
          </w:r>
          <w:r>
            <w:rPr>
              <w:rStyle w:val="26"/>
              <w:rFonts w:hint="eastAsia" w:ascii="黑体" w:hAnsi="黑体" w:eastAsia="黑体" w:cstheme="majorBidi"/>
              <w:bCs/>
            </w:rPr>
            <w:t>出决算情况说明</w:t>
          </w:r>
          <w:r>
            <w:tab/>
          </w:r>
          <w:r>
            <w:fldChar w:fldCharType="begin"/>
          </w:r>
          <w:r>
            <w:instrText xml:space="preserve"> PAGEREF _Toc144282013 \h </w:instrText>
          </w:r>
          <w:r>
            <w:fldChar w:fldCharType="separate"/>
          </w:r>
          <w:r>
            <w:t>7</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"_Toc144282015" </w:instrText>
          </w:r>
          <w:r>
            <w:fldChar w:fldCharType="separate"/>
          </w:r>
          <w:r>
            <w:rPr>
              <w:rStyle w:val="26"/>
              <w:rFonts w:hint="eastAsia" w:ascii="黑体" w:hAnsi="黑体" w:eastAsia="黑体"/>
            </w:rPr>
            <w:t>四、财</w:t>
          </w:r>
          <w:r>
            <w:rPr>
              <w:rStyle w:val="26"/>
              <w:rFonts w:hint="eastAsia" w:ascii="黑体" w:hAnsi="黑体" w:eastAsia="黑体" w:cstheme="majorBidi"/>
              <w:bCs/>
            </w:rPr>
            <w:t>政拨款收入支出决算总体情况说明</w:t>
          </w:r>
          <w:r>
            <w:tab/>
          </w:r>
          <w:r>
            <w:fldChar w:fldCharType="begin"/>
          </w:r>
          <w:r>
            <w:instrText xml:space="preserve"> PAGEREF _Toc144282015 \h </w:instrText>
          </w:r>
          <w:r>
            <w:fldChar w:fldCharType="separate"/>
          </w:r>
          <w:r>
            <w:t>7</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"_Toc144282016" </w:instrText>
          </w:r>
          <w:r>
            <w:fldChar w:fldCharType="separate"/>
          </w:r>
          <w:r>
            <w:rPr>
              <w:rStyle w:val="26"/>
              <w:rFonts w:hint="eastAsia" w:ascii="黑体" w:hAnsi="黑体" w:eastAsia="黑体"/>
            </w:rPr>
            <w:t>五、</w:t>
          </w:r>
          <w:r>
            <w:rPr>
              <w:rStyle w:val="26"/>
              <w:rFonts w:hint="eastAsia" w:ascii="黑体" w:hAnsi="黑体" w:eastAsia="黑体"/>
              <w:b/>
            </w:rPr>
            <w:t>一</w:t>
          </w:r>
          <w:r>
            <w:rPr>
              <w:rStyle w:val="26"/>
              <w:rFonts w:hint="eastAsia" w:ascii="黑体" w:hAnsi="黑体" w:eastAsia="黑体" w:cstheme="majorBidi"/>
              <w:bCs/>
            </w:rPr>
            <w:t>般公共预算财政拨款支出决算情况说明</w:t>
          </w:r>
          <w:r>
            <w:tab/>
          </w:r>
          <w:r>
            <w:fldChar w:fldCharType="begin"/>
          </w:r>
          <w:r>
            <w:instrText xml:space="preserve"> PAGEREF _Toc144282016 \h </w:instrText>
          </w:r>
          <w:r>
            <w:fldChar w:fldCharType="separate"/>
          </w:r>
          <w:r>
            <w:t>8</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"_Toc144282021" </w:instrText>
          </w:r>
          <w:r>
            <w:fldChar w:fldCharType="separate"/>
          </w:r>
          <w:r>
            <w:rPr>
              <w:rStyle w:val="26"/>
              <w:rFonts w:hint="eastAsia" w:ascii="黑体" w:eastAsia="黑体"/>
            </w:rPr>
            <w:t>六</w:t>
          </w:r>
          <w:r>
            <w:rPr>
              <w:rStyle w:val="26"/>
              <w:rFonts w:hint="eastAsia" w:ascii="黑体" w:eastAsia="黑体"/>
              <w:b/>
            </w:rPr>
            <w:t>、</w:t>
          </w:r>
          <w:r>
            <w:rPr>
              <w:rStyle w:val="26"/>
              <w:rFonts w:hint="eastAsia" w:ascii="黑体" w:hAnsi="黑体" w:eastAsia="黑体"/>
              <w:b/>
            </w:rPr>
            <w:t>一</w:t>
          </w:r>
          <w:r>
            <w:rPr>
              <w:rStyle w:val="26"/>
              <w:rFonts w:hint="eastAsia" w:ascii="黑体" w:hAnsi="黑体" w:eastAsia="黑体" w:cstheme="majorBidi"/>
              <w:bCs/>
            </w:rPr>
            <w:t>般公共预算财政拨款基本支出决算情况说明</w:t>
          </w:r>
          <w:r>
            <w:tab/>
          </w:r>
          <w:r>
            <w:fldChar w:fldCharType="begin"/>
          </w:r>
          <w:r>
            <w:instrText xml:space="preserve"> PAGEREF _Toc144282021 \h </w:instrText>
          </w:r>
          <w:r>
            <w:fldChar w:fldCharType="separate"/>
          </w:r>
          <w:r>
            <w:t>11</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"_Toc144282022" </w:instrText>
          </w:r>
          <w:r>
            <w:fldChar w:fldCharType="separate"/>
          </w:r>
          <w:r>
            <w:rPr>
              <w:rStyle w:val="26"/>
              <w:rFonts w:hint="eastAsia" w:ascii="黑体" w:eastAsia="黑体"/>
            </w:rPr>
            <w:t>七、</w:t>
          </w:r>
          <w:r>
            <w:rPr>
              <w:rStyle w:val="26"/>
              <w:rFonts w:hint="eastAsia" w:ascii="黑体" w:hAnsi="黑体" w:eastAsia="黑体" w:cstheme="majorBidi"/>
              <w:bCs/>
            </w:rPr>
            <w:t>财政拨款</w:t>
          </w:r>
          <w:r>
            <w:rPr>
              <w:rStyle w:val="26"/>
              <w:rFonts w:ascii="黑体" w:hAnsi="黑体" w:eastAsia="黑体" w:cstheme="majorBidi"/>
              <w:b/>
              <w:bCs/>
            </w:rPr>
            <w:t>“</w:t>
          </w:r>
          <w:r>
            <w:rPr>
              <w:rStyle w:val="26"/>
              <w:rFonts w:hint="eastAsia" w:ascii="黑体" w:hAnsi="黑体" w:eastAsia="黑体" w:cstheme="majorBidi"/>
              <w:bCs/>
            </w:rPr>
            <w:t>三公”经费支出决算情况说明</w:t>
          </w:r>
          <w:r>
            <w:tab/>
          </w:r>
          <w:r>
            <w:fldChar w:fldCharType="begin"/>
          </w:r>
          <w:r>
            <w:instrText xml:space="preserve"> PAGEREF _Toc144282022 \h </w:instrText>
          </w:r>
          <w:r>
            <w:fldChar w:fldCharType="separate"/>
          </w:r>
          <w:r>
            <w:t>12</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"_Toc144282025" </w:instrText>
          </w:r>
          <w:r>
            <w:fldChar w:fldCharType="separate"/>
          </w:r>
          <w:r>
            <w:rPr>
              <w:rStyle w:val="26"/>
              <w:rFonts w:hint="eastAsia" w:ascii="黑体" w:eastAsia="黑体"/>
            </w:rPr>
            <w:t>八、</w:t>
          </w:r>
          <w:r>
            <w:rPr>
              <w:rStyle w:val="26"/>
              <w:rFonts w:hint="eastAsia" w:ascii="黑体" w:hAnsi="黑体" w:eastAsia="黑体" w:cstheme="majorBidi"/>
              <w:bCs/>
            </w:rPr>
            <w:t>政府性基金预算支出决算情况说明</w:t>
          </w:r>
          <w:r>
            <w:tab/>
          </w:r>
          <w:r>
            <w:fldChar w:fldCharType="begin"/>
          </w:r>
          <w:r>
            <w:instrText xml:space="preserve"> PAGEREF _Toc144282025 \h </w:instrText>
          </w:r>
          <w:r>
            <w:fldChar w:fldCharType="separate"/>
          </w:r>
          <w:r>
            <w:t>14</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"_Toc144282026" </w:instrText>
          </w:r>
          <w:r>
            <w:fldChar w:fldCharType="separate"/>
          </w:r>
          <w:r>
            <w:rPr>
              <w:rStyle w:val="26"/>
              <w:rFonts w:hint="eastAsia" w:ascii="黑体" w:hAnsi="黑体" w:eastAsia="黑体" w:cstheme="majorBidi"/>
              <w:bCs/>
            </w:rPr>
            <w:t>九、 国有资本经营预算支出决算情况说明</w:t>
          </w:r>
          <w:r>
            <w:tab/>
          </w:r>
          <w:r>
            <w:fldChar w:fldCharType="begin"/>
          </w:r>
          <w:r>
            <w:instrText xml:space="preserve"> PAGEREF _Toc144282026 \h </w:instrText>
          </w:r>
          <w:r>
            <w:fldChar w:fldCharType="separate"/>
          </w:r>
          <w:r>
            <w:t>14</w:t>
          </w:r>
          <w:r>
            <w:fldChar w:fldCharType="end"/>
          </w:r>
          <w:r>
            <w:fldChar w:fldCharType="end"/>
          </w:r>
        </w:p>
        <w:p>
          <w:pPr>
            <w:pStyle w:val="18"/>
            <w:rPr>
              <w:rFonts w:asciiTheme="minorHAnsi" w:hAnsiTheme="minorHAnsi" w:eastAsiaTheme="minorEastAsia" w:cstheme="minorBidi"/>
              <w:szCs w:val="22"/>
            </w:rPr>
          </w:pPr>
          <w:r>
            <w:fldChar w:fldCharType="begin"/>
          </w:r>
          <w:r>
            <w:instrText xml:space="preserve"> HYPERLINK \l "_Toc144282027" </w:instrText>
          </w:r>
          <w:r>
            <w:fldChar w:fldCharType="separate"/>
          </w:r>
          <w:r>
            <w:rPr>
              <w:rStyle w:val="26"/>
              <w:rFonts w:hint="eastAsia" w:ascii="黑体" w:hAnsi="黑体" w:eastAsia="黑体" w:cstheme="majorBidi"/>
              <w:bCs/>
            </w:rPr>
            <w:t>十、 其他重要事项的情况说明</w:t>
          </w:r>
          <w:r>
            <w:tab/>
          </w:r>
          <w:r>
            <w:fldChar w:fldCharType="begin"/>
          </w:r>
          <w:r>
            <w:instrText xml:space="preserve"> PAGEREF _Toc144282027 \h </w:instrText>
          </w:r>
          <w:r>
            <w:fldChar w:fldCharType="separate"/>
          </w:r>
          <w:r>
            <w:t>14</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"_Toc144282032" </w:instrText>
          </w:r>
          <w:r>
            <w:fldChar w:fldCharType="separate"/>
          </w:r>
          <w:r>
            <w:rPr>
              <w:rStyle w:val="26"/>
              <w:rFonts w:hint="eastAsia" w:ascii="黑体" w:hAnsi="黑体" w:eastAsia="黑体"/>
              <w:bCs/>
              <w:kern w:val="44"/>
            </w:rPr>
            <w:t>第三部分</w:t>
          </w:r>
          <w:r>
            <w:rPr>
              <w:rStyle w:val="26"/>
              <w:rFonts w:hint="eastAsia" w:ascii="黑体" w:hAnsi="黑体" w:eastAsia="黑体"/>
            </w:rPr>
            <w:t xml:space="preserve"> 名</w:t>
          </w:r>
          <w:r>
            <w:rPr>
              <w:rStyle w:val="26"/>
              <w:rFonts w:hint="eastAsia" w:ascii="黑体" w:hAnsi="黑体" w:eastAsia="黑体"/>
              <w:bCs/>
              <w:kern w:val="44"/>
            </w:rPr>
            <w:t>词解释</w:t>
          </w:r>
          <w:r>
            <w:tab/>
          </w:r>
          <w:r>
            <w:fldChar w:fldCharType="begin"/>
          </w:r>
          <w:r>
            <w:instrText xml:space="preserve"> PAGEREF _Toc144282032 \h </w:instrText>
          </w:r>
          <w:r>
            <w:fldChar w:fldCharType="separate"/>
          </w:r>
          <w:r>
            <w:t>16</w:t>
          </w:r>
          <w:r>
            <w:fldChar w:fldCharType="end"/>
          </w:r>
          <w:r>
            <w:fldChar w:fldCharType="end"/>
          </w:r>
        </w:p>
        <w:p>
          <w:pPr>
            <w:pStyle w:val="15"/>
            <w:rPr>
              <w:rFonts w:asciiTheme="minorHAnsi" w:hAnsiTheme="minorHAnsi" w:eastAsiaTheme="minorEastAsia" w:cstheme="minorBidi"/>
              <w:sz w:val="21"/>
              <w:szCs w:val="22"/>
            </w:rPr>
          </w:pPr>
          <w:r>
            <w:fldChar w:fldCharType="begin"/>
          </w:r>
          <w:r>
            <w:instrText xml:space="preserve"> HYPERLINK \l "_Toc144282033" </w:instrText>
          </w:r>
          <w:r>
            <w:fldChar w:fldCharType="separate"/>
          </w:r>
          <w:r>
            <w:rPr>
              <w:rStyle w:val="26"/>
              <w:rFonts w:hint="eastAsia" w:ascii="黑体" w:hAnsi="黑体" w:eastAsia="黑体"/>
            </w:rPr>
            <w:t>第</w:t>
          </w:r>
          <w:r>
            <w:rPr>
              <w:rStyle w:val="26"/>
              <w:rFonts w:hint="eastAsia" w:ascii="黑体" w:hAnsi="黑体" w:eastAsia="黑体"/>
              <w:bCs/>
              <w:kern w:val="44"/>
            </w:rPr>
            <w:t>四部分</w:t>
          </w:r>
          <w:r>
            <w:rPr>
              <w:rStyle w:val="26"/>
              <w:rFonts w:ascii="黑体" w:hAnsi="黑体" w:eastAsia="黑体"/>
              <w:bCs/>
              <w:kern w:val="44"/>
            </w:rPr>
            <w:t xml:space="preserve"> </w:t>
          </w:r>
          <w:r>
            <w:rPr>
              <w:rStyle w:val="26"/>
              <w:rFonts w:hint="eastAsia" w:ascii="黑体" w:hAnsi="黑体" w:eastAsia="黑体"/>
              <w:bCs/>
              <w:kern w:val="44"/>
            </w:rPr>
            <w:t>附件</w:t>
          </w:r>
          <w:r>
            <w:tab/>
          </w:r>
          <w:r>
            <w:rPr>
              <w:rFonts w:hint="eastAsia"/>
            </w:rPr>
            <w:t>19</w:t>
          </w:r>
          <w:r>
            <w:rPr>
              <w:rFonts w:hint="eastAsia"/>
            </w:rPr>
            <w:fldChar w:fldCharType="end"/>
          </w:r>
        </w:p>
        <w:p>
          <w:r>
            <w:fldChar w:fldCharType="end"/>
          </w:r>
        </w:p>
      </w:sdtContent>
    </w:sdt>
    <w:p>
      <w:pPr>
        <w:pStyle w:val="3"/>
        <w:jc w:val="center"/>
        <w:rPr>
          <w:rFonts w:ascii="黑体" w:hAnsi="黑体" w:eastAsia="黑体"/>
          <w:bCs w:val="0"/>
        </w:rPr>
      </w:pPr>
      <w:bookmarkStart w:id="17" w:name="_Toc144281987"/>
      <w:r>
        <w:rPr>
          <w:rFonts w:hint="eastAsia" w:ascii="黑体" w:hAnsi="黑体" w:eastAsia="黑体"/>
          <w:b w:val="0"/>
        </w:rPr>
        <w:t xml:space="preserve">第一部分 </w:t>
      </w:r>
      <w:r>
        <w:rPr>
          <w:rStyle w:val="36"/>
          <w:rFonts w:hint="eastAsia" w:ascii="黑体" w:hAnsi="黑体" w:eastAsia="黑体"/>
          <w:b w:val="0"/>
          <w:bCs w:val="0"/>
        </w:rPr>
        <w:t>部门概况</w:t>
      </w:r>
      <w:bookmarkEnd w:id="15"/>
      <w:bookmarkEnd w:id="16"/>
      <w:bookmarkEnd w:id="17"/>
    </w:p>
    <w:p>
      <w:pPr>
        <w:pStyle w:val="4"/>
        <w:numPr>
          <w:ilvl w:val="0"/>
          <w:numId w:val="1"/>
        </w:numPr>
        <w:rPr>
          <w:rFonts w:hint="eastAsia" w:ascii="黑体" w:hAnsi="黑体" w:eastAsia="黑体"/>
          <w:b w:val="0"/>
        </w:rPr>
      </w:pPr>
      <w:bookmarkStart w:id="18" w:name="_Toc144281988"/>
      <w:r>
        <w:rPr>
          <w:rFonts w:hint="eastAsia" w:ascii="黑体" w:hAnsi="黑体" w:eastAsia="黑体"/>
          <w:b w:val="0"/>
        </w:rPr>
        <w:t>基本情况</w:t>
      </w:r>
      <w:bookmarkEnd w:id="18"/>
    </w:p>
    <w:p>
      <w:pPr>
        <w:rPr>
          <w:rFonts w:ascii="仿宋" w:hAnsi="仿宋" w:eastAsia="仿宋"/>
          <w:b/>
          <w:sz w:val="32"/>
          <w:szCs w:val="32"/>
        </w:rPr>
      </w:pPr>
      <w:r>
        <w:rPr>
          <w:rFonts w:hint="eastAsia" w:ascii="仿宋" w:hAnsi="仿宋" w:eastAsia="仿宋"/>
          <w:b/>
          <w:sz w:val="32"/>
          <w:szCs w:val="32"/>
        </w:rPr>
        <w:t>（一）部门职责</w:t>
      </w:r>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19" w:name="_Toc144281989"/>
      <w:r>
        <w:rPr>
          <w:rFonts w:hint="eastAsia" w:ascii="宋体" w:hAnsi="宋体" w:eastAsia="方正仿宋简体"/>
          <w:bCs/>
          <w:color w:val="000000"/>
          <w:sz w:val="33"/>
          <w:szCs w:val="33"/>
        </w:rPr>
        <w:t>1.</w:t>
      </w:r>
      <w:r>
        <w:rPr>
          <w:rFonts w:ascii="宋体" w:hAnsi="宋体" w:eastAsia="方正仿宋简体"/>
          <w:bCs/>
          <w:color w:val="000000"/>
          <w:sz w:val="33"/>
          <w:szCs w:val="33"/>
        </w:rPr>
        <w:t>负责机关内外的情况综合、上情下达和下情上报工作，为区人大常委会、主任会议和人大领导当好参谋，起好助手作用。</w:t>
      </w:r>
      <w:bookmarkEnd w:id="19"/>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0" w:name="_Toc144281990"/>
      <w:r>
        <w:rPr>
          <w:rFonts w:hint="eastAsia" w:ascii="宋体" w:hAnsi="宋体" w:eastAsia="方正仿宋简体"/>
          <w:bCs/>
          <w:color w:val="000000"/>
          <w:sz w:val="33"/>
          <w:szCs w:val="33"/>
        </w:rPr>
        <w:t>2.</w:t>
      </w:r>
      <w:r>
        <w:rPr>
          <w:rFonts w:ascii="宋体" w:hAnsi="宋体" w:eastAsia="方正仿宋简体"/>
          <w:bCs/>
          <w:color w:val="000000"/>
          <w:sz w:val="33"/>
          <w:szCs w:val="33"/>
        </w:rPr>
        <w:t>负责人代会、人大常委会、人大主任会和党组会议及其他会议的会务工作和后勤保障工作。</w:t>
      </w:r>
      <w:bookmarkEnd w:id="20"/>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1" w:name="_Toc144281991"/>
      <w:r>
        <w:rPr>
          <w:rFonts w:hint="eastAsia" w:ascii="宋体" w:hAnsi="宋体" w:eastAsia="方正仿宋简体"/>
          <w:bCs/>
          <w:color w:val="000000"/>
          <w:sz w:val="33"/>
          <w:szCs w:val="33"/>
        </w:rPr>
        <w:t>3.</w:t>
      </w:r>
      <w:r>
        <w:rPr>
          <w:rFonts w:ascii="宋体" w:hAnsi="宋体" w:eastAsia="方正仿宋简体"/>
          <w:bCs/>
          <w:color w:val="000000"/>
          <w:sz w:val="33"/>
          <w:szCs w:val="33"/>
        </w:rPr>
        <w:t>负责区人大常委会及其办公室文件、报告和领导讲话稿的起草、核稿和制发工作，负责人大常委会《公报》、《人大工作》和文件资料汇编等编印工作。</w:t>
      </w:r>
      <w:bookmarkEnd w:id="21"/>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2" w:name="_Toc144281992"/>
      <w:r>
        <w:rPr>
          <w:rFonts w:hint="eastAsia" w:ascii="宋体" w:hAnsi="宋体" w:eastAsia="方正仿宋简体"/>
          <w:bCs/>
          <w:color w:val="000000"/>
          <w:sz w:val="33"/>
          <w:szCs w:val="33"/>
        </w:rPr>
        <w:t>4.</w:t>
      </w:r>
      <w:r>
        <w:rPr>
          <w:rFonts w:ascii="宋体" w:hAnsi="宋体" w:eastAsia="方正仿宋简体"/>
          <w:bCs/>
          <w:color w:val="000000"/>
          <w:sz w:val="33"/>
          <w:szCs w:val="33"/>
        </w:rPr>
        <w:t>负责文件资料的打印、收发、传阅、清退工作；负责机关文书的立卷、归档和印鉴使用、保管及保密工作。</w:t>
      </w:r>
      <w:bookmarkEnd w:id="22"/>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3" w:name="_Toc144281993"/>
      <w:r>
        <w:rPr>
          <w:rFonts w:hint="eastAsia" w:ascii="宋体" w:hAnsi="宋体" w:eastAsia="方正仿宋简体"/>
          <w:bCs/>
          <w:color w:val="000000"/>
          <w:sz w:val="33"/>
          <w:szCs w:val="33"/>
        </w:rPr>
        <w:t>5.</w:t>
      </w:r>
      <w:r>
        <w:rPr>
          <w:rFonts w:ascii="宋体" w:hAnsi="宋体" w:eastAsia="方正仿宋简体"/>
          <w:bCs/>
          <w:color w:val="000000"/>
          <w:sz w:val="33"/>
          <w:szCs w:val="33"/>
        </w:rPr>
        <w:t>负责机关财务、工资调整、财产管理和工资福利、养老保险、慰问生病住院职工和医药费管理等。</w:t>
      </w:r>
      <w:bookmarkEnd w:id="23"/>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4" w:name="_Toc144281994"/>
      <w:r>
        <w:rPr>
          <w:rFonts w:hint="eastAsia" w:ascii="宋体" w:hAnsi="宋体" w:eastAsia="方正仿宋简体"/>
          <w:bCs/>
          <w:color w:val="000000"/>
          <w:sz w:val="33"/>
          <w:szCs w:val="33"/>
        </w:rPr>
        <w:t>6.</w:t>
      </w:r>
      <w:r>
        <w:rPr>
          <w:rFonts w:ascii="宋体" w:hAnsi="宋体" w:eastAsia="方正仿宋简体"/>
          <w:bCs/>
          <w:color w:val="000000"/>
          <w:sz w:val="33"/>
          <w:szCs w:val="33"/>
        </w:rPr>
        <w:t>负责机关的车辆调度和管理。</w:t>
      </w:r>
      <w:bookmarkEnd w:id="24"/>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5" w:name="_Toc144281995"/>
      <w:r>
        <w:rPr>
          <w:rFonts w:hint="eastAsia" w:ascii="宋体" w:hAnsi="宋体" w:eastAsia="方正仿宋简体"/>
          <w:bCs/>
          <w:color w:val="000000"/>
          <w:sz w:val="33"/>
          <w:szCs w:val="33"/>
        </w:rPr>
        <w:t>7.</w:t>
      </w:r>
      <w:r>
        <w:rPr>
          <w:rFonts w:ascii="宋体" w:hAnsi="宋体" w:eastAsia="方正仿宋简体"/>
          <w:bCs/>
          <w:color w:val="000000"/>
          <w:sz w:val="33"/>
          <w:szCs w:val="33"/>
        </w:rPr>
        <w:t>负责机关的报纸、杂志的征订、分发、信件收发和图书、报刊的管理工作。</w:t>
      </w:r>
      <w:bookmarkEnd w:id="25"/>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6" w:name="_Toc144281996"/>
      <w:r>
        <w:rPr>
          <w:rFonts w:hint="eastAsia" w:ascii="宋体" w:hAnsi="宋体" w:eastAsia="方正仿宋简体"/>
          <w:bCs/>
          <w:color w:val="000000"/>
          <w:sz w:val="33"/>
          <w:szCs w:val="33"/>
        </w:rPr>
        <w:t>8.</w:t>
      </w:r>
      <w:r>
        <w:rPr>
          <w:rFonts w:ascii="宋体" w:hAnsi="宋体" w:eastAsia="方正仿宋简体"/>
          <w:bCs/>
          <w:color w:val="000000"/>
          <w:sz w:val="33"/>
          <w:szCs w:val="33"/>
        </w:rPr>
        <w:t>负责机关治安保卫、园林绿化、环境卫生、计划生育等行政管理和精神文明建设工作。</w:t>
      </w:r>
      <w:bookmarkEnd w:id="26"/>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7" w:name="_Toc144281997"/>
      <w:r>
        <w:rPr>
          <w:rFonts w:hint="eastAsia" w:ascii="宋体" w:hAnsi="宋体" w:eastAsia="方正仿宋简体"/>
          <w:bCs/>
          <w:color w:val="000000"/>
          <w:sz w:val="33"/>
          <w:szCs w:val="33"/>
        </w:rPr>
        <w:t>9.</w:t>
      </w:r>
      <w:r>
        <w:rPr>
          <w:rFonts w:ascii="宋体" w:hAnsi="宋体" w:eastAsia="方正仿宋简体"/>
          <w:bCs/>
          <w:color w:val="000000"/>
          <w:sz w:val="33"/>
          <w:szCs w:val="33"/>
        </w:rPr>
        <w:t>负责与省、资阳市人大常委会和兄弟市、县（区）人大常管委会办公室（厅）及雁江区委、区政府、区政协、区法院、区检察院办公室的联系和信访机构的联系、互通情报、交换资料。</w:t>
      </w:r>
      <w:bookmarkEnd w:id="27"/>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8" w:name="_Toc144281998"/>
      <w:r>
        <w:rPr>
          <w:rFonts w:hint="eastAsia" w:ascii="宋体" w:hAnsi="宋体" w:eastAsia="方正仿宋简体"/>
          <w:bCs/>
          <w:color w:val="000000"/>
          <w:sz w:val="33"/>
          <w:szCs w:val="33"/>
        </w:rPr>
        <w:t>10.</w:t>
      </w:r>
      <w:r>
        <w:rPr>
          <w:rFonts w:ascii="宋体" w:hAnsi="宋体" w:eastAsia="方正仿宋简体"/>
          <w:bCs/>
          <w:color w:val="000000"/>
          <w:sz w:val="33"/>
          <w:szCs w:val="33"/>
        </w:rPr>
        <w:t>负责</w:t>
      </w:r>
      <w:r>
        <w:rPr>
          <w:rFonts w:hint="eastAsia" w:ascii="宋体" w:hAnsi="宋体" w:eastAsia="方正仿宋简体"/>
          <w:bCs/>
          <w:color w:val="000000"/>
          <w:sz w:val="33"/>
          <w:szCs w:val="33"/>
          <w:lang w:eastAsia="zh-CN"/>
        </w:rPr>
        <w:t>人大常委会机关</w:t>
      </w:r>
      <w:r>
        <w:rPr>
          <w:rFonts w:ascii="宋体" w:hAnsi="宋体" w:eastAsia="方正仿宋简体"/>
          <w:bCs/>
          <w:color w:val="000000"/>
          <w:sz w:val="33"/>
          <w:szCs w:val="33"/>
        </w:rPr>
        <w:t>的政治学习和对外宣传工作。</w:t>
      </w:r>
      <w:bookmarkEnd w:id="28"/>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29" w:name="_Toc144281999"/>
      <w:r>
        <w:rPr>
          <w:rFonts w:hint="eastAsia" w:ascii="宋体" w:hAnsi="宋体" w:eastAsia="方正仿宋简体"/>
          <w:bCs/>
          <w:color w:val="000000"/>
          <w:sz w:val="33"/>
          <w:szCs w:val="33"/>
        </w:rPr>
        <w:t>11.</w:t>
      </w:r>
      <w:r>
        <w:rPr>
          <w:rFonts w:ascii="宋体" w:hAnsi="宋体" w:eastAsia="方正仿宋简体"/>
          <w:bCs/>
          <w:color w:val="000000"/>
          <w:sz w:val="33"/>
          <w:szCs w:val="33"/>
        </w:rPr>
        <w:t>受理和接待群众来信来访，认真做好信访登记，自办、转办、催办和督办工作。</w:t>
      </w:r>
      <w:bookmarkEnd w:id="29"/>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0" w:name="_Toc144282000"/>
      <w:r>
        <w:rPr>
          <w:rFonts w:hint="eastAsia" w:ascii="宋体" w:hAnsi="宋体" w:eastAsia="方正仿宋简体"/>
          <w:bCs/>
          <w:color w:val="000000"/>
          <w:sz w:val="33"/>
          <w:szCs w:val="33"/>
        </w:rPr>
        <w:t>12.</w:t>
      </w:r>
      <w:r>
        <w:rPr>
          <w:rFonts w:ascii="宋体" w:hAnsi="宋体" w:eastAsia="方正仿宋简体"/>
          <w:bCs/>
          <w:color w:val="000000"/>
          <w:sz w:val="33"/>
          <w:szCs w:val="33"/>
        </w:rPr>
        <w:t>办理上级机关和领导转办、交办的信访案件。</w:t>
      </w:r>
      <w:bookmarkEnd w:id="30"/>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1" w:name="_Toc144282001"/>
      <w:r>
        <w:rPr>
          <w:rFonts w:hint="eastAsia" w:ascii="宋体" w:hAnsi="宋体" w:eastAsia="方正仿宋简体"/>
          <w:bCs/>
          <w:color w:val="000000"/>
          <w:sz w:val="33"/>
          <w:szCs w:val="33"/>
        </w:rPr>
        <w:t>13.</w:t>
      </w:r>
      <w:r>
        <w:rPr>
          <w:rFonts w:ascii="宋体" w:hAnsi="宋体" w:eastAsia="方正仿宋简体"/>
          <w:bCs/>
          <w:color w:val="000000"/>
          <w:sz w:val="33"/>
          <w:szCs w:val="33"/>
        </w:rPr>
        <w:t>加强调查研究，按季度分析信访动态，摘报重要信息，及时向有关部门和领导提供重要来信来访情况。</w:t>
      </w:r>
      <w:bookmarkEnd w:id="31"/>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2" w:name="_Toc144282002"/>
      <w:r>
        <w:rPr>
          <w:rFonts w:hint="eastAsia" w:ascii="宋体" w:hAnsi="宋体" w:eastAsia="方正仿宋简体"/>
          <w:bCs/>
          <w:color w:val="000000"/>
          <w:sz w:val="33"/>
          <w:szCs w:val="33"/>
        </w:rPr>
        <w:t>14.</w:t>
      </w:r>
      <w:r>
        <w:rPr>
          <w:rFonts w:ascii="宋体" w:hAnsi="宋体" w:eastAsia="方正仿宋简体"/>
          <w:bCs/>
          <w:color w:val="000000"/>
          <w:sz w:val="33"/>
          <w:szCs w:val="33"/>
        </w:rPr>
        <w:t>负责信访文书立卷归档和保密工作，做好保护公民民主权利的有关工作。</w:t>
      </w:r>
      <w:bookmarkEnd w:id="32"/>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3" w:name="_Toc144282003"/>
      <w:r>
        <w:rPr>
          <w:rFonts w:hint="eastAsia" w:ascii="宋体" w:hAnsi="宋体" w:eastAsia="方正仿宋简体"/>
          <w:bCs/>
          <w:color w:val="000000"/>
          <w:sz w:val="33"/>
          <w:szCs w:val="33"/>
        </w:rPr>
        <w:t>15.</w:t>
      </w:r>
      <w:r>
        <w:rPr>
          <w:rFonts w:ascii="宋体" w:hAnsi="宋体" w:eastAsia="方正仿宋简体"/>
          <w:bCs/>
          <w:color w:val="000000"/>
          <w:sz w:val="33"/>
          <w:szCs w:val="33"/>
        </w:rPr>
        <w:t>负责政务接洽和来客接待工作。</w:t>
      </w:r>
      <w:bookmarkEnd w:id="33"/>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4" w:name="_Toc144282004"/>
      <w:r>
        <w:rPr>
          <w:rFonts w:hint="eastAsia" w:ascii="宋体" w:hAnsi="宋体" w:eastAsia="方正仿宋简体"/>
          <w:bCs/>
          <w:color w:val="000000"/>
          <w:sz w:val="33"/>
          <w:szCs w:val="33"/>
        </w:rPr>
        <w:t>16.</w:t>
      </w:r>
      <w:r>
        <w:rPr>
          <w:rFonts w:ascii="宋体" w:hAnsi="宋体" w:eastAsia="方正仿宋简体"/>
          <w:bCs/>
          <w:color w:val="000000"/>
          <w:sz w:val="33"/>
          <w:szCs w:val="33"/>
        </w:rPr>
        <w:t>会同人大其他委、室做好代表选举、人大任命干部和“一府两院”的述职述评、工作评议以及有关部门干部培训考试工作。做好离退休干部管理的有关工作。</w:t>
      </w:r>
      <w:bookmarkEnd w:id="34"/>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5" w:name="_Toc144282005"/>
      <w:r>
        <w:rPr>
          <w:rFonts w:hint="eastAsia" w:ascii="宋体" w:hAnsi="宋体" w:eastAsia="方正仿宋简体"/>
          <w:bCs/>
          <w:color w:val="000000"/>
          <w:sz w:val="33"/>
          <w:szCs w:val="33"/>
        </w:rPr>
        <w:t>17.</w:t>
      </w:r>
      <w:r>
        <w:rPr>
          <w:rFonts w:ascii="宋体" w:hAnsi="宋体" w:eastAsia="方正仿宋简体"/>
          <w:bCs/>
          <w:color w:val="000000"/>
          <w:sz w:val="33"/>
          <w:szCs w:val="33"/>
        </w:rPr>
        <w:t>承办人大常委会、主任会、党组会和人大领导交办的其他事项。</w:t>
      </w:r>
      <w:bookmarkEnd w:id="35"/>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6" w:name="_Toc144282006"/>
      <w:r>
        <w:rPr>
          <w:rFonts w:hint="eastAsia" w:ascii="宋体" w:hAnsi="宋体" w:eastAsia="方正仿宋简体"/>
          <w:bCs/>
          <w:color w:val="000000"/>
          <w:sz w:val="33"/>
          <w:szCs w:val="33"/>
        </w:rPr>
        <w:t>18.</w:t>
      </w:r>
      <w:r>
        <w:rPr>
          <w:rFonts w:ascii="宋体" w:hAnsi="宋体" w:eastAsia="方正仿宋简体"/>
          <w:bCs/>
          <w:color w:val="000000"/>
          <w:sz w:val="33"/>
          <w:szCs w:val="33"/>
        </w:rPr>
        <w:t>加强同区人民政府所属的民族宗教、侨务、台办部门的工作联系，根据工作需要，向他们了解和听取有关工作情况，参加他们的有关会议。</w:t>
      </w:r>
      <w:bookmarkEnd w:id="36"/>
    </w:p>
    <w:p>
      <w:pPr>
        <w:pStyle w:val="2"/>
        <w:adjustRightInd w:val="0"/>
        <w:snapToGrid w:val="0"/>
        <w:spacing w:beforeLines="0" w:line="578" w:lineRule="exact"/>
        <w:ind w:firstLine="693" w:firstLineChars="210"/>
        <w:outlineLvl w:val="2"/>
        <w:rPr>
          <w:rFonts w:ascii="宋体" w:hAnsi="宋体" w:eastAsia="方正仿宋简体"/>
          <w:bCs/>
          <w:color w:val="000000"/>
          <w:sz w:val="33"/>
          <w:szCs w:val="33"/>
        </w:rPr>
      </w:pPr>
      <w:bookmarkStart w:id="37" w:name="_Toc144282007"/>
      <w:r>
        <w:rPr>
          <w:rFonts w:hint="eastAsia" w:ascii="宋体" w:hAnsi="宋体" w:eastAsia="方正仿宋简体"/>
          <w:bCs/>
          <w:color w:val="000000"/>
          <w:sz w:val="33"/>
          <w:szCs w:val="33"/>
        </w:rPr>
        <w:t>19.</w:t>
      </w:r>
      <w:r>
        <w:rPr>
          <w:rFonts w:ascii="宋体" w:hAnsi="宋体" w:eastAsia="方正仿宋简体"/>
          <w:bCs/>
          <w:color w:val="000000"/>
          <w:sz w:val="33"/>
          <w:szCs w:val="33"/>
        </w:rPr>
        <w:t>加强人民代表大会制度的研究，为人大及其常委会行使职权服务。</w:t>
      </w:r>
      <w:bookmarkEnd w:id="37"/>
    </w:p>
    <w:p>
      <w:pPr>
        <w:pStyle w:val="4"/>
        <w:rPr>
          <w:rFonts w:ascii="仿宋" w:hAnsi="仿宋" w:eastAsia="仿宋" w:cs="Times New Roman"/>
          <w:b w:val="0"/>
        </w:rPr>
      </w:pPr>
      <w:bookmarkStart w:id="38" w:name="_Toc144282008"/>
      <w:r>
        <w:rPr>
          <w:rFonts w:hint="eastAsia" w:ascii="仿宋" w:hAnsi="仿宋" w:eastAsia="仿宋" w:cs="Times New Roman"/>
          <w:bCs w:val="0"/>
        </w:rPr>
        <w:t>（二）机构设置</w:t>
      </w:r>
      <w:bookmarkEnd w:id="38"/>
    </w:p>
    <w:p>
      <w:pPr>
        <w:spacing w:line="578" w:lineRule="exact"/>
        <w:ind w:firstLine="660" w:firstLineChars="200"/>
        <w:rPr>
          <w:rFonts w:ascii="宋体" w:hAnsi="宋体" w:eastAsia="方正仿宋简体"/>
          <w:sz w:val="33"/>
          <w:szCs w:val="33"/>
        </w:rPr>
      </w:pPr>
      <w:r>
        <w:rPr>
          <w:rFonts w:ascii="宋体" w:hAnsi="宋体" w:eastAsia="方正仿宋简体"/>
          <w:sz w:val="33"/>
          <w:szCs w:val="33"/>
        </w:rPr>
        <w:t>资阳市雁江区人大常委会办公室属一级预算单位，下属预算单位0个，其中行政单位0个，参照公务员法管理的事业单位</w:t>
      </w:r>
      <w:r>
        <w:rPr>
          <w:rFonts w:ascii="宋体" w:hAnsi="宋体" w:eastAsia="方正仿宋简体"/>
          <w:bCs/>
          <w:sz w:val="33"/>
          <w:szCs w:val="33"/>
        </w:rPr>
        <w:t>0</w:t>
      </w:r>
      <w:r>
        <w:rPr>
          <w:rFonts w:ascii="宋体" w:hAnsi="宋体" w:eastAsia="方正仿宋简体"/>
          <w:sz w:val="33"/>
          <w:szCs w:val="33"/>
        </w:rPr>
        <w:t>个，其他事业单位0个。</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Fonts w:ascii="黑体" w:hAnsi="黑体" w:eastAsia="黑体"/>
          <w:b w:val="0"/>
        </w:rPr>
      </w:pPr>
      <w:bookmarkStart w:id="39" w:name="_Toc144282009"/>
      <w:bookmarkStart w:id="40" w:name="_Toc15396602"/>
      <w:bookmarkStart w:id="41" w:name="_Toc15377204"/>
      <w:r>
        <w:rPr>
          <w:rFonts w:hint="eastAsia" w:ascii="黑体" w:hAnsi="黑体" w:eastAsia="黑体"/>
          <w:b w:val="0"/>
        </w:rPr>
        <w:t>第二部分 2022年度</w:t>
      </w:r>
      <w:r>
        <w:rPr>
          <w:rStyle w:val="36"/>
          <w:rFonts w:hint="eastAsia" w:ascii="黑体" w:hAnsi="黑体" w:eastAsia="黑体"/>
          <w:b w:val="0"/>
          <w:bCs/>
        </w:rPr>
        <w:t>部门决算情况说明</w:t>
      </w:r>
      <w:bookmarkEnd w:id="39"/>
      <w:bookmarkEnd w:id="40"/>
      <w:bookmarkEnd w:id="41"/>
    </w:p>
    <w:p>
      <w:pPr>
        <w:pStyle w:val="35"/>
        <w:numPr>
          <w:ilvl w:val="0"/>
          <w:numId w:val="2"/>
        </w:numPr>
        <w:spacing w:line="600" w:lineRule="exact"/>
        <w:ind w:firstLineChars="0"/>
        <w:outlineLvl w:val="1"/>
        <w:rPr>
          <w:rStyle w:val="37"/>
          <w:rFonts w:ascii="黑体" w:hAnsi="黑体" w:eastAsia="黑体"/>
          <w:b w:val="0"/>
        </w:rPr>
      </w:pPr>
      <w:bookmarkStart w:id="42" w:name="_Toc144282010"/>
      <w:bookmarkStart w:id="43" w:name="_Toc15377205"/>
      <w:bookmarkStart w:id="44" w:name="_Toc15396603"/>
      <w:r>
        <w:rPr>
          <w:rFonts w:hint="eastAsia" w:ascii="黑体" w:hAnsi="黑体" w:eastAsia="黑体"/>
          <w:sz w:val="32"/>
          <w:szCs w:val="32"/>
        </w:rPr>
        <w:t>收</w:t>
      </w:r>
      <w:r>
        <w:rPr>
          <w:rStyle w:val="37"/>
          <w:rFonts w:hint="eastAsia" w:ascii="黑体" w:hAnsi="黑体" w:eastAsia="黑体"/>
          <w:b w:val="0"/>
        </w:rPr>
        <w:t>入支出决算总体情况说明</w:t>
      </w:r>
      <w:bookmarkEnd w:id="42"/>
      <w:bookmarkEnd w:id="43"/>
      <w:bookmarkEnd w:id="44"/>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2022年度收、支总计1257.54万元（包含年初结转结余）。与2021年相比，收、支总计各减少482.21万元，下降27.72</w:t>
      </w:r>
      <w:r>
        <w:rPr>
          <w:rFonts w:ascii="仿宋" w:hAnsi="仿宋" w:eastAsia="仿宋"/>
          <w:sz w:val="32"/>
          <w:szCs w:val="32"/>
        </w:rPr>
        <w:t>%</w:t>
      </w:r>
      <w:r>
        <w:rPr>
          <w:rFonts w:hint="eastAsia" w:ascii="仿宋" w:hAnsi="仿宋" w:eastAsia="仿宋"/>
          <w:sz w:val="32"/>
          <w:szCs w:val="32"/>
        </w:rPr>
        <w:t>。主要变动原因是本年无换届选举工作经费。</w:t>
      </w:r>
    </w:p>
    <w:p>
      <w:pPr>
        <w:pStyle w:val="2"/>
        <w:spacing w:before="93"/>
      </w:pPr>
      <w: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5"/>
        <w:numPr>
          <w:ilvl w:val="0"/>
          <w:numId w:val="2"/>
        </w:numPr>
        <w:spacing w:line="600" w:lineRule="exact"/>
        <w:ind w:firstLineChars="0"/>
        <w:outlineLvl w:val="1"/>
        <w:rPr>
          <w:rStyle w:val="37"/>
          <w:rFonts w:ascii="黑体" w:hAnsi="黑体" w:eastAsia="黑体"/>
          <w:b w:val="0"/>
        </w:rPr>
      </w:pPr>
      <w:bookmarkStart w:id="45" w:name="_Toc15396604"/>
      <w:bookmarkStart w:id="46" w:name="_Toc144282011"/>
      <w:bookmarkStart w:id="47" w:name="_Toc15377206"/>
      <w:r>
        <w:rPr>
          <w:rFonts w:hint="eastAsia" w:ascii="黑体" w:hAnsi="黑体" w:eastAsia="黑体"/>
          <w:sz w:val="32"/>
          <w:szCs w:val="32"/>
        </w:rPr>
        <w:t>收</w:t>
      </w:r>
      <w:r>
        <w:rPr>
          <w:rStyle w:val="37"/>
          <w:rFonts w:hint="eastAsia" w:ascii="黑体" w:hAnsi="黑体" w:eastAsia="黑体"/>
          <w:b w:val="0"/>
        </w:rPr>
        <w:t>入决算情况说明</w:t>
      </w:r>
      <w:bookmarkEnd w:id="45"/>
      <w:bookmarkEnd w:id="46"/>
      <w:bookmarkEnd w:id="47"/>
    </w:p>
    <w:p>
      <w:pPr>
        <w:spacing w:line="600" w:lineRule="exact"/>
        <w:ind w:firstLine="640" w:firstLineChars="200"/>
        <w:outlineLvl w:val="1"/>
        <w:rPr>
          <w:rFonts w:ascii="仿宋" w:hAnsi="仿宋" w:eastAsia="仿宋"/>
          <w:sz w:val="32"/>
          <w:szCs w:val="32"/>
        </w:rPr>
      </w:pPr>
      <w:bookmarkStart w:id="48" w:name="_Toc144282012"/>
      <w:r>
        <w:rPr>
          <w:rFonts w:ascii="仿宋" w:hAnsi="仿宋" w:eastAsia="仿宋"/>
          <w:sz w:val="32"/>
          <w:szCs w:val="32"/>
        </w:rPr>
        <w:t>20</w:t>
      </w:r>
      <w:r>
        <w:rPr>
          <w:rFonts w:hint="eastAsia" w:ascii="仿宋" w:hAnsi="仿宋" w:eastAsia="仿宋"/>
          <w:sz w:val="32"/>
          <w:szCs w:val="32"/>
        </w:rPr>
        <w:t>22年本年收入合计1221.92万元，其中：一般公共预算财政拨款收入1221.92万元，占100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48"/>
    </w:p>
    <w:p>
      <w:pPr>
        <w:spacing w:line="600" w:lineRule="exact"/>
        <w:ind w:firstLine="643" w:firstLineChars="200"/>
        <w:outlineLvl w:val="1"/>
        <w:rPr>
          <w:rFonts w:ascii="仿宋" w:hAnsi="仿宋" w:eastAsia="仿宋"/>
          <w:b/>
          <w:sz w:val="32"/>
          <w:szCs w:val="32"/>
        </w:rPr>
      </w:pP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_GB2312" w:eastAsia="仿宋_GB2312"/>
          <w:sz w:val="32"/>
          <w:szCs w:val="32"/>
        </w:rPr>
      </w:pPr>
    </w:p>
    <w:p>
      <w:pPr>
        <w:pStyle w:val="2"/>
        <w:spacing w:before="93"/>
      </w:pPr>
      <w:r>
        <w:drawing>
          <wp:inline distT="0" distB="0" distL="0" distR="0">
            <wp:extent cx="4572000" cy="2743200"/>
            <wp:effectExtent l="19050" t="0" r="19050" b="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5"/>
        <w:numPr>
          <w:ilvl w:val="0"/>
          <w:numId w:val="2"/>
        </w:numPr>
        <w:spacing w:line="600" w:lineRule="exact"/>
        <w:ind w:firstLineChars="0"/>
        <w:outlineLvl w:val="1"/>
        <w:rPr>
          <w:rStyle w:val="37"/>
          <w:rFonts w:ascii="黑体" w:hAnsi="黑体" w:eastAsia="黑体"/>
          <w:b w:val="0"/>
        </w:rPr>
      </w:pPr>
      <w:bookmarkStart w:id="49" w:name="_Toc15396605"/>
      <w:bookmarkStart w:id="50" w:name="_Toc15377207"/>
      <w:bookmarkStart w:id="51" w:name="_Toc144282013"/>
      <w:r>
        <w:rPr>
          <w:rFonts w:hint="eastAsia" w:ascii="黑体" w:hAnsi="黑体" w:eastAsia="黑体"/>
          <w:sz w:val="32"/>
          <w:szCs w:val="32"/>
        </w:rPr>
        <w:t>支</w:t>
      </w:r>
      <w:r>
        <w:rPr>
          <w:rStyle w:val="37"/>
          <w:rFonts w:hint="eastAsia" w:ascii="黑体" w:hAnsi="黑体" w:eastAsia="黑体"/>
          <w:b w:val="0"/>
        </w:rPr>
        <w:t>出决算情况说明</w:t>
      </w:r>
      <w:bookmarkEnd w:id="49"/>
      <w:bookmarkEnd w:id="50"/>
      <w:bookmarkEnd w:id="51"/>
    </w:p>
    <w:p>
      <w:pPr>
        <w:spacing w:line="600" w:lineRule="exact"/>
        <w:ind w:firstLine="640" w:firstLineChars="200"/>
        <w:outlineLvl w:val="1"/>
        <w:rPr>
          <w:rFonts w:ascii="仿宋" w:hAnsi="仿宋" w:eastAsia="仿宋"/>
          <w:sz w:val="32"/>
          <w:szCs w:val="32"/>
        </w:rPr>
      </w:pPr>
      <w:bookmarkStart w:id="52" w:name="_Toc144282014"/>
      <w:r>
        <w:rPr>
          <w:rFonts w:ascii="仿宋" w:hAnsi="仿宋" w:eastAsia="仿宋"/>
          <w:sz w:val="32"/>
          <w:szCs w:val="32"/>
        </w:rPr>
        <w:t>20</w:t>
      </w:r>
      <w:r>
        <w:rPr>
          <w:rFonts w:hint="eastAsia" w:ascii="仿宋" w:hAnsi="仿宋" w:eastAsia="仿宋"/>
          <w:sz w:val="32"/>
          <w:szCs w:val="32"/>
        </w:rPr>
        <w:t>22年本年支出合计1257.54万元，其中：基本支出960.78万元，占76.4</w:t>
      </w:r>
      <w:r>
        <w:rPr>
          <w:rFonts w:ascii="仿宋" w:hAnsi="仿宋" w:eastAsia="仿宋"/>
          <w:sz w:val="32"/>
          <w:szCs w:val="32"/>
        </w:rPr>
        <w:t>%</w:t>
      </w:r>
      <w:r>
        <w:rPr>
          <w:rFonts w:hint="eastAsia" w:ascii="仿宋" w:hAnsi="仿宋" w:eastAsia="仿宋"/>
          <w:sz w:val="32"/>
          <w:szCs w:val="32"/>
        </w:rPr>
        <w:t>；项目支出296.76万元，占23.6</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52"/>
    </w:p>
    <w:p>
      <w:pPr>
        <w:pStyle w:val="2"/>
        <w:spacing w:before="93"/>
      </w:pPr>
      <w:r>
        <w:drawing>
          <wp:inline distT="0" distB="0" distL="0" distR="0">
            <wp:extent cx="4572000" cy="2743200"/>
            <wp:effectExtent l="19050" t="0" r="1905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37"/>
          <w:rFonts w:ascii="黑体" w:hAnsi="黑体" w:eastAsia="黑体"/>
          <w:b w:val="0"/>
        </w:rPr>
      </w:pPr>
      <w:bookmarkStart w:id="53" w:name="_Toc144282015"/>
      <w:bookmarkStart w:id="54" w:name="_Toc15396606"/>
      <w:bookmarkStart w:id="55" w:name="_Toc15377208"/>
      <w:r>
        <w:rPr>
          <w:rFonts w:hint="eastAsia" w:ascii="黑体" w:hAnsi="黑体" w:eastAsia="黑体"/>
          <w:sz w:val="32"/>
          <w:szCs w:val="32"/>
        </w:rPr>
        <w:t>四、财</w:t>
      </w:r>
      <w:r>
        <w:rPr>
          <w:rStyle w:val="37"/>
          <w:rFonts w:hint="eastAsia" w:ascii="黑体" w:hAnsi="黑体" w:eastAsia="黑体"/>
          <w:b w:val="0"/>
        </w:rPr>
        <w:t>政拨款收入支出决算总体情况说明</w:t>
      </w:r>
      <w:bookmarkEnd w:id="53"/>
      <w:bookmarkEnd w:id="54"/>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22年财政拨款收、支总计1257.54万元。与</w:t>
      </w:r>
      <w:r>
        <w:rPr>
          <w:rFonts w:ascii="仿宋" w:hAnsi="仿宋" w:eastAsia="仿宋"/>
          <w:sz w:val="32"/>
          <w:szCs w:val="32"/>
        </w:rPr>
        <w:t>20</w:t>
      </w:r>
      <w:r>
        <w:rPr>
          <w:rFonts w:hint="eastAsia" w:ascii="仿宋" w:hAnsi="仿宋" w:eastAsia="仿宋"/>
          <w:sz w:val="32"/>
          <w:szCs w:val="32"/>
        </w:rPr>
        <w:t>21年相比，财政拨款收、支总计各减少482.21万元，下降27.72</w:t>
      </w:r>
      <w:r>
        <w:rPr>
          <w:rFonts w:ascii="仿宋" w:hAnsi="仿宋" w:eastAsia="仿宋"/>
          <w:sz w:val="32"/>
          <w:szCs w:val="32"/>
        </w:rPr>
        <w:t>%</w:t>
      </w:r>
      <w:r>
        <w:rPr>
          <w:rFonts w:hint="eastAsia" w:ascii="仿宋" w:hAnsi="仿宋" w:eastAsia="仿宋"/>
          <w:sz w:val="32"/>
          <w:szCs w:val="32"/>
        </w:rPr>
        <w:t>。主要变动原因是本年无换届选举工作经费。</w:t>
      </w:r>
    </w:p>
    <w:p>
      <w:pPr>
        <w:pStyle w:val="2"/>
        <w:spacing w:before="93"/>
      </w:pPr>
      <w: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37"/>
          <w:rFonts w:ascii="黑体" w:hAnsi="黑体" w:eastAsia="黑体"/>
          <w:b w:val="0"/>
        </w:rPr>
      </w:pPr>
      <w:bookmarkStart w:id="56" w:name="_Toc144282016"/>
      <w:bookmarkStart w:id="57" w:name="_Toc15396607"/>
      <w:bookmarkStart w:id="58" w:name="_Toc15377209"/>
      <w:r>
        <w:rPr>
          <w:rFonts w:hint="eastAsia" w:ascii="黑体" w:hAnsi="黑体" w:eastAsia="黑体"/>
          <w:sz w:val="32"/>
          <w:szCs w:val="32"/>
        </w:rPr>
        <w:t>五、</w:t>
      </w:r>
      <w:r>
        <w:rPr>
          <w:rFonts w:hint="eastAsia" w:ascii="黑体" w:hAnsi="黑体" w:eastAsia="黑体"/>
          <w:b/>
          <w:sz w:val="32"/>
          <w:szCs w:val="32"/>
        </w:rPr>
        <w:t>一</w:t>
      </w:r>
      <w:r>
        <w:rPr>
          <w:rStyle w:val="37"/>
          <w:rFonts w:hint="eastAsia" w:ascii="黑体" w:hAnsi="黑体" w:eastAsia="黑体"/>
          <w:b w:val="0"/>
        </w:rPr>
        <w:t>般公共预算财政拨款支出决算情况说明</w:t>
      </w:r>
      <w:bookmarkEnd w:id="56"/>
      <w:bookmarkEnd w:id="57"/>
      <w:bookmarkEnd w:id="58"/>
    </w:p>
    <w:p>
      <w:pPr>
        <w:spacing w:line="600" w:lineRule="exact"/>
        <w:ind w:firstLine="643" w:firstLineChars="200"/>
        <w:outlineLvl w:val="2"/>
        <w:rPr>
          <w:rFonts w:ascii="仿宋" w:hAnsi="仿宋" w:eastAsia="仿宋"/>
          <w:b/>
          <w:sz w:val="32"/>
          <w:szCs w:val="32"/>
        </w:rPr>
      </w:pPr>
      <w:bookmarkStart w:id="59" w:name="_Toc144282017"/>
      <w:bookmarkStart w:id="60" w:name="_Toc15377210"/>
      <w:r>
        <w:rPr>
          <w:rFonts w:hint="eastAsia" w:ascii="仿宋" w:hAnsi="仿宋" w:eastAsia="仿宋"/>
          <w:b/>
          <w:sz w:val="32"/>
          <w:szCs w:val="32"/>
        </w:rPr>
        <w:t>（一）一般公共预算财政拨款支出决算总体情况</w:t>
      </w:r>
      <w:bookmarkEnd w:id="59"/>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22年一般公共预算财政拨款支出1257.54万元，占本年支出合计的100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21年相比，一般公共预算财政拨款支出减少482.21万元，下降27.72</w:t>
      </w:r>
      <w:r>
        <w:rPr>
          <w:rFonts w:ascii="仿宋" w:hAnsi="仿宋" w:eastAsia="仿宋"/>
          <w:sz w:val="32"/>
          <w:szCs w:val="32"/>
        </w:rPr>
        <w:t>%</w:t>
      </w:r>
      <w:r>
        <w:rPr>
          <w:rFonts w:hint="eastAsia" w:ascii="仿宋" w:hAnsi="仿宋" w:eastAsia="仿宋"/>
          <w:sz w:val="32"/>
          <w:szCs w:val="32"/>
        </w:rPr>
        <w:t>。主要变动原因是本年无换届选举工作经费。</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61" w:name="_Toc15377211"/>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pStyle w:val="2"/>
        <w:spacing w:before="93"/>
      </w:pPr>
      <w:r>
        <w:drawing>
          <wp:inline distT="0" distB="0" distL="0" distR="0">
            <wp:extent cx="5274310" cy="3076575"/>
            <wp:effectExtent l="19050" t="0" r="2159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62" w:name="_Toc144282018"/>
      <w:r>
        <w:rPr>
          <w:rFonts w:hint="eastAsia" w:ascii="仿宋" w:hAnsi="仿宋" w:eastAsia="仿宋"/>
          <w:b/>
          <w:sz w:val="32"/>
          <w:szCs w:val="32"/>
        </w:rPr>
        <w:t>（二）一般公共预算财政拨款支出决算结构情况</w:t>
      </w:r>
      <w:bookmarkEnd w:id="61"/>
      <w:bookmarkEnd w:id="6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22年一般公共预算财政拨款支出1257.54万元，主要用于以下方面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970.26万元，占77.16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188.18万元，占14.96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37.7万元，占3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61.4万元，占4.88</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2"/>
        <w:spacing w:before="93"/>
      </w:pPr>
    </w:p>
    <w:p>
      <w:pPr>
        <w:pStyle w:val="2"/>
        <w:spacing w:before="93"/>
      </w:pPr>
    </w:p>
    <w:p>
      <w:pPr>
        <w:pStyle w:val="2"/>
        <w:spacing w:before="93"/>
      </w:pPr>
    </w:p>
    <w:p>
      <w:pPr>
        <w:pStyle w:val="2"/>
        <w:spacing w:before="93"/>
        <w:rPr>
          <w:rFonts w:hint="eastAsia"/>
        </w:rPr>
      </w:pPr>
      <w:r>
        <w:drawing>
          <wp:inline distT="0" distB="0" distL="0" distR="0">
            <wp:extent cx="5274310" cy="3076575"/>
            <wp:effectExtent l="19050" t="0" r="21590" b="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63" w:name="_Toc144282019"/>
      <w:bookmarkStart w:id="64" w:name="_Toc15377212"/>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63"/>
      <w:bookmarkEnd w:id="64"/>
    </w:p>
    <w:p>
      <w:pPr>
        <w:spacing w:line="600" w:lineRule="exact"/>
        <w:ind w:firstLine="643" w:firstLineChars="200"/>
        <w:outlineLvl w:val="2"/>
        <w:rPr>
          <w:rFonts w:ascii="仿宋" w:hAnsi="仿宋" w:eastAsia="仿宋"/>
          <w:sz w:val="32"/>
          <w:szCs w:val="32"/>
        </w:rPr>
      </w:pPr>
      <w:bookmarkStart w:id="65" w:name="_Toc144282020"/>
      <w:bookmarkStart w:id="66" w:name="_Toc15377444"/>
      <w:bookmarkStart w:id="67" w:name="_Toc15378460"/>
      <w:bookmarkStart w:id="68" w:name="_Toc15377213"/>
      <w:r>
        <w:rPr>
          <w:rFonts w:hint="eastAsia" w:ascii="仿宋" w:hAnsi="仿宋" w:eastAsia="仿宋"/>
          <w:b/>
          <w:sz w:val="32"/>
          <w:szCs w:val="32"/>
        </w:rPr>
        <w:t>2022年一般公共预算支出决算数为1257.54</w:t>
      </w:r>
      <w:r>
        <w:rPr>
          <w:rFonts w:hint="eastAsia" w:ascii="仿宋" w:hAnsi="仿宋" w:eastAsia="仿宋"/>
          <w:sz w:val="32"/>
          <w:szCs w:val="32"/>
        </w:rPr>
        <w:t>，</w:t>
      </w:r>
      <w:r>
        <w:rPr>
          <w:rStyle w:val="24"/>
          <w:rFonts w:hint="eastAsia" w:ascii="仿宋" w:hAnsi="仿宋" w:eastAsia="仿宋"/>
          <w:bCs/>
          <w:sz w:val="32"/>
          <w:szCs w:val="32"/>
        </w:rPr>
        <w:t>完成预算100</w:t>
      </w:r>
      <w:r>
        <w:rPr>
          <w:rStyle w:val="24"/>
          <w:rFonts w:ascii="仿宋" w:hAnsi="仿宋" w:eastAsia="仿宋"/>
          <w:bCs/>
          <w:sz w:val="32"/>
          <w:szCs w:val="32"/>
        </w:rPr>
        <w:t>%</w:t>
      </w:r>
      <w:r>
        <w:rPr>
          <w:rStyle w:val="24"/>
          <w:rFonts w:hint="eastAsia" w:ascii="仿宋" w:hAnsi="仿宋" w:eastAsia="仿宋"/>
          <w:bCs/>
          <w:sz w:val="32"/>
          <w:szCs w:val="32"/>
        </w:rPr>
        <w:t>。其中：</w:t>
      </w:r>
      <w:bookmarkEnd w:id="65"/>
      <w:bookmarkEnd w:id="66"/>
      <w:bookmarkEnd w:id="67"/>
      <w:bookmarkEnd w:id="68"/>
    </w:p>
    <w:p>
      <w:pPr>
        <w:spacing w:line="600" w:lineRule="exact"/>
        <w:ind w:firstLine="643" w:firstLineChars="200"/>
        <w:rPr>
          <w:rFonts w:ascii="仿宋" w:hAnsi="仿宋" w:eastAsia="仿宋"/>
          <w:b/>
          <w:sz w:val="32"/>
          <w:szCs w:val="32"/>
        </w:rPr>
      </w:pPr>
      <w:r>
        <w:rPr>
          <w:rStyle w:val="24"/>
          <w:rFonts w:ascii="仿宋" w:hAnsi="仿宋" w:eastAsia="仿宋"/>
          <w:bCs/>
          <w:sz w:val="32"/>
          <w:szCs w:val="32"/>
        </w:rPr>
        <w:t>1.</w:t>
      </w:r>
      <w:r>
        <w:rPr>
          <w:rStyle w:val="24"/>
          <w:rFonts w:hint="eastAsia" w:ascii="仿宋" w:hAnsi="仿宋" w:eastAsia="仿宋"/>
          <w:bCs/>
          <w:sz w:val="32"/>
          <w:szCs w:val="32"/>
        </w:rPr>
        <w:t>一般公共服务（类）人大</w:t>
      </w:r>
      <w:r>
        <w:rPr>
          <w:rStyle w:val="24"/>
          <w:rFonts w:ascii="仿宋" w:hAnsi="仿宋" w:eastAsia="仿宋"/>
          <w:bCs/>
          <w:sz w:val="32"/>
          <w:szCs w:val="32"/>
        </w:rPr>
        <w:t>事务</w:t>
      </w:r>
      <w:r>
        <w:rPr>
          <w:rStyle w:val="24"/>
          <w:rFonts w:hint="eastAsia" w:ascii="仿宋" w:hAnsi="仿宋" w:eastAsia="仿宋"/>
          <w:bCs/>
          <w:sz w:val="32"/>
          <w:szCs w:val="32"/>
        </w:rPr>
        <w:t>（款）</w:t>
      </w:r>
      <w:r>
        <w:rPr>
          <w:rStyle w:val="24"/>
          <w:rFonts w:ascii="仿宋" w:hAnsi="仿宋" w:eastAsia="仿宋"/>
          <w:bCs/>
          <w:sz w:val="32"/>
          <w:szCs w:val="32"/>
        </w:rPr>
        <w:t>行政运行</w:t>
      </w:r>
      <w:r>
        <w:rPr>
          <w:rStyle w:val="24"/>
          <w:rFonts w:hint="eastAsia" w:ascii="仿宋" w:hAnsi="仿宋" w:eastAsia="仿宋"/>
          <w:bCs/>
          <w:sz w:val="32"/>
          <w:szCs w:val="32"/>
        </w:rPr>
        <w:t>（项）</w:t>
      </w:r>
      <w:r>
        <w:rPr>
          <w:rStyle w:val="24"/>
          <w:rFonts w:ascii="仿宋" w:hAnsi="仿宋" w:eastAsia="仿宋"/>
          <w:bCs/>
          <w:sz w:val="32"/>
          <w:szCs w:val="32"/>
        </w:rPr>
        <w:t>:</w:t>
      </w:r>
      <w:r>
        <w:rPr>
          <w:rStyle w:val="24"/>
          <w:rFonts w:ascii="仿宋" w:hAnsi="仿宋" w:eastAsia="仿宋"/>
          <w:b w:val="0"/>
          <w:bCs/>
          <w:sz w:val="32"/>
          <w:szCs w:val="32"/>
        </w:rPr>
        <w:t xml:space="preserve"> </w:t>
      </w:r>
      <w:r>
        <w:rPr>
          <w:rStyle w:val="24"/>
          <w:rFonts w:hint="eastAsia" w:ascii="仿宋" w:hAnsi="仿宋" w:eastAsia="仿宋"/>
          <w:b w:val="0"/>
          <w:bCs/>
          <w:sz w:val="32"/>
          <w:szCs w:val="32"/>
        </w:rPr>
        <w:t>支出决算为673.51万元，完成预算100</w:t>
      </w:r>
      <w:r>
        <w:rPr>
          <w:rStyle w:val="24"/>
          <w:rFonts w:ascii="仿宋" w:hAnsi="仿宋" w:eastAsia="仿宋"/>
          <w:b w:val="0"/>
          <w:bCs/>
          <w:sz w:val="32"/>
          <w:szCs w:val="32"/>
        </w:rPr>
        <w:t>%</w:t>
      </w:r>
      <w:r>
        <w:rPr>
          <w:rStyle w:val="24"/>
          <w:rFonts w:hint="eastAsia" w:ascii="仿宋" w:hAnsi="仿宋" w:eastAsia="仿宋"/>
          <w:b w:val="0"/>
          <w:bCs/>
          <w:sz w:val="32"/>
          <w:szCs w:val="32"/>
        </w:rPr>
        <w:t>。</w:t>
      </w:r>
    </w:p>
    <w:p>
      <w:pPr>
        <w:spacing w:line="578" w:lineRule="exact"/>
        <w:ind w:firstLine="663" w:firstLineChars="200"/>
        <w:rPr>
          <w:rStyle w:val="24"/>
          <w:rFonts w:ascii="宋体" w:hAnsi="宋体" w:eastAsia="方正仿宋简体"/>
          <w:bCs/>
          <w:color w:val="000000"/>
          <w:sz w:val="33"/>
          <w:szCs w:val="33"/>
        </w:rPr>
      </w:pPr>
      <w:r>
        <w:rPr>
          <w:rStyle w:val="24"/>
          <w:rFonts w:ascii="宋体" w:hAnsi="宋体" w:eastAsia="方正仿宋简体"/>
          <w:bCs/>
          <w:color w:val="000000"/>
          <w:sz w:val="33"/>
          <w:szCs w:val="33"/>
        </w:rPr>
        <w:t>2</w:t>
      </w:r>
      <w:r>
        <w:rPr>
          <w:rStyle w:val="24"/>
          <w:rFonts w:hint="eastAsia" w:ascii="宋体" w:hAnsi="宋体" w:eastAsia="方正仿宋简体"/>
          <w:bCs/>
          <w:color w:val="000000"/>
          <w:sz w:val="33"/>
          <w:szCs w:val="33"/>
        </w:rPr>
        <w:t>．</w:t>
      </w:r>
      <w:r>
        <w:rPr>
          <w:rStyle w:val="24"/>
          <w:rFonts w:ascii="宋体" w:hAnsi="宋体" w:eastAsia="方正仿宋简体"/>
          <w:bCs/>
          <w:color w:val="000000"/>
          <w:sz w:val="33"/>
          <w:szCs w:val="33"/>
        </w:rPr>
        <w:t>一般公共服务（类）人大事务（款）一般行政管理（项）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115.35</w:t>
      </w:r>
      <w:r>
        <w:rPr>
          <w:rStyle w:val="24"/>
          <w:rFonts w:ascii="宋体" w:hAnsi="宋体" w:eastAsia="方正仿宋简体"/>
          <w:b w:val="0"/>
          <w:bCs/>
          <w:color w:val="000000"/>
          <w:sz w:val="33"/>
          <w:szCs w:val="33"/>
        </w:rPr>
        <w:t>万元，完成预算100%。</w:t>
      </w:r>
    </w:p>
    <w:p>
      <w:pPr>
        <w:spacing w:line="578" w:lineRule="exact"/>
        <w:ind w:firstLine="663" w:firstLineChars="200"/>
        <w:rPr>
          <w:rStyle w:val="24"/>
          <w:rFonts w:ascii="宋体" w:hAnsi="宋体" w:eastAsia="方正仿宋简体"/>
          <w:bCs/>
          <w:color w:val="000000"/>
          <w:sz w:val="33"/>
          <w:szCs w:val="33"/>
        </w:rPr>
      </w:pPr>
      <w:r>
        <w:rPr>
          <w:rStyle w:val="24"/>
          <w:rFonts w:ascii="宋体" w:hAnsi="宋体" w:eastAsia="方正仿宋简体"/>
          <w:bCs/>
          <w:color w:val="000000"/>
          <w:sz w:val="33"/>
          <w:szCs w:val="33"/>
        </w:rPr>
        <w:t>3</w:t>
      </w:r>
      <w:r>
        <w:rPr>
          <w:rStyle w:val="24"/>
          <w:rFonts w:hint="eastAsia" w:ascii="宋体" w:hAnsi="宋体" w:eastAsia="方正仿宋简体"/>
          <w:bCs/>
          <w:color w:val="000000"/>
          <w:sz w:val="33"/>
          <w:szCs w:val="33"/>
        </w:rPr>
        <w:t>．</w:t>
      </w:r>
      <w:r>
        <w:rPr>
          <w:rStyle w:val="24"/>
          <w:rFonts w:ascii="宋体" w:hAnsi="宋体" w:eastAsia="方正仿宋简体"/>
          <w:bCs/>
          <w:color w:val="000000"/>
          <w:sz w:val="33"/>
          <w:szCs w:val="33"/>
        </w:rPr>
        <w:t>一般公共服务（类）人大事务（款）人大会议（项）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0</w:t>
      </w:r>
      <w:r>
        <w:rPr>
          <w:rStyle w:val="24"/>
          <w:rFonts w:ascii="宋体" w:hAnsi="宋体" w:eastAsia="方正仿宋简体"/>
          <w:b w:val="0"/>
          <w:bCs/>
          <w:color w:val="000000"/>
          <w:sz w:val="33"/>
          <w:szCs w:val="33"/>
        </w:rPr>
        <w:t>万元，完成预算</w:t>
      </w:r>
      <w:r>
        <w:rPr>
          <w:rStyle w:val="24"/>
          <w:rFonts w:hint="eastAsia" w:ascii="宋体" w:hAnsi="宋体" w:eastAsia="方正仿宋简体"/>
          <w:b w:val="0"/>
          <w:bCs/>
          <w:color w:val="000000"/>
          <w:sz w:val="33"/>
          <w:szCs w:val="33"/>
        </w:rPr>
        <w:t>0</w:t>
      </w:r>
      <w:r>
        <w:rPr>
          <w:rStyle w:val="24"/>
          <w:rFonts w:ascii="宋体" w:hAnsi="宋体" w:eastAsia="方正仿宋简体"/>
          <w:b w:val="0"/>
          <w:bCs/>
          <w:color w:val="000000"/>
          <w:sz w:val="33"/>
          <w:szCs w:val="33"/>
        </w:rPr>
        <w:t>%。因为</w:t>
      </w:r>
      <w:r>
        <w:rPr>
          <w:rStyle w:val="24"/>
          <w:rFonts w:hint="eastAsia" w:ascii="宋体" w:hAnsi="宋体" w:eastAsia="方正仿宋简体"/>
          <w:b w:val="0"/>
          <w:bCs/>
          <w:color w:val="000000"/>
          <w:sz w:val="33"/>
          <w:szCs w:val="33"/>
        </w:rPr>
        <w:t>2022年人代会在2023年1月召开。</w:t>
      </w:r>
    </w:p>
    <w:p>
      <w:pPr>
        <w:spacing w:line="578" w:lineRule="exact"/>
        <w:ind w:firstLine="663" w:firstLineChars="200"/>
        <w:rPr>
          <w:rStyle w:val="24"/>
          <w:rFonts w:ascii="宋体" w:hAnsi="宋体" w:eastAsia="方正仿宋简体"/>
          <w:bCs/>
          <w:color w:val="000000"/>
          <w:sz w:val="33"/>
          <w:szCs w:val="33"/>
        </w:rPr>
      </w:pPr>
      <w:r>
        <w:rPr>
          <w:rStyle w:val="24"/>
          <w:rFonts w:hint="eastAsia" w:ascii="宋体" w:hAnsi="宋体" w:eastAsia="方正仿宋简体"/>
          <w:bCs/>
          <w:color w:val="000000"/>
          <w:sz w:val="33"/>
          <w:szCs w:val="33"/>
        </w:rPr>
        <w:t>4．</w:t>
      </w:r>
      <w:r>
        <w:rPr>
          <w:rStyle w:val="24"/>
          <w:rFonts w:ascii="宋体" w:hAnsi="宋体" w:eastAsia="方正仿宋简体"/>
          <w:bCs/>
          <w:color w:val="000000"/>
          <w:sz w:val="33"/>
          <w:szCs w:val="33"/>
        </w:rPr>
        <w:t>一般公共服务（类）人大事务（款）</w:t>
      </w:r>
      <w:r>
        <w:rPr>
          <w:rStyle w:val="24"/>
          <w:rFonts w:hint="eastAsia" w:ascii="宋体" w:hAnsi="宋体" w:eastAsia="方正仿宋简体"/>
          <w:bCs/>
          <w:color w:val="000000"/>
          <w:sz w:val="33"/>
          <w:szCs w:val="33"/>
        </w:rPr>
        <w:t>人大</w:t>
      </w:r>
      <w:r>
        <w:rPr>
          <w:rStyle w:val="24"/>
          <w:rFonts w:ascii="宋体" w:hAnsi="宋体" w:eastAsia="方正仿宋简体"/>
          <w:bCs/>
          <w:color w:val="000000"/>
          <w:sz w:val="33"/>
          <w:szCs w:val="33"/>
        </w:rPr>
        <w:t>监督（项）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20</w:t>
      </w:r>
      <w:r>
        <w:rPr>
          <w:rStyle w:val="24"/>
          <w:rFonts w:ascii="宋体" w:hAnsi="宋体" w:eastAsia="方正仿宋简体"/>
          <w:b w:val="0"/>
          <w:bCs/>
          <w:color w:val="000000"/>
          <w:sz w:val="33"/>
          <w:szCs w:val="33"/>
        </w:rPr>
        <w:t>万元，完成预算100%。</w:t>
      </w:r>
    </w:p>
    <w:p>
      <w:pPr>
        <w:spacing w:line="578" w:lineRule="exact"/>
        <w:ind w:firstLine="663" w:firstLineChars="200"/>
        <w:rPr>
          <w:rStyle w:val="24"/>
          <w:rFonts w:ascii="宋体" w:hAnsi="宋体" w:eastAsia="方正仿宋简体"/>
          <w:bCs/>
          <w:color w:val="000000"/>
          <w:sz w:val="33"/>
          <w:szCs w:val="33"/>
        </w:rPr>
      </w:pPr>
      <w:r>
        <w:rPr>
          <w:rStyle w:val="24"/>
          <w:rFonts w:hint="eastAsia" w:ascii="宋体" w:hAnsi="宋体" w:eastAsia="方正仿宋简体"/>
          <w:bCs/>
          <w:color w:val="000000"/>
          <w:sz w:val="33"/>
          <w:szCs w:val="33"/>
        </w:rPr>
        <w:t>5.</w:t>
      </w:r>
      <w:r>
        <w:rPr>
          <w:rStyle w:val="24"/>
          <w:rFonts w:ascii="宋体" w:hAnsi="宋体" w:eastAsia="方正仿宋简体"/>
          <w:bCs/>
          <w:color w:val="000000"/>
          <w:sz w:val="33"/>
          <w:szCs w:val="33"/>
        </w:rPr>
        <w:t xml:space="preserve"> 一般公共服务（类）人大事务（款）</w:t>
      </w:r>
      <w:r>
        <w:rPr>
          <w:rStyle w:val="24"/>
          <w:rFonts w:hint="eastAsia" w:ascii="宋体" w:hAnsi="宋体" w:eastAsia="方正仿宋简体"/>
          <w:bCs/>
          <w:color w:val="000000"/>
          <w:sz w:val="33"/>
          <w:szCs w:val="33"/>
        </w:rPr>
        <w:t>人大</w:t>
      </w:r>
      <w:r>
        <w:rPr>
          <w:rStyle w:val="24"/>
          <w:rFonts w:ascii="宋体" w:hAnsi="宋体" w:eastAsia="方正仿宋简体"/>
          <w:bCs/>
          <w:color w:val="000000"/>
          <w:sz w:val="33"/>
          <w:szCs w:val="33"/>
        </w:rPr>
        <w:t>代表履职能力提升（项）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63.3</w:t>
      </w:r>
      <w:r>
        <w:rPr>
          <w:rStyle w:val="24"/>
          <w:rFonts w:ascii="宋体" w:hAnsi="宋体" w:eastAsia="方正仿宋简体"/>
          <w:b w:val="0"/>
          <w:bCs/>
          <w:color w:val="000000"/>
          <w:sz w:val="33"/>
          <w:szCs w:val="33"/>
        </w:rPr>
        <w:t>万元，完成预算100%。</w:t>
      </w:r>
    </w:p>
    <w:p>
      <w:pPr>
        <w:spacing w:line="578" w:lineRule="exact"/>
        <w:ind w:firstLine="663" w:firstLineChars="200"/>
        <w:rPr>
          <w:rStyle w:val="24"/>
          <w:rFonts w:ascii="宋体" w:hAnsi="宋体" w:eastAsia="方正仿宋简体"/>
          <w:bCs/>
          <w:color w:val="000000"/>
          <w:sz w:val="33"/>
          <w:szCs w:val="33"/>
        </w:rPr>
      </w:pPr>
      <w:r>
        <w:rPr>
          <w:rStyle w:val="24"/>
          <w:rFonts w:hint="eastAsia" w:ascii="宋体" w:hAnsi="宋体" w:eastAsia="方正仿宋简体"/>
          <w:bCs/>
          <w:color w:val="000000"/>
          <w:sz w:val="33"/>
          <w:szCs w:val="33"/>
        </w:rPr>
        <w:t>6．</w:t>
      </w:r>
      <w:r>
        <w:rPr>
          <w:rStyle w:val="24"/>
          <w:rFonts w:ascii="宋体" w:hAnsi="宋体" w:eastAsia="方正仿宋简体"/>
          <w:bCs/>
          <w:color w:val="000000"/>
          <w:sz w:val="33"/>
          <w:szCs w:val="33"/>
        </w:rPr>
        <w:t>一般公共服务（类）人大事务（款）代表工作（项）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50</w:t>
      </w:r>
      <w:r>
        <w:rPr>
          <w:rStyle w:val="24"/>
          <w:rFonts w:ascii="宋体" w:hAnsi="宋体" w:eastAsia="方正仿宋简体"/>
          <w:b w:val="0"/>
          <w:bCs/>
          <w:color w:val="000000"/>
          <w:sz w:val="33"/>
          <w:szCs w:val="33"/>
        </w:rPr>
        <w:t>万元，完成预算100%。</w:t>
      </w:r>
    </w:p>
    <w:p>
      <w:pPr>
        <w:spacing w:line="578" w:lineRule="exact"/>
        <w:ind w:firstLine="663" w:firstLineChars="200"/>
        <w:rPr>
          <w:rStyle w:val="24"/>
          <w:rFonts w:ascii="宋体" w:hAnsi="宋体" w:eastAsia="方正仿宋简体"/>
          <w:bCs/>
          <w:color w:val="000000"/>
          <w:sz w:val="33"/>
          <w:szCs w:val="33"/>
        </w:rPr>
      </w:pPr>
      <w:r>
        <w:rPr>
          <w:rStyle w:val="24"/>
          <w:rFonts w:hint="eastAsia" w:ascii="宋体" w:hAnsi="宋体" w:eastAsia="方正仿宋简体"/>
          <w:bCs/>
          <w:color w:val="000000"/>
          <w:sz w:val="33"/>
          <w:szCs w:val="33"/>
        </w:rPr>
        <w:t>7．</w:t>
      </w:r>
      <w:r>
        <w:rPr>
          <w:rStyle w:val="24"/>
          <w:rFonts w:ascii="宋体" w:hAnsi="宋体" w:eastAsia="方正仿宋简体"/>
          <w:bCs/>
          <w:color w:val="000000"/>
          <w:sz w:val="33"/>
          <w:szCs w:val="33"/>
        </w:rPr>
        <w:t>一般公共服务（类）人大事务（款）其他人大事务支出（项）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48.11</w:t>
      </w:r>
      <w:r>
        <w:rPr>
          <w:rStyle w:val="24"/>
          <w:rFonts w:ascii="宋体" w:hAnsi="宋体" w:eastAsia="方正仿宋简体"/>
          <w:b w:val="0"/>
          <w:bCs/>
          <w:color w:val="000000"/>
          <w:sz w:val="33"/>
          <w:szCs w:val="33"/>
        </w:rPr>
        <w:t>万元，完成预算</w:t>
      </w:r>
      <w:r>
        <w:rPr>
          <w:rStyle w:val="24"/>
          <w:rFonts w:hint="eastAsia" w:ascii="宋体" w:hAnsi="宋体" w:eastAsia="方正仿宋简体"/>
          <w:b w:val="0"/>
          <w:bCs/>
          <w:color w:val="000000"/>
          <w:sz w:val="33"/>
          <w:szCs w:val="33"/>
        </w:rPr>
        <w:t>100</w:t>
      </w:r>
      <w:r>
        <w:rPr>
          <w:rStyle w:val="24"/>
          <w:rFonts w:ascii="宋体" w:hAnsi="宋体" w:eastAsia="方正仿宋简体"/>
          <w:b w:val="0"/>
          <w:bCs/>
          <w:color w:val="000000"/>
          <w:sz w:val="33"/>
          <w:szCs w:val="33"/>
        </w:rPr>
        <w:t>%。</w:t>
      </w:r>
    </w:p>
    <w:p>
      <w:pPr>
        <w:spacing w:line="578" w:lineRule="exact"/>
        <w:ind w:firstLine="663" w:firstLineChars="200"/>
        <w:rPr>
          <w:rFonts w:ascii="宋体" w:hAnsi="宋体" w:eastAsia="方正仿宋简体"/>
          <w:b/>
          <w:color w:val="000000"/>
          <w:sz w:val="33"/>
          <w:szCs w:val="33"/>
        </w:rPr>
      </w:pPr>
      <w:r>
        <w:rPr>
          <w:rStyle w:val="24"/>
          <w:rFonts w:hint="eastAsia" w:ascii="宋体" w:hAnsi="宋体" w:eastAsia="方正仿宋简体"/>
          <w:bCs/>
          <w:color w:val="000000"/>
          <w:sz w:val="33"/>
          <w:szCs w:val="33"/>
        </w:rPr>
        <w:t>8．</w:t>
      </w:r>
      <w:r>
        <w:rPr>
          <w:rStyle w:val="24"/>
          <w:rFonts w:ascii="宋体" w:hAnsi="宋体" w:eastAsia="方正仿宋简体"/>
          <w:bCs/>
          <w:color w:val="000000"/>
          <w:sz w:val="33"/>
          <w:szCs w:val="33"/>
        </w:rPr>
        <w:t>社会保障和就业（类）行政事业单位养老支出（款）行政单位离退休（项）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65.31</w:t>
      </w:r>
      <w:r>
        <w:rPr>
          <w:rStyle w:val="24"/>
          <w:rFonts w:ascii="宋体" w:hAnsi="宋体" w:eastAsia="方正仿宋简体"/>
          <w:b w:val="0"/>
          <w:bCs/>
          <w:color w:val="000000"/>
          <w:sz w:val="33"/>
          <w:szCs w:val="33"/>
        </w:rPr>
        <w:t>万元，完成预算100%。</w:t>
      </w:r>
    </w:p>
    <w:p>
      <w:pPr>
        <w:spacing w:line="578" w:lineRule="exact"/>
        <w:ind w:firstLine="663" w:firstLineChars="200"/>
        <w:rPr>
          <w:rFonts w:ascii="宋体" w:hAnsi="宋体" w:eastAsia="方正仿宋简体"/>
          <w:b/>
          <w:color w:val="000000"/>
          <w:sz w:val="33"/>
          <w:szCs w:val="33"/>
        </w:rPr>
      </w:pPr>
      <w:r>
        <w:rPr>
          <w:rStyle w:val="24"/>
          <w:rFonts w:hint="eastAsia" w:ascii="宋体" w:hAnsi="宋体" w:eastAsia="方正仿宋简体"/>
          <w:bCs/>
          <w:color w:val="000000"/>
          <w:sz w:val="33"/>
          <w:szCs w:val="33"/>
        </w:rPr>
        <w:t>9．</w:t>
      </w:r>
      <w:r>
        <w:rPr>
          <w:rStyle w:val="24"/>
          <w:rFonts w:ascii="宋体" w:hAnsi="宋体" w:eastAsia="方正仿宋简体"/>
          <w:bCs/>
          <w:color w:val="000000"/>
          <w:sz w:val="33"/>
          <w:szCs w:val="33"/>
        </w:rPr>
        <w:t>社会保障和就业（类）行政事业单位养老支出（款）机关事业单位基本养老保险缴费支出（项）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69.79</w:t>
      </w:r>
      <w:r>
        <w:rPr>
          <w:rStyle w:val="24"/>
          <w:rFonts w:ascii="宋体" w:hAnsi="宋体" w:eastAsia="方正仿宋简体"/>
          <w:b w:val="0"/>
          <w:bCs/>
          <w:color w:val="000000"/>
          <w:sz w:val="33"/>
          <w:szCs w:val="33"/>
        </w:rPr>
        <w:t>万元，完成预算100%。</w:t>
      </w:r>
    </w:p>
    <w:p>
      <w:pPr>
        <w:spacing w:line="578" w:lineRule="exact"/>
        <w:ind w:firstLine="663" w:firstLineChars="200"/>
        <w:rPr>
          <w:rFonts w:ascii="宋体" w:hAnsi="宋体" w:eastAsia="方正仿宋简体"/>
          <w:b/>
          <w:color w:val="000000"/>
          <w:sz w:val="33"/>
          <w:szCs w:val="33"/>
        </w:rPr>
      </w:pPr>
      <w:r>
        <w:rPr>
          <w:rStyle w:val="24"/>
          <w:rFonts w:hint="eastAsia" w:ascii="宋体" w:hAnsi="宋体" w:eastAsia="方正仿宋简体"/>
          <w:bCs/>
          <w:color w:val="000000"/>
          <w:sz w:val="33"/>
          <w:szCs w:val="33"/>
        </w:rPr>
        <w:t>10．</w:t>
      </w:r>
      <w:r>
        <w:rPr>
          <w:rStyle w:val="24"/>
          <w:rFonts w:ascii="宋体" w:hAnsi="宋体" w:eastAsia="方正仿宋简体"/>
          <w:bCs/>
          <w:color w:val="000000"/>
          <w:sz w:val="33"/>
          <w:szCs w:val="33"/>
        </w:rPr>
        <w:t>社会保障和就业（类）行政事业单位养老支出（款）机关事业单位职业年金缴费支出（项）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29.83</w:t>
      </w:r>
      <w:r>
        <w:rPr>
          <w:rStyle w:val="24"/>
          <w:rFonts w:ascii="宋体" w:hAnsi="宋体" w:eastAsia="方正仿宋简体"/>
          <w:b w:val="0"/>
          <w:bCs/>
          <w:color w:val="000000"/>
          <w:sz w:val="33"/>
          <w:szCs w:val="33"/>
        </w:rPr>
        <w:t>万元，完成预算100%。</w:t>
      </w:r>
    </w:p>
    <w:p>
      <w:pPr>
        <w:spacing w:line="578" w:lineRule="exact"/>
        <w:ind w:firstLine="663" w:firstLineChars="200"/>
        <w:rPr>
          <w:rStyle w:val="24"/>
          <w:rFonts w:ascii="宋体" w:hAnsi="宋体" w:eastAsia="方正仿宋简体"/>
          <w:b w:val="0"/>
          <w:bCs/>
          <w:color w:val="000000"/>
          <w:sz w:val="33"/>
          <w:szCs w:val="33"/>
        </w:rPr>
      </w:pPr>
      <w:r>
        <w:rPr>
          <w:rStyle w:val="24"/>
          <w:rFonts w:hint="eastAsia" w:ascii="宋体" w:hAnsi="宋体" w:eastAsia="方正仿宋简体"/>
          <w:bCs/>
          <w:color w:val="000000"/>
          <w:sz w:val="33"/>
          <w:szCs w:val="33"/>
        </w:rPr>
        <w:t>11．</w:t>
      </w:r>
      <w:r>
        <w:rPr>
          <w:rStyle w:val="24"/>
          <w:rFonts w:ascii="宋体" w:hAnsi="宋体" w:eastAsia="方正仿宋简体"/>
          <w:bCs/>
          <w:color w:val="000000"/>
          <w:sz w:val="33"/>
          <w:szCs w:val="33"/>
        </w:rPr>
        <w:t>社会保障和就业（类）抚恤（款）死亡抚恤（项）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21.95</w:t>
      </w:r>
      <w:r>
        <w:rPr>
          <w:rStyle w:val="24"/>
          <w:rFonts w:ascii="宋体" w:hAnsi="宋体" w:eastAsia="方正仿宋简体"/>
          <w:b w:val="0"/>
          <w:bCs/>
          <w:color w:val="000000"/>
          <w:sz w:val="33"/>
          <w:szCs w:val="33"/>
        </w:rPr>
        <w:t>万元，完成预算100%。</w:t>
      </w:r>
    </w:p>
    <w:p>
      <w:pPr>
        <w:spacing w:line="578" w:lineRule="exact"/>
        <w:ind w:firstLine="663" w:firstLineChars="200"/>
        <w:rPr>
          <w:rFonts w:ascii="宋体" w:hAnsi="宋体" w:eastAsia="方正仿宋简体"/>
          <w:bCs/>
          <w:color w:val="000000"/>
          <w:sz w:val="33"/>
          <w:szCs w:val="33"/>
        </w:rPr>
      </w:pPr>
      <w:r>
        <w:rPr>
          <w:rStyle w:val="24"/>
          <w:rFonts w:hint="eastAsia" w:ascii="宋体" w:hAnsi="宋体" w:eastAsia="方正仿宋简体"/>
          <w:bCs/>
          <w:color w:val="000000"/>
          <w:sz w:val="33"/>
          <w:szCs w:val="33"/>
        </w:rPr>
        <w:t>12．</w:t>
      </w:r>
      <w:r>
        <w:rPr>
          <w:rStyle w:val="24"/>
          <w:rFonts w:ascii="宋体" w:hAnsi="宋体" w:eastAsia="方正仿宋简体"/>
          <w:bCs/>
          <w:color w:val="000000"/>
          <w:sz w:val="33"/>
          <w:szCs w:val="33"/>
        </w:rPr>
        <w:t>社会保障和就业（类）其他社会保障和就业支出（款）其他社会保障和就业支出（项）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1.3</w:t>
      </w:r>
      <w:r>
        <w:rPr>
          <w:rStyle w:val="24"/>
          <w:rFonts w:ascii="宋体" w:hAnsi="宋体" w:eastAsia="方正仿宋简体"/>
          <w:b w:val="0"/>
          <w:bCs/>
          <w:color w:val="000000"/>
          <w:sz w:val="33"/>
          <w:szCs w:val="33"/>
        </w:rPr>
        <w:t>万元，完成预算100%。</w:t>
      </w:r>
    </w:p>
    <w:p>
      <w:pPr>
        <w:spacing w:line="578" w:lineRule="exact"/>
        <w:ind w:firstLine="663" w:firstLineChars="200"/>
        <w:rPr>
          <w:rFonts w:ascii="宋体" w:hAnsi="宋体" w:eastAsia="方正仿宋简体"/>
          <w:b/>
          <w:color w:val="000000"/>
          <w:sz w:val="33"/>
          <w:szCs w:val="33"/>
        </w:rPr>
      </w:pPr>
      <w:r>
        <w:rPr>
          <w:rStyle w:val="24"/>
          <w:rFonts w:ascii="宋体" w:hAnsi="宋体" w:eastAsia="方正仿宋简体"/>
          <w:bCs/>
          <w:color w:val="000000"/>
          <w:sz w:val="33"/>
          <w:szCs w:val="33"/>
        </w:rPr>
        <w:t>1</w:t>
      </w:r>
      <w:r>
        <w:rPr>
          <w:rStyle w:val="24"/>
          <w:rFonts w:hint="eastAsia" w:ascii="宋体" w:hAnsi="宋体" w:eastAsia="方正仿宋简体"/>
          <w:bCs/>
          <w:color w:val="000000"/>
          <w:sz w:val="33"/>
          <w:szCs w:val="33"/>
        </w:rPr>
        <w:t>3．</w:t>
      </w:r>
      <w:r>
        <w:rPr>
          <w:rFonts w:ascii="宋体" w:hAnsi="宋体" w:eastAsia="方正仿宋简体"/>
          <w:b/>
          <w:bCs/>
          <w:color w:val="000000"/>
          <w:sz w:val="33"/>
          <w:szCs w:val="33"/>
        </w:rPr>
        <w:t>卫生健康</w:t>
      </w:r>
      <w:r>
        <w:rPr>
          <w:rStyle w:val="24"/>
          <w:rFonts w:ascii="宋体" w:hAnsi="宋体" w:eastAsia="方正仿宋简体"/>
          <w:bCs/>
          <w:color w:val="000000"/>
          <w:sz w:val="33"/>
          <w:szCs w:val="33"/>
        </w:rPr>
        <w:t>（类）行政事业单位医疗（款）行政单位医疗（项）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37.7</w:t>
      </w:r>
      <w:r>
        <w:rPr>
          <w:rStyle w:val="24"/>
          <w:rFonts w:ascii="宋体" w:hAnsi="宋体" w:eastAsia="方正仿宋简体"/>
          <w:b w:val="0"/>
          <w:bCs/>
          <w:color w:val="000000"/>
          <w:sz w:val="33"/>
          <w:szCs w:val="33"/>
        </w:rPr>
        <w:t>万元，完成预算100%。</w:t>
      </w:r>
    </w:p>
    <w:p>
      <w:pPr>
        <w:spacing w:line="578" w:lineRule="exact"/>
        <w:ind w:firstLine="663" w:firstLineChars="200"/>
        <w:rPr>
          <w:rFonts w:ascii="宋体" w:hAnsi="宋体" w:eastAsia="方正仿宋简体"/>
          <w:color w:val="000000"/>
          <w:sz w:val="33"/>
          <w:szCs w:val="33"/>
        </w:rPr>
      </w:pPr>
      <w:r>
        <w:rPr>
          <w:rFonts w:ascii="宋体" w:hAnsi="宋体" w:eastAsia="方正仿宋简体"/>
          <w:b/>
          <w:color w:val="000000"/>
          <w:sz w:val="33"/>
          <w:szCs w:val="33"/>
        </w:rPr>
        <w:t>1</w:t>
      </w:r>
      <w:r>
        <w:rPr>
          <w:rFonts w:hint="eastAsia" w:ascii="宋体" w:hAnsi="宋体" w:eastAsia="方正仿宋简体"/>
          <w:b/>
          <w:color w:val="000000"/>
          <w:sz w:val="33"/>
          <w:szCs w:val="33"/>
        </w:rPr>
        <w:t>4．</w:t>
      </w:r>
      <w:r>
        <w:rPr>
          <w:rFonts w:ascii="宋体" w:hAnsi="宋体" w:eastAsia="方正仿宋简体"/>
          <w:b/>
          <w:bCs/>
          <w:color w:val="000000"/>
          <w:sz w:val="33"/>
          <w:szCs w:val="33"/>
        </w:rPr>
        <w:t>卫生健康</w:t>
      </w:r>
      <w:r>
        <w:rPr>
          <w:rStyle w:val="24"/>
          <w:rFonts w:ascii="宋体" w:hAnsi="宋体" w:eastAsia="方正仿宋简体"/>
          <w:bCs/>
          <w:color w:val="000000"/>
          <w:sz w:val="33"/>
          <w:szCs w:val="33"/>
        </w:rPr>
        <w:t>（类）行政事业单位医疗（款）公务员医疗补助（项）</w:t>
      </w:r>
      <w:r>
        <w:rPr>
          <w:rStyle w:val="24"/>
          <w:rFonts w:hint="eastAsia" w:ascii="宋体" w:hAnsi="宋体" w:eastAsia="方正仿宋简体"/>
          <w:bCs/>
          <w:color w:val="000000"/>
          <w:sz w:val="33"/>
          <w:szCs w:val="33"/>
        </w:rPr>
        <w:t>：</w:t>
      </w:r>
      <w:r>
        <w:rPr>
          <w:rStyle w:val="24"/>
          <w:rFonts w:ascii="宋体" w:hAnsi="宋体" w:eastAsia="方正仿宋简体"/>
          <w:b w:val="0"/>
          <w:bCs/>
          <w:color w:val="000000"/>
          <w:sz w:val="33"/>
          <w:szCs w:val="33"/>
        </w:rPr>
        <w:t>支出决算为</w:t>
      </w:r>
      <w:r>
        <w:rPr>
          <w:rStyle w:val="24"/>
          <w:rFonts w:hint="eastAsia" w:ascii="宋体" w:hAnsi="宋体" w:eastAsia="方正仿宋简体"/>
          <w:b w:val="0"/>
          <w:bCs/>
          <w:color w:val="000000"/>
          <w:sz w:val="33"/>
          <w:szCs w:val="33"/>
        </w:rPr>
        <w:t>30.21</w:t>
      </w:r>
      <w:r>
        <w:rPr>
          <w:rStyle w:val="24"/>
          <w:rFonts w:ascii="宋体" w:hAnsi="宋体" w:eastAsia="方正仿宋简体"/>
          <w:b w:val="0"/>
          <w:bCs/>
          <w:color w:val="000000"/>
          <w:sz w:val="33"/>
          <w:szCs w:val="33"/>
        </w:rPr>
        <w:t>万元，完成预算100%。</w:t>
      </w:r>
    </w:p>
    <w:p>
      <w:pPr>
        <w:spacing w:line="578" w:lineRule="exact"/>
        <w:ind w:firstLine="640"/>
        <w:rPr>
          <w:rFonts w:ascii="宋体" w:hAnsi="宋体" w:eastAsia="方正仿宋简体"/>
          <w:b/>
          <w:color w:val="000000"/>
          <w:sz w:val="33"/>
          <w:szCs w:val="33"/>
        </w:rPr>
      </w:pPr>
      <w:r>
        <w:rPr>
          <w:rFonts w:ascii="宋体" w:hAnsi="宋体" w:eastAsia="方正仿宋简体"/>
          <w:b/>
          <w:color w:val="000000"/>
          <w:sz w:val="33"/>
          <w:szCs w:val="33"/>
        </w:rPr>
        <w:t>1</w:t>
      </w:r>
      <w:r>
        <w:rPr>
          <w:rFonts w:hint="eastAsia" w:ascii="宋体" w:hAnsi="宋体" w:eastAsia="方正仿宋简体"/>
          <w:b/>
          <w:color w:val="000000"/>
          <w:sz w:val="33"/>
          <w:szCs w:val="33"/>
        </w:rPr>
        <w:t>5．</w:t>
      </w:r>
      <w:r>
        <w:rPr>
          <w:rStyle w:val="24"/>
          <w:rFonts w:ascii="宋体" w:hAnsi="宋体" w:eastAsia="方正仿宋简体"/>
          <w:bCs/>
          <w:color w:val="000000"/>
          <w:sz w:val="33"/>
          <w:szCs w:val="33"/>
        </w:rPr>
        <w:t>住房保障支出（类）住房改革支出（款）住房公积金（项）</w:t>
      </w:r>
      <w:r>
        <w:rPr>
          <w:rStyle w:val="24"/>
          <w:rFonts w:hint="eastAsia" w:ascii="宋体" w:hAnsi="宋体" w:eastAsia="方正仿宋简体"/>
          <w:bCs/>
          <w:color w:val="000000"/>
          <w:sz w:val="33"/>
          <w:szCs w:val="33"/>
        </w:rPr>
        <w:t>：</w:t>
      </w:r>
      <w:r>
        <w:rPr>
          <w:rStyle w:val="24"/>
          <w:rFonts w:ascii="宋体" w:hAnsi="宋体" w:eastAsia="方正仿宋简体"/>
          <w:bCs/>
          <w:color w:val="000000"/>
          <w:sz w:val="33"/>
          <w:szCs w:val="33"/>
        </w:rPr>
        <w:t>支出决算为</w:t>
      </w:r>
      <w:r>
        <w:rPr>
          <w:rStyle w:val="24"/>
          <w:rFonts w:hint="eastAsia" w:ascii="宋体" w:hAnsi="宋体" w:eastAsia="方正仿宋简体"/>
          <w:bCs/>
          <w:color w:val="000000"/>
          <w:sz w:val="33"/>
          <w:szCs w:val="33"/>
        </w:rPr>
        <w:t>61.4</w:t>
      </w:r>
      <w:r>
        <w:rPr>
          <w:rStyle w:val="24"/>
          <w:rFonts w:ascii="宋体" w:hAnsi="宋体" w:eastAsia="方正仿宋简体"/>
          <w:bCs/>
          <w:color w:val="000000"/>
          <w:sz w:val="33"/>
          <w:szCs w:val="33"/>
        </w:rPr>
        <w:t>万元，完成预算100%。</w:t>
      </w:r>
    </w:p>
    <w:p>
      <w:pPr>
        <w:tabs>
          <w:tab w:val="right" w:pos="8306"/>
        </w:tabs>
        <w:spacing w:line="600" w:lineRule="exact"/>
        <w:ind w:firstLine="640"/>
        <w:outlineLvl w:val="1"/>
        <w:rPr>
          <w:rStyle w:val="37"/>
        </w:rPr>
      </w:pPr>
      <w:bookmarkStart w:id="69" w:name="_Toc15377214"/>
      <w:bookmarkStart w:id="70" w:name="_Toc15396608"/>
      <w:bookmarkStart w:id="71" w:name="_Toc144282021"/>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7"/>
          <w:rFonts w:hint="eastAsia" w:ascii="黑体" w:hAnsi="黑体" w:eastAsia="黑体"/>
          <w:b w:val="0"/>
        </w:rPr>
        <w:t>般公共预算财政拨款基本支出决算情况说明</w:t>
      </w:r>
      <w:bookmarkEnd w:id="69"/>
      <w:bookmarkEnd w:id="70"/>
      <w:bookmarkEnd w:id="71"/>
      <w:r>
        <w:rPr>
          <w:rStyle w:val="3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22年一般公共预算财政拨款基本支出960.78万元，其中：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844.82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115.96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7"/>
          <w:rFonts w:ascii="黑体" w:hAnsi="黑体" w:eastAsia="黑体"/>
          <w:b w:val="0"/>
        </w:rPr>
      </w:pPr>
      <w:bookmarkStart w:id="72" w:name="_Toc15396609"/>
      <w:bookmarkStart w:id="73" w:name="_Toc15377215"/>
      <w:bookmarkStart w:id="74" w:name="_Toc144282022"/>
      <w:r>
        <w:rPr>
          <w:rFonts w:hint="eastAsia" w:ascii="黑体" w:eastAsia="黑体"/>
          <w:sz w:val="32"/>
          <w:szCs w:val="32"/>
        </w:rPr>
        <w:t>七、</w:t>
      </w:r>
      <w:r>
        <w:rPr>
          <w:rStyle w:val="37"/>
          <w:rFonts w:hint="eastAsia" w:ascii="黑体" w:hAnsi="黑体" w:eastAsia="黑体"/>
          <w:b w:val="0"/>
        </w:rPr>
        <w:t>财政拨款</w:t>
      </w:r>
      <w:r>
        <w:rPr>
          <w:rStyle w:val="37"/>
          <w:rFonts w:hint="eastAsia" w:ascii="黑体" w:hAnsi="黑体" w:eastAsia="黑体"/>
        </w:rPr>
        <w:t>“</w:t>
      </w:r>
      <w:r>
        <w:rPr>
          <w:rStyle w:val="37"/>
          <w:rFonts w:hint="eastAsia" w:ascii="黑体" w:hAnsi="黑体" w:eastAsia="黑体"/>
          <w:b w:val="0"/>
        </w:rPr>
        <w:t>三公”经费支出决算情况说明</w:t>
      </w:r>
      <w:bookmarkEnd w:id="72"/>
      <w:bookmarkEnd w:id="73"/>
      <w:bookmarkEnd w:id="74"/>
    </w:p>
    <w:p>
      <w:pPr>
        <w:spacing w:line="600" w:lineRule="exact"/>
        <w:ind w:firstLine="640"/>
        <w:outlineLvl w:val="2"/>
        <w:rPr>
          <w:rFonts w:ascii="仿宋" w:hAnsi="仿宋" w:eastAsia="仿宋"/>
          <w:b/>
          <w:sz w:val="32"/>
          <w:szCs w:val="32"/>
        </w:rPr>
      </w:pPr>
      <w:bookmarkStart w:id="75" w:name="_Toc15377216"/>
      <w:bookmarkStart w:id="76" w:name="_Toc144282023"/>
      <w:r>
        <w:rPr>
          <w:rFonts w:hint="eastAsia" w:ascii="仿宋" w:hAnsi="仿宋" w:eastAsia="仿宋"/>
          <w:b/>
          <w:sz w:val="32"/>
          <w:szCs w:val="32"/>
        </w:rPr>
        <w:t>（一）“三公”经费财政拨款支出决算总体情况说明</w:t>
      </w:r>
      <w:bookmarkEnd w:id="75"/>
      <w:bookmarkEnd w:id="76"/>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22年“三公”经费财政拨款支出决算为6.01万元，完成预算100</w:t>
      </w:r>
      <w:r>
        <w:rPr>
          <w:rFonts w:ascii="仿宋" w:hAnsi="仿宋" w:eastAsia="仿宋"/>
          <w:sz w:val="32"/>
          <w:szCs w:val="32"/>
        </w:rPr>
        <w:t>%</w:t>
      </w:r>
      <w:r>
        <w:rPr>
          <w:rFonts w:hint="eastAsia" w:ascii="仿宋" w:hAnsi="仿宋" w:eastAsia="仿宋"/>
          <w:sz w:val="32"/>
          <w:szCs w:val="32"/>
        </w:rPr>
        <w:t>，较上年减少1.65万元，下降21.54%。</w:t>
      </w:r>
    </w:p>
    <w:p>
      <w:pPr>
        <w:spacing w:line="600" w:lineRule="exact"/>
        <w:ind w:firstLine="640"/>
        <w:outlineLvl w:val="2"/>
        <w:rPr>
          <w:rFonts w:ascii="仿宋" w:hAnsi="仿宋" w:eastAsia="仿宋"/>
          <w:b/>
          <w:sz w:val="32"/>
          <w:szCs w:val="32"/>
        </w:rPr>
      </w:pPr>
      <w:bookmarkStart w:id="77" w:name="_Toc15377217"/>
      <w:bookmarkStart w:id="78" w:name="_Toc144282024"/>
      <w:r>
        <w:rPr>
          <w:rFonts w:hint="eastAsia" w:ascii="仿宋" w:hAnsi="仿宋" w:eastAsia="仿宋"/>
          <w:b/>
          <w:sz w:val="32"/>
          <w:szCs w:val="32"/>
        </w:rPr>
        <w:t>（二）“三公”经费财政拨款支出决算具体情况说明</w:t>
      </w:r>
      <w:bookmarkEnd w:id="77"/>
      <w:bookmarkEnd w:id="7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；公务用车购置及运行维护费支出决算4.98万元，占82.86</w:t>
      </w:r>
      <w:r>
        <w:rPr>
          <w:rFonts w:ascii="仿宋" w:hAnsi="仿宋" w:eastAsia="仿宋"/>
          <w:sz w:val="32"/>
          <w:szCs w:val="32"/>
        </w:rPr>
        <w:t>%</w:t>
      </w:r>
      <w:r>
        <w:rPr>
          <w:rFonts w:hint="eastAsia" w:ascii="仿宋" w:hAnsi="仿宋" w:eastAsia="仿宋"/>
          <w:sz w:val="32"/>
          <w:szCs w:val="32"/>
        </w:rPr>
        <w:t>；公务接待费支出决算1.04万元，占17.14</w:t>
      </w:r>
      <w:r>
        <w:rPr>
          <w:rFonts w:ascii="仿宋" w:hAnsi="仿宋" w:eastAsia="仿宋"/>
          <w:sz w:val="32"/>
          <w:szCs w:val="32"/>
        </w:rPr>
        <w:t>%</w:t>
      </w:r>
      <w:r>
        <w:rPr>
          <w:rFonts w:hint="eastAsia" w:ascii="仿宋" w:hAnsi="仿宋" w:eastAsia="仿宋"/>
          <w:sz w:val="32"/>
          <w:szCs w:val="32"/>
        </w:rPr>
        <w:t>。具体情况如下：</w:t>
      </w:r>
    </w:p>
    <w:p>
      <w:pPr>
        <w:pStyle w:val="2"/>
        <w:spacing w:before="93"/>
      </w:pPr>
    </w:p>
    <w:p>
      <w:pPr>
        <w:pStyle w:val="2"/>
        <w:spacing w:before="93"/>
      </w:pPr>
      <w:r>
        <w:drawing>
          <wp:inline distT="0" distB="0" distL="0" distR="0">
            <wp:extent cx="4572000" cy="2743200"/>
            <wp:effectExtent l="19050" t="0" r="19050" b="0"/>
            <wp:docPr id="2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24"/>
          <w:rFonts w:hint="eastAsia" w:ascii="仿宋" w:hAnsi="仿宋" w:eastAsia="仿宋"/>
          <w:b w:val="0"/>
          <w:bCs/>
          <w:sz w:val="32"/>
          <w:szCs w:val="32"/>
        </w:rPr>
        <w:t>完成预算0</w:t>
      </w:r>
      <w:r>
        <w:rPr>
          <w:rStyle w:val="24"/>
          <w:rFonts w:ascii="仿宋" w:hAnsi="仿宋" w:eastAsia="仿宋"/>
          <w:b w:val="0"/>
          <w:bCs/>
          <w:sz w:val="32"/>
          <w:szCs w:val="32"/>
        </w:rPr>
        <w:t>%</w:t>
      </w:r>
      <w:r>
        <w:rPr>
          <w:rStyle w:val="2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4.98万元,</w:t>
      </w:r>
      <w:r>
        <w:rPr>
          <w:rStyle w:val="24"/>
          <w:rFonts w:hint="eastAsia" w:ascii="仿宋" w:hAnsi="仿宋" w:eastAsia="仿宋"/>
          <w:b w:val="0"/>
          <w:bCs/>
          <w:sz w:val="32"/>
          <w:szCs w:val="32"/>
        </w:rPr>
        <w:t>完成预算100</w:t>
      </w:r>
      <w:r>
        <w:rPr>
          <w:rStyle w:val="24"/>
          <w:rFonts w:ascii="仿宋" w:hAnsi="仿宋" w:eastAsia="仿宋"/>
          <w:b w:val="0"/>
          <w:bCs/>
          <w:sz w:val="32"/>
          <w:szCs w:val="32"/>
        </w:rPr>
        <w:t>%</w:t>
      </w:r>
      <w:r>
        <w:rPr>
          <w:rStyle w:val="2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21年减少1.65万元，下降24.89</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月底，单位共有公务用车5辆，其中：轿车4辆、越野车1辆、载客汽车0辆。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4.98万元。主要用于下乡调研、联系代表、外出培训等所需的公务用车燃料费、维修费、过路过桥费、保险费等支出。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1.04万元，</w:t>
      </w:r>
      <w:r>
        <w:rPr>
          <w:rStyle w:val="24"/>
          <w:rFonts w:hint="eastAsia" w:ascii="仿宋" w:hAnsi="仿宋" w:eastAsia="仿宋"/>
          <w:b w:val="0"/>
          <w:bCs/>
          <w:sz w:val="32"/>
          <w:szCs w:val="32"/>
        </w:rPr>
        <w:t>完成预算100</w:t>
      </w:r>
      <w:r>
        <w:rPr>
          <w:rStyle w:val="24"/>
          <w:rFonts w:ascii="仿宋" w:hAnsi="仿宋" w:eastAsia="仿宋"/>
          <w:b w:val="0"/>
          <w:bCs/>
          <w:sz w:val="32"/>
          <w:szCs w:val="32"/>
        </w:rPr>
        <w:t>%</w:t>
      </w:r>
      <w:r>
        <w:rPr>
          <w:rStyle w:val="24"/>
          <w:rFonts w:hint="eastAsia" w:ascii="仿宋" w:hAnsi="仿宋" w:eastAsia="仿宋"/>
          <w:b w:val="0"/>
          <w:bCs/>
          <w:sz w:val="32"/>
          <w:szCs w:val="32"/>
        </w:rPr>
        <w:t>。</w:t>
      </w:r>
      <w:r>
        <w:rPr>
          <w:rFonts w:hint="eastAsia" w:ascii="仿宋_GB2312" w:eastAsia="仿宋_GB2312"/>
          <w:sz w:val="32"/>
          <w:szCs w:val="32"/>
        </w:rPr>
        <w:t>公务接待费支出决算与</w:t>
      </w:r>
      <w:r>
        <w:rPr>
          <w:rFonts w:ascii="仿宋_GB2312" w:eastAsia="仿宋_GB2312"/>
          <w:sz w:val="32"/>
          <w:szCs w:val="32"/>
        </w:rPr>
        <w:t>20</w:t>
      </w:r>
      <w:r>
        <w:rPr>
          <w:rFonts w:hint="eastAsia" w:ascii="仿宋_GB2312" w:eastAsia="仿宋_GB2312"/>
          <w:sz w:val="32"/>
          <w:szCs w:val="32"/>
        </w:rPr>
        <w:t>21年几乎持平。</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1.04</w:t>
      </w:r>
      <w:r>
        <w:rPr>
          <w:rFonts w:hint="eastAsia" w:ascii="仿宋_GB2312" w:eastAsia="仿宋_GB2312"/>
          <w:sz w:val="32"/>
          <w:szCs w:val="32"/>
        </w:rPr>
        <w:t>万元，主要用于接待考察调研人员的用餐费等。国内公务接待6批次，82人次，共计支出1.04万元。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bookmarkStart w:id="79" w:name="_Toc15396610"/>
      <w:bookmarkStart w:id="80" w:name="_Toc15377218"/>
    </w:p>
    <w:p>
      <w:pPr>
        <w:spacing w:line="600" w:lineRule="exact"/>
        <w:ind w:firstLine="640"/>
        <w:outlineLvl w:val="1"/>
        <w:rPr>
          <w:rStyle w:val="37"/>
          <w:rFonts w:ascii="黑体" w:hAnsi="黑体" w:eastAsia="黑体"/>
        </w:rPr>
      </w:pPr>
      <w:bookmarkStart w:id="81" w:name="_Toc144282025"/>
      <w:r>
        <w:rPr>
          <w:rFonts w:hint="eastAsia" w:ascii="黑体" w:eastAsia="黑体"/>
          <w:sz w:val="32"/>
          <w:szCs w:val="32"/>
        </w:rPr>
        <w:t>八、</w:t>
      </w:r>
      <w:r>
        <w:rPr>
          <w:rStyle w:val="37"/>
          <w:rFonts w:hint="eastAsia" w:ascii="黑体" w:hAnsi="黑体" w:eastAsia="黑体"/>
          <w:b w:val="0"/>
        </w:rPr>
        <w:t>政府性基金预算支出决算情况说明</w:t>
      </w:r>
      <w:bookmarkEnd w:id="79"/>
      <w:bookmarkEnd w:id="80"/>
      <w:bookmarkEnd w:id="8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37"/>
          <w:rFonts w:ascii="黑体" w:hAnsi="黑体" w:eastAsia="黑体"/>
          <w:b w:val="0"/>
        </w:rPr>
      </w:pPr>
      <w:bookmarkStart w:id="82" w:name="_Toc144282026"/>
      <w:bookmarkStart w:id="83" w:name="_Toc15377219"/>
      <w:bookmarkStart w:id="84" w:name="_Toc15396611"/>
      <w:r>
        <w:rPr>
          <w:rStyle w:val="37"/>
          <w:rFonts w:hint="eastAsia" w:ascii="黑体" w:hAnsi="黑体" w:eastAsia="黑体"/>
          <w:b w:val="0"/>
        </w:rPr>
        <w:t>国有资本经营预算支出决算情况说明</w:t>
      </w:r>
      <w:bookmarkEnd w:id="82"/>
      <w:bookmarkEnd w:id="83"/>
      <w:bookmarkEnd w:id="8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37"/>
          <w:rFonts w:ascii="黑体" w:hAnsi="黑体" w:eastAsia="黑体"/>
          <w:b w:val="0"/>
        </w:rPr>
      </w:pPr>
      <w:bookmarkStart w:id="85" w:name="_Toc144282027"/>
      <w:bookmarkStart w:id="86" w:name="_Toc15396612"/>
      <w:bookmarkStart w:id="87" w:name="_Toc15377221"/>
      <w:r>
        <w:rPr>
          <w:rStyle w:val="37"/>
          <w:rFonts w:hint="eastAsia" w:ascii="黑体" w:hAnsi="黑体" w:eastAsia="黑体"/>
          <w:b w:val="0"/>
        </w:rPr>
        <w:t>其他重要事项的情况说明</w:t>
      </w:r>
      <w:bookmarkEnd w:id="85"/>
      <w:bookmarkEnd w:id="86"/>
      <w:bookmarkEnd w:id="87"/>
    </w:p>
    <w:p>
      <w:pPr>
        <w:spacing w:line="600" w:lineRule="exact"/>
        <w:ind w:firstLine="643" w:firstLineChars="200"/>
        <w:outlineLvl w:val="2"/>
        <w:rPr>
          <w:rFonts w:ascii="仿宋" w:hAnsi="仿宋" w:eastAsia="仿宋"/>
          <w:sz w:val="32"/>
          <w:szCs w:val="32"/>
        </w:rPr>
      </w:pPr>
      <w:bookmarkStart w:id="88" w:name="_Toc15377222"/>
      <w:bookmarkStart w:id="89" w:name="_Toc144282028"/>
      <w:r>
        <w:rPr>
          <w:rFonts w:hint="eastAsia" w:ascii="仿宋" w:hAnsi="仿宋" w:eastAsia="仿宋"/>
          <w:b/>
          <w:sz w:val="32"/>
          <w:szCs w:val="32"/>
        </w:rPr>
        <w:t>（一）机关运行经费支出情况</w:t>
      </w:r>
      <w:bookmarkEnd w:id="88"/>
      <w:bookmarkEnd w:id="8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人大常委会机关</w:t>
      </w:r>
      <w:r>
        <w:rPr>
          <w:rFonts w:hint="eastAsia" w:ascii="仿宋_GB2312" w:eastAsia="仿宋_GB2312"/>
          <w:sz w:val="32"/>
          <w:szCs w:val="32"/>
        </w:rPr>
        <w:t>运行经费支出115.96万元，比</w:t>
      </w:r>
      <w:r>
        <w:rPr>
          <w:rFonts w:ascii="仿宋_GB2312" w:eastAsia="仿宋_GB2312"/>
          <w:sz w:val="32"/>
          <w:szCs w:val="32"/>
        </w:rPr>
        <w:t>20</w:t>
      </w:r>
      <w:r>
        <w:rPr>
          <w:rFonts w:hint="eastAsia" w:ascii="仿宋_GB2312" w:eastAsia="仿宋_GB2312"/>
          <w:sz w:val="32"/>
          <w:szCs w:val="32"/>
        </w:rPr>
        <w:t>21年增加89.81万元，增长343.44</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0" w:name="_Toc15377223"/>
      <w:bookmarkStart w:id="91" w:name="_Toc144282029"/>
      <w:r>
        <w:rPr>
          <w:rFonts w:hint="eastAsia" w:ascii="仿宋" w:hAnsi="仿宋" w:eastAsia="仿宋"/>
          <w:b/>
          <w:sz w:val="32"/>
          <w:szCs w:val="32"/>
        </w:rPr>
        <w:t>（二）政府采购支出情况</w:t>
      </w:r>
      <w:bookmarkEnd w:id="90"/>
      <w:bookmarkEnd w:id="9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22年，政府采购支出总额0万元，其中：政府采购货物支出0万元、政府采购工程支出0万元、政府采购服务支出0万元。授予中小企业合同金额</w:t>
      </w:r>
      <w:r>
        <w:rPr>
          <w:rFonts w:ascii="仿宋_GB2312" w:eastAsia="仿宋_GB2312"/>
          <w:sz w:val="32"/>
          <w:szCs w:val="32"/>
        </w:rPr>
        <w:t>**</w:t>
      </w:r>
      <w:r>
        <w:rPr>
          <w:rFonts w:hint="eastAsia" w:ascii="仿宋_GB2312" w:eastAsia="仿宋_GB2312"/>
          <w:sz w:val="32"/>
          <w:szCs w:val="32"/>
        </w:rPr>
        <w:t>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2" w:name="_Toc144282030"/>
      <w:bookmarkStart w:id="93" w:name="_Toc15377224"/>
      <w:r>
        <w:rPr>
          <w:rFonts w:hint="eastAsia" w:ascii="仿宋" w:hAnsi="仿宋" w:eastAsia="仿宋"/>
          <w:b/>
          <w:sz w:val="32"/>
          <w:szCs w:val="32"/>
        </w:rPr>
        <w:t>（三）国有资产占有使用情况</w:t>
      </w:r>
      <w:bookmarkEnd w:id="92"/>
      <w:bookmarkEnd w:id="9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日，资阳市</w:t>
      </w:r>
      <w:r>
        <w:rPr>
          <w:rFonts w:ascii="仿宋_GB2312" w:eastAsia="仿宋_GB2312"/>
          <w:sz w:val="32"/>
          <w:szCs w:val="32"/>
        </w:rPr>
        <w:t>雁江区人民代表大会常务委员会办公室</w:t>
      </w:r>
      <w:r>
        <w:rPr>
          <w:rFonts w:hint="eastAsia" w:ascii="仿宋_GB2312" w:eastAsia="仿宋_GB2312"/>
          <w:sz w:val="32"/>
          <w:szCs w:val="32"/>
        </w:rPr>
        <w:t>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4" w:name="_Toc144282031"/>
      <w:r>
        <w:rPr>
          <w:rFonts w:hint="eastAsia" w:ascii="仿宋" w:hAnsi="仿宋" w:eastAsia="仿宋"/>
          <w:b/>
          <w:sz w:val="32"/>
          <w:szCs w:val="32"/>
        </w:rPr>
        <w:t>（四）预算绩效管理情况</w:t>
      </w:r>
      <w:bookmarkEnd w:id="94"/>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根据预算绩效管理要求，本部门在2022年度预算编制阶段，组织对人大相关专项工作经费等13个项目开展了预算事前绩效评估，对13个项目编制了绩效目标，预算执行过程中，选取13个项目开展绩效监控。</w:t>
      </w:r>
    </w:p>
    <w:p>
      <w:pPr>
        <w:widowControl/>
        <w:ind w:firstLine="640" w:firstLineChars="200"/>
        <w:jc w:val="left"/>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资阳市雁江区人大常委会办公室部门整体（含部门预算项目）绩效自评报告、专项预算项目绩效自评报告，其中，部门整体（含部门预算项目）绩效自评得分为92.28分，绩效自评报告详见附件。</w:t>
      </w: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6"/>
          <w:rFonts w:ascii="黑体" w:hAnsi="黑体" w:eastAsia="黑体"/>
          <w:b w:val="0"/>
        </w:rPr>
      </w:pPr>
      <w:bookmarkStart w:id="95" w:name="_Toc15396613"/>
      <w:bookmarkStart w:id="96" w:name="_Toc15377225"/>
      <w:bookmarkStart w:id="97" w:name="_Toc144282032"/>
      <w:r>
        <w:rPr>
          <w:rFonts w:hint="eastAsia" w:ascii="黑体" w:hAnsi="黑体" w:eastAsia="黑体"/>
          <w:sz w:val="44"/>
          <w:szCs w:val="44"/>
        </w:rPr>
        <w:t>名</w:t>
      </w:r>
      <w:r>
        <w:rPr>
          <w:rStyle w:val="36"/>
          <w:rFonts w:hint="eastAsia" w:ascii="黑体" w:hAnsi="黑体" w:eastAsia="黑体"/>
          <w:b w:val="0"/>
        </w:rPr>
        <w:t>词解释</w:t>
      </w:r>
      <w:bookmarkEnd w:id="95"/>
      <w:bookmarkEnd w:id="96"/>
      <w:bookmarkEnd w:id="97"/>
    </w:p>
    <w:p>
      <w:pPr>
        <w:spacing w:line="600" w:lineRule="exact"/>
        <w:jc w:val="left"/>
        <w:rPr>
          <w:rFonts w:ascii="宋体"/>
          <w:b/>
          <w:sz w:val="44"/>
          <w:szCs w:val="44"/>
        </w:rPr>
      </w:pP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w:t>
      </w:r>
      <w:r>
        <w:rPr>
          <w:rFonts w:ascii="仿宋_GB2312" w:eastAsia="仿宋_GB2312"/>
          <w:color w:val="auto"/>
          <w:sz w:val="32"/>
          <w:szCs w:val="32"/>
        </w:rPr>
        <w:t>一般公共服务（类）人大事务（款）行政运行（项）：指行政单位用于保障机构正常运行、开展日常工作的基本支出。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w:t>
      </w:r>
      <w:r>
        <w:rPr>
          <w:rFonts w:ascii="仿宋_GB2312" w:eastAsia="仿宋_GB2312"/>
          <w:color w:val="auto"/>
          <w:sz w:val="32"/>
          <w:szCs w:val="32"/>
        </w:rPr>
        <w:t>一般公共服务（类）人大事务（款）一般行政管理事务（项）：指行政单位用于处理各项管理事务的项目支出。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w:t>
      </w:r>
      <w:r>
        <w:rPr>
          <w:rFonts w:ascii="仿宋_GB2312" w:eastAsia="仿宋_GB2312"/>
          <w:color w:val="auto"/>
          <w:sz w:val="32"/>
          <w:szCs w:val="32"/>
        </w:rPr>
        <w:t>一般公共服务（类）人大事务（款）人大会议（项）：指保障人代会顺利进行的项目支出。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12</w:t>
      </w:r>
      <w:r>
        <w:rPr>
          <w:rFonts w:hint="eastAsia" w:ascii="仿宋_GB2312" w:eastAsia="仿宋_GB2312"/>
          <w:color w:val="auto"/>
          <w:sz w:val="32"/>
          <w:szCs w:val="32"/>
        </w:rPr>
        <w:t>．</w:t>
      </w:r>
      <w:r>
        <w:rPr>
          <w:rFonts w:ascii="仿宋_GB2312" w:eastAsia="仿宋_GB2312"/>
          <w:color w:val="auto"/>
          <w:sz w:val="32"/>
          <w:szCs w:val="32"/>
        </w:rPr>
        <w:t>一般公共服务（类）人大事务（款）代表工作（项）：指人大代表开展相关活动的项目支出。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13</w:t>
      </w:r>
      <w:r>
        <w:rPr>
          <w:rFonts w:hint="eastAsia" w:ascii="仿宋_GB2312" w:eastAsia="仿宋_GB2312"/>
          <w:color w:val="auto"/>
          <w:sz w:val="32"/>
          <w:szCs w:val="32"/>
        </w:rPr>
        <w:t>．</w:t>
      </w:r>
      <w:r>
        <w:rPr>
          <w:rFonts w:ascii="仿宋_GB2312" w:eastAsia="仿宋_GB2312"/>
          <w:color w:val="auto"/>
          <w:sz w:val="32"/>
          <w:szCs w:val="32"/>
        </w:rPr>
        <w:t>一般公共服务（类）人大事务（款）其他人大事务支出（项）：指除上述支出以外的项目支出。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14</w:t>
      </w:r>
      <w:r>
        <w:rPr>
          <w:rFonts w:hint="eastAsia" w:ascii="仿宋_GB2312" w:eastAsia="仿宋_GB2312"/>
          <w:color w:val="auto"/>
          <w:sz w:val="32"/>
          <w:szCs w:val="32"/>
        </w:rPr>
        <w:t>．</w:t>
      </w:r>
      <w:r>
        <w:rPr>
          <w:rFonts w:ascii="仿宋_GB2312" w:eastAsia="仿宋_GB2312"/>
          <w:color w:val="auto"/>
          <w:sz w:val="32"/>
          <w:szCs w:val="32"/>
        </w:rPr>
        <w:t>社会保障和就业支出（类）行政事业单位离退休（款）</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归口管理的行政单位离退休（项）：指部门支出的退休人员生活补助。</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15</w:t>
      </w:r>
      <w:r>
        <w:rPr>
          <w:rFonts w:hint="eastAsia" w:ascii="仿宋_GB2312" w:eastAsia="仿宋_GB2312"/>
          <w:color w:val="auto"/>
          <w:sz w:val="32"/>
          <w:szCs w:val="32"/>
        </w:rPr>
        <w:t>．</w:t>
      </w:r>
      <w:r>
        <w:rPr>
          <w:rFonts w:ascii="仿宋_GB2312" w:eastAsia="仿宋_GB2312"/>
          <w:color w:val="auto"/>
          <w:sz w:val="32"/>
          <w:szCs w:val="32"/>
        </w:rPr>
        <w:t>社会保障和就业（类）行政事业单位离退休（款）机关事业单位基本养老保险缴费支出（项）：指部门实施养老保险制度由单位缴纳的养老保险费的支出。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16</w:t>
      </w:r>
      <w:r>
        <w:rPr>
          <w:rFonts w:hint="eastAsia" w:ascii="仿宋_GB2312" w:eastAsia="仿宋_GB2312"/>
          <w:color w:val="auto"/>
          <w:sz w:val="32"/>
          <w:szCs w:val="32"/>
        </w:rPr>
        <w:t>．</w:t>
      </w:r>
      <w:r>
        <w:rPr>
          <w:rFonts w:ascii="仿宋_GB2312" w:eastAsia="仿宋_GB2312"/>
          <w:color w:val="auto"/>
          <w:sz w:val="32"/>
          <w:szCs w:val="32"/>
        </w:rPr>
        <w:t>社会保障和就业支出（类）行政事业单位离退休（款）机关事业单位职业年金缴费支出(项)：指部门按规定缴纳的职业年金缴费支出。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17</w:t>
      </w:r>
      <w:r>
        <w:rPr>
          <w:rFonts w:hint="eastAsia" w:ascii="仿宋_GB2312" w:eastAsia="仿宋_GB2312"/>
          <w:color w:val="auto"/>
          <w:sz w:val="32"/>
          <w:szCs w:val="32"/>
        </w:rPr>
        <w:t>．</w:t>
      </w:r>
      <w:r>
        <w:rPr>
          <w:rFonts w:ascii="仿宋_GB2312" w:eastAsia="仿宋_GB2312"/>
          <w:color w:val="auto"/>
          <w:sz w:val="32"/>
          <w:szCs w:val="32"/>
        </w:rPr>
        <w:t>医疗卫生与计划生育支出（类）行政事业单位医疗（款）行政单位医疗（项）：指部门按规定缴纳的基本医疗保险缴费支出。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18</w:t>
      </w:r>
      <w:r>
        <w:rPr>
          <w:rFonts w:hint="eastAsia" w:ascii="仿宋_GB2312" w:eastAsia="仿宋_GB2312"/>
          <w:color w:val="auto"/>
          <w:sz w:val="32"/>
          <w:szCs w:val="32"/>
        </w:rPr>
        <w:t>．</w:t>
      </w:r>
      <w:r>
        <w:rPr>
          <w:rFonts w:ascii="仿宋_GB2312" w:eastAsia="仿宋_GB2312"/>
          <w:color w:val="auto"/>
          <w:sz w:val="32"/>
          <w:szCs w:val="32"/>
        </w:rPr>
        <w:t>医疗卫生与计划生育支出（类）行政事业单位医疗（款）</w:t>
      </w:r>
      <w:bookmarkStart w:id="98" w:name="OLE_LINK10"/>
      <w:r>
        <w:rPr>
          <w:rFonts w:ascii="仿宋_GB2312" w:eastAsia="仿宋_GB2312"/>
          <w:color w:val="auto"/>
          <w:sz w:val="32"/>
          <w:szCs w:val="32"/>
        </w:rPr>
        <w:t>公务员医疗补助</w:t>
      </w:r>
      <w:bookmarkEnd w:id="98"/>
      <w:r>
        <w:rPr>
          <w:rFonts w:ascii="仿宋_GB2312" w:eastAsia="仿宋_GB2312"/>
          <w:color w:val="auto"/>
          <w:sz w:val="32"/>
          <w:szCs w:val="32"/>
        </w:rPr>
        <w:t>（项）：指部门按规定缴纳的公务员医疗补助缴费支出。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19</w:t>
      </w:r>
      <w:r>
        <w:rPr>
          <w:rFonts w:hint="eastAsia" w:ascii="仿宋_GB2312" w:eastAsia="仿宋_GB2312"/>
          <w:color w:val="auto"/>
          <w:sz w:val="32"/>
          <w:szCs w:val="32"/>
        </w:rPr>
        <w:t>．</w:t>
      </w:r>
      <w:r>
        <w:rPr>
          <w:rFonts w:ascii="仿宋_GB2312" w:eastAsia="仿宋_GB2312"/>
          <w:color w:val="auto"/>
          <w:sz w:val="32"/>
          <w:szCs w:val="32"/>
        </w:rPr>
        <w:t>住房保障支出（类）住房改革支出（款）住房公积金（项）：指部门按人力资源和社会保障部、财政部规定的基本工资和津贴补贴以及规定比例为职工缴纳的住房公积金支出。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w:t>
      </w:r>
      <w:r>
        <w:rPr>
          <w:rFonts w:ascii="仿宋_GB2312" w:eastAsia="仿宋_GB2312"/>
          <w:color w:val="auto"/>
          <w:sz w:val="32"/>
          <w:szCs w:val="32"/>
        </w:rPr>
        <w:t>基本支出：指为保障机构正常运转、完成日常工作任务而发生的人员支出和公用支出。</w:t>
      </w:r>
    </w:p>
    <w:p>
      <w:pPr>
        <w:pStyle w:val="3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21</w:t>
      </w:r>
      <w:r>
        <w:rPr>
          <w:rFonts w:hint="eastAsia" w:ascii="仿宋_GB2312" w:eastAsia="仿宋_GB2312"/>
          <w:color w:val="auto"/>
          <w:sz w:val="32"/>
          <w:szCs w:val="32"/>
        </w:rPr>
        <w:t>．</w:t>
      </w:r>
      <w:r>
        <w:rPr>
          <w:rFonts w:ascii="仿宋_GB2312" w:eastAsia="仿宋_GB2312"/>
          <w:color w:val="auto"/>
          <w:sz w:val="32"/>
          <w:szCs w:val="32"/>
        </w:rPr>
        <w:t xml:space="preserve">项目支出：指在基本支出之外为完成特定行政任务和事业发展目标所发生的支出。 </w:t>
      </w:r>
    </w:p>
    <w:p>
      <w:pPr>
        <w:pStyle w:val="34"/>
        <w:spacing w:line="560" w:lineRule="exact"/>
        <w:ind w:firstLine="640" w:firstLineChars="200"/>
        <w:rPr>
          <w:rFonts w:ascii="仿宋_GB2312" w:eastAsia="仿宋_GB2312"/>
          <w:sz w:val="32"/>
          <w:szCs w:val="32"/>
        </w:rPr>
      </w:pPr>
      <w:r>
        <w:rPr>
          <w:rFonts w:ascii="仿宋_GB2312" w:eastAsia="仿宋_GB2312"/>
          <w:color w:val="auto"/>
          <w:sz w:val="32"/>
          <w:szCs w:val="32"/>
        </w:rPr>
        <w:t>22</w:t>
      </w:r>
      <w:r>
        <w:rPr>
          <w:rFonts w:hint="eastAsia" w:ascii="仿宋_GB2312" w:eastAsia="仿宋_GB2312"/>
          <w:color w:val="auto"/>
          <w:sz w:val="32"/>
          <w:szCs w:val="32"/>
        </w:rPr>
        <w:t>．</w:t>
      </w:r>
      <w:r>
        <w:rPr>
          <w:rFonts w:ascii="仿宋_GB2312" w:eastAsia="仿宋_GB2312"/>
          <w:color w:val="auto"/>
          <w:sz w:val="32"/>
          <w:szCs w:val="32"/>
        </w:rPr>
        <w:t>经营支出：指事业单位在专业业务活动及其辅助活动之外开展非独立核算经营活动发生的支出</w:t>
      </w:r>
      <w:r>
        <w:rPr>
          <w:rFonts w:hint="eastAsia" w:ascii="仿宋_GB2312" w:eastAsia="仿宋_GB2312"/>
          <w:color w:val="auto"/>
          <w:sz w:val="32"/>
          <w:szCs w:val="32"/>
        </w:rPr>
        <w:t>。</w:t>
      </w:r>
    </w:p>
    <w:p>
      <w:pPr>
        <w:pStyle w:val="3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23</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24</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4"/>
        <w:spacing w:line="560" w:lineRule="exact"/>
        <w:ind w:firstLine="640" w:firstLineChars="200"/>
        <w:rPr>
          <w:rFonts w:ascii="仿宋_GB2312" w:eastAsia="仿宋_GB2312" w:cs="黑体"/>
          <w:color w:val="auto"/>
          <w:sz w:val="32"/>
          <w:szCs w:val="32"/>
        </w:rPr>
      </w:pPr>
    </w:p>
    <w:p>
      <w:pPr>
        <w:spacing w:line="600" w:lineRule="exact"/>
        <w:outlineLvl w:val="0"/>
        <w:rPr>
          <w:rStyle w:val="36"/>
          <w:rFonts w:ascii="黑体" w:hAnsi="黑体" w:eastAsia="黑体"/>
          <w:b w:val="0"/>
        </w:rPr>
      </w:pPr>
      <w:bookmarkStart w:id="99" w:name="_Toc15377226"/>
      <w:r>
        <w:rPr>
          <w:rFonts w:ascii="宋体"/>
          <w:b/>
          <w:sz w:val="44"/>
          <w:szCs w:val="44"/>
        </w:rPr>
        <w:br w:type="page"/>
      </w:r>
      <w:bookmarkStart w:id="100" w:name="_Toc15396614"/>
      <w:bookmarkStart w:id="101" w:name="_Toc144282033"/>
      <w:r>
        <w:rPr>
          <w:rFonts w:hint="eastAsia" w:ascii="黑体" w:hAnsi="黑体" w:eastAsia="黑体"/>
          <w:sz w:val="44"/>
          <w:szCs w:val="44"/>
        </w:rPr>
        <w:t>第</w:t>
      </w:r>
      <w:r>
        <w:rPr>
          <w:rStyle w:val="36"/>
          <w:rFonts w:hint="eastAsia" w:ascii="黑体" w:hAnsi="黑体" w:eastAsia="黑体"/>
          <w:b w:val="0"/>
        </w:rPr>
        <w:t>四部分 附件</w:t>
      </w:r>
      <w:bookmarkEnd w:id="100"/>
      <w:bookmarkEnd w:id="101"/>
    </w:p>
    <w:p>
      <w:pPr>
        <w:adjustRightInd w:val="0"/>
        <w:snapToGrid w:val="0"/>
        <w:spacing w:line="590" w:lineRule="exact"/>
        <w:jc w:val="center"/>
        <w:rPr>
          <w:rFonts w:ascii="黑体" w:hAnsi="黑体" w:eastAsia="黑体" w:cs="黑体"/>
          <w:sz w:val="32"/>
          <w:szCs w:val="32"/>
        </w:rPr>
      </w:pPr>
    </w:p>
    <w:p>
      <w:pPr>
        <w:adjustRightInd w:val="0"/>
        <w:snapToGrid w:val="0"/>
        <w:spacing w:line="590" w:lineRule="exact"/>
        <w:jc w:val="center"/>
        <w:rPr>
          <w:rFonts w:ascii="宋体" w:hAnsi="宋体" w:eastAsia="方正小标宋_GBK"/>
          <w:snapToGrid w:val="0"/>
          <w:kern w:val="0"/>
          <w:sz w:val="44"/>
          <w:szCs w:val="44"/>
        </w:rPr>
      </w:pPr>
      <w:r>
        <w:rPr>
          <w:rFonts w:hint="eastAsia" w:ascii="宋体" w:hAnsi="宋体" w:eastAsia="方正小标宋_GBK"/>
          <w:snapToGrid w:val="0"/>
          <w:kern w:val="0"/>
          <w:sz w:val="44"/>
          <w:szCs w:val="44"/>
        </w:rPr>
        <w:t>资阳市雁江区人大常委会办公室</w:t>
      </w:r>
    </w:p>
    <w:p>
      <w:pPr>
        <w:adjustRightInd w:val="0"/>
        <w:snapToGrid w:val="0"/>
        <w:spacing w:line="590" w:lineRule="exact"/>
        <w:jc w:val="center"/>
        <w:rPr>
          <w:rFonts w:ascii="宋体" w:hAnsi="宋体" w:eastAsia="方正小标宋_GBK"/>
          <w:b/>
          <w:snapToGrid w:val="0"/>
          <w:kern w:val="0"/>
          <w:sz w:val="44"/>
          <w:szCs w:val="44"/>
        </w:rPr>
      </w:pPr>
      <w:r>
        <w:rPr>
          <w:rFonts w:hint="eastAsia" w:ascii="宋体" w:hAnsi="宋体" w:eastAsia="方正小标宋_GBK"/>
          <w:snapToGrid w:val="0"/>
          <w:kern w:val="0"/>
          <w:sz w:val="44"/>
          <w:szCs w:val="44"/>
        </w:rPr>
        <w:t>关于2022年度财政支出绩效自评报告</w:t>
      </w:r>
    </w:p>
    <w:p>
      <w:pPr>
        <w:pStyle w:val="2"/>
        <w:adjustRightInd w:val="0"/>
        <w:snapToGrid w:val="0"/>
        <w:spacing w:before="93" w:line="590" w:lineRule="exact"/>
        <w:rPr>
          <w:rFonts w:ascii="宋体" w:hAnsi="宋体" w:eastAsia="方正仿宋_GBK"/>
          <w:snapToGrid w:val="0"/>
          <w:sz w:val="33"/>
          <w:szCs w:val="33"/>
        </w:rPr>
      </w:pPr>
    </w:p>
    <w:p>
      <w:pPr>
        <w:pStyle w:val="2"/>
        <w:adjustRightInd w:val="0"/>
        <w:snapToGrid w:val="0"/>
        <w:spacing w:before="93" w:line="590" w:lineRule="exact"/>
        <w:rPr>
          <w:rFonts w:ascii="宋体" w:hAnsi="宋体" w:eastAsia="方正仿宋_GBK"/>
          <w:snapToGrid w:val="0"/>
          <w:sz w:val="33"/>
          <w:szCs w:val="33"/>
        </w:rPr>
      </w:pPr>
      <w:r>
        <w:rPr>
          <w:rFonts w:hint="eastAsia" w:ascii="宋体" w:hAnsi="宋体" w:eastAsia="方正仿宋_GBK"/>
          <w:snapToGrid w:val="0"/>
          <w:sz w:val="33"/>
          <w:szCs w:val="33"/>
        </w:rPr>
        <w:t>区财政局：</w:t>
      </w:r>
    </w:p>
    <w:p>
      <w:pPr>
        <w:adjustRightInd w:val="0"/>
        <w:snapToGrid w:val="0"/>
        <w:spacing w:line="590" w:lineRule="exact"/>
        <w:ind w:firstLine="660" w:firstLineChars="200"/>
        <w:rPr>
          <w:rFonts w:ascii="宋体" w:hAnsi="宋体" w:eastAsia="方正仿宋_GBK"/>
          <w:b/>
          <w:snapToGrid w:val="0"/>
          <w:kern w:val="0"/>
          <w:sz w:val="33"/>
          <w:szCs w:val="33"/>
        </w:rPr>
      </w:pPr>
      <w:r>
        <w:rPr>
          <w:rFonts w:hint="eastAsia" w:ascii="宋体" w:hAnsi="宋体" w:eastAsia="方正仿宋_GBK"/>
          <w:snapToGrid w:val="0"/>
          <w:kern w:val="0"/>
          <w:sz w:val="33"/>
          <w:szCs w:val="33"/>
        </w:rPr>
        <w:t>根据资阳市雁江区财政局《关于开展2022年度财政支出绩效自评工作的通知》（资雁财发〔2023〕165号）文件要求，现将我单位支出绩效自评报告如下。</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一、部门（单位）概况</w:t>
      </w:r>
    </w:p>
    <w:p>
      <w:pPr>
        <w:adjustRightInd w:val="0"/>
        <w:snapToGrid w:val="0"/>
        <w:spacing w:line="590" w:lineRule="exact"/>
        <w:ind w:firstLine="663" w:firstLineChars="200"/>
        <w:rPr>
          <w:rFonts w:ascii="宋体" w:hAnsi="宋体" w:eastAsia="方正楷体_GBK"/>
          <w:snapToGrid w:val="0"/>
          <w:kern w:val="0"/>
          <w:sz w:val="33"/>
          <w:szCs w:val="33"/>
        </w:rPr>
      </w:pPr>
      <w:r>
        <w:rPr>
          <w:rFonts w:hint="eastAsia" w:ascii="宋体" w:hAnsi="宋体" w:eastAsia="方正楷体_GBK"/>
          <w:b/>
          <w:snapToGrid w:val="0"/>
          <w:kern w:val="0"/>
          <w:sz w:val="33"/>
          <w:szCs w:val="33"/>
        </w:rPr>
        <w:t>（一）机构组成</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根据《关于印发&lt;资阳市雁江区人大常委会机关职能配置、内设机构和人员编制规定&gt;的通知》，常委会机关编制数共26个，其中公务员编制22个，工勤编制4个，22个公务员编制中设有5个县级及以上领导职务。设2个专门委员会和7个工作委员会，分别是社会建设委员会、预算委员会、办公室、人事代表联络工作委员会、经济工作委员会、法制工作委员会、农业与农村工作委员会、教科文卫工作委员会、城乡建设环境资源保护工作委员会，其中办公室下设信访办公室。</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（二）机构职能</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根据《关于印发&lt;资阳市雁江区人大常委会机关职能配置、内设机构和人员编制规定&gt;的通知》，本部门主要的职能：</w:t>
      </w:r>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2" w:name="_Toc144282034"/>
      <w:r>
        <w:rPr>
          <w:rFonts w:hint="eastAsia" w:ascii="宋体" w:hAnsi="宋体" w:eastAsia="方正仿宋_GBK" w:cs="Calibri"/>
          <w:snapToGrid w:val="0"/>
          <w:sz w:val="33"/>
          <w:szCs w:val="33"/>
        </w:rPr>
        <w:t>1．负</w:t>
      </w:r>
      <w:r>
        <w:rPr>
          <w:rFonts w:hint="eastAsia" w:ascii="宋体" w:hAnsi="宋体" w:eastAsia="方正仿宋_GBK" w:cs="Calibri"/>
          <w:snapToGrid w:val="0"/>
          <w:spacing w:val="-6"/>
          <w:sz w:val="33"/>
          <w:szCs w:val="33"/>
        </w:rPr>
        <w:t>责机关内外的情况综合、上情下达和下情上报工作，为区人大常委会、主任会议和人大领导当好参谋，起好助手作用。</w:t>
      </w:r>
      <w:bookmarkEnd w:id="102"/>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3" w:name="_Toc144282035"/>
      <w:r>
        <w:rPr>
          <w:rFonts w:hint="eastAsia" w:ascii="宋体" w:hAnsi="宋体" w:eastAsia="方正仿宋_GBK" w:cs="Calibri"/>
          <w:snapToGrid w:val="0"/>
          <w:sz w:val="33"/>
          <w:szCs w:val="33"/>
        </w:rPr>
        <w:t>2．负责人代会、人大常委会、人大主任会和党组会议及其他会议的会务工作和后勤保障工作。</w:t>
      </w:r>
      <w:bookmarkEnd w:id="103"/>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4" w:name="_Toc144282036"/>
      <w:r>
        <w:rPr>
          <w:rFonts w:hint="eastAsia" w:ascii="宋体" w:hAnsi="宋体" w:eastAsia="方正仿宋_GBK" w:cs="Calibri"/>
          <w:snapToGrid w:val="0"/>
          <w:sz w:val="33"/>
          <w:szCs w:val="33"/>
        </w:rPr>
        <w:t>3．负责区人大常委会及其办公室文件、报告和领导讲话稿的起草、核稿和制发工作，负责人大常委会《公报》、《人大工作》和文件资料汇编等编印工作。</w:t>
      </w:r>
      <w:bookmarkEnd w:id="104"/>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5" w:name="_Toc144282037"/>
      <w:r>
        <w:rPr>
          <w:rFonts w:hint="eastAsia" w:ascii="宋体" w:hAnsi="宋体" w:eastAsia="方正仿宋_GBK" w:cs="Calibri"/>
          <w:snapToGrid w:val="0"/>
          <w:sz w:val="33"/>
          <w:szCs w:val="33"/>
        </w:rPr>
        <w:t>4．负责机关文书的立卷及归档、保管及保密工作。</w:t>
      </w:r>
      <w:bookmarkEnd w:id="105"/>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6" w:name="_Toc144282038"/>
      <w:r>
        <w:rPr>
          <w:rFonts w:hint="eastAsia" w:ascii="宋体" w:hAnsi="宋体" w:eastAsia="方正仿宋_GBK" w:cs="Calibri"/>
          <w:snapToGrid w:val="0"/>
          <w:sz w:val="33"/>
          <w:szCs w:val="33"/>
        </w:rPr>
        <w:t>5．负责机关财务、工资调整、财产管理和工资福利、养老保险、慰问生病住院职工。</w:t>
      </w:r>
      <w:bookmarkEnd w:id="106"/>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7" w:name="_Toc144282039"/>
      <w:r>
        <w:rPr>
          <w:rFonts w:hint="eastAsia" w:ascii="宋体" w:hAnsi="宋体" w:eastAsia="方正仿宋_GBK" w:cs="Calibri"/>
          <w:snapToGrid w:val="0"/>
          <w:sz w:val="33"/>
          <w:szCs w:val="33"/>
        </w:rPr>
        <w:t>6．负责机关的车辆调度和管理。</w:t>
      </w:r>
      <w:bookmarkEnd w:id="107"/>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8" w:name="_Toc144282040"/>
      <w:r>
        <w:rPr>
          <w:rFonts w:hint="eastAsia" w:ascii="宋体" w:hAnsi="宋体" w:eastAsia="方正仿宋_GBK" w:cs="Calibri"/>
          <w:snapToGrid w:val="0"/>
          <w:sz w:val="33"/>
          <w:szCs w:val="33"/>
        </w:rPr>
        <w:t>7．负责机关的报纸、杂志的征订工作。</w:t>
      </w:r>
      <w:bookmarkEnd w:id="108"/>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09" w:name="_Toc144282041"/>
      <w:r>
        <w:rPr>
          <w:rFonts w:hint="eastAsia" w:ascii="宋体" w:hAnsi="宋体" w:eastAsia="方正仿宋_GBK" w:cs="Calibri"/>
          <w:snapToGrid w:val="0"/>
          <w:sz w:val="33"/>
          <w:szCs w:val="33"/>
        </w:rPr>
        <w:t>8．负责机关治安保卫、园林绿化、环境卫生、计划生育等行政管理和精神文明建设工作。</w:t>
      </w:r>
      <w:bookmarkEnd w:id="109"/>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0" w:name="_Toc144282042"/>
      <w:r>
        <w:rPr>
          <w:rFonts w:hint="eastAsia" w:ascii="宋体" w:hAnsi="宋体" w:eastAsia="方正仿宋_GBK" w:cs="Calibri"/>
          <w:snapToGrid w:val="0"/>
          <w:sz w:val="33"/>
          <w:szCs w:val="33"/>
        </w:rPr>
        <w:t>9．负责与省、资阳市人大常委会和兄弟市、县（区）人</w:t>
      </w:r>
      <w:r>
        <w:rPr>
          <w:rFonts w:hint="eastAsia" w:ascii="宋体" w:hAnsi="宋体" w:eastAsia="方正仿宋_GBK" w:cs="Calibri"/>
          <w:snapToGrid w:val="0"/>
          <w:spacing w:val="-6"/>
          <w:sz w:val="33"/>
          <w:szCs w:val="33"/>
        </w:rPr>
        <w:t>大常委会办公室（厅）及雁江区委、区政府、区政协、区法院、区检察院办公室的联系和信访机构的联系、互通情报、交换资料。</w:t>
      </w:r>
      <w:bookmarkEnd w:id="110"/>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1" w:name="_Toc144282043"/>
      <w:r>
        <w:rPr>
          <w:rFonts w:hint="eastAsia" w:ascii="宋体" w:hAnsi="宋体" w:eastAsia="方正仿宋_GBK" w:cs="Calibri"/>
          <w:snapToGrid w:val="0"/>
          <w:sz w:val="33"/>
          <w:szCs w:val="33"/>
        </w:rPr>
        <w:t>10．负责</w:t>
      </w:r>
      <w:r>
        <w:rPr>
          <w:rFonts w:hint="eastAsia" w:ascii="宋体" w:hAnsi="宋体" w:eastAsia="方正仿宋_GBK" w:cs="Calibri"/>
          <w:snapToGrid w:val="0"/>
          <w:sz w:val="33"/>
          <w:szCs w:val="33"/>
          <w:lang w:eastAsia="zh-CN"/>
        </w:rPr>
        <w:t>人大常委会机关</w:t>
      </w:r>
      <w:r>
        <w:rPr>
          <w:rFonts w:hint="eastAsia" w:ascii="宋体" w:hAnsi="宋体" w:eastAsia="方正仿宋_GBK" w:cs="Calibri"/>
          <w:snapToGrid w:val="0"/>
          <w:sz w:val="33"/>
          <w:szCs w:val="33"/>
        </w:rPr>
        <w:t>的政治学习和对外宣传工作。</w:t>
      </w:r>
      <w:bookmarkEnd w:id="111"/>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2" w:name="_Toc144282044"/>
      <w:r>
        <w:rPr>
          <w:rFonts w:hint="eastAsia" w:ascii="宋体" w:hAnsi="宋体" w:eastAsia="方正仿宋_GBK" w:cs="Calibri"/>
          <w:snapToGrid w:val="0"/>
          <w:sz w:val="33"/>
          <w:szCs w:val="33"/>
        </w:rPr>
        <w:t>11．受</w:t>
      </w:r>
      <w:r>
        <w:rPr>
          <w:rFonts w:hint="eastAsia" w:ascii="宋体" w:hAnsi="宋体" w:eastAsia="方正仿宋_GBK" w:cs="Calibri"/>
          <w:snapToGrid w:val="0"/>
          <w:spacing w:val="-4"/>
          <w:sz w:val="33"/>
          <w:szCs w:val="33"/>
        </w:rPr>
        <w:t>理和接待群众来信来访，认真做好信访登记，自办、</w:t>
      </w:r>
      <w:r>
        <w:rPr>
          <w:rFonts w:hint="eastAsia" w:ascii="宋体" w:hAnsi="宋体" w:eastAsia="方正仿宋_GBK" w:cs="Calibri"/>
          <w:snapToGrid w:val="0"/>
          <w:sz w:val="33"/>
          <w:szCs w:val="33"/>
        </w:rPr>
        <w:t>转办、催办和督办工作。</w:t>
      </w:r>
      <w:bookmarkEnd w:id="112"/>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3" w:name="_Toc144282045"/>
      <w:r>
        <w:rPr>
          <w:rFonts w:hint="eastAsia" w:ascii="宋体" w:hAnsi="宋体" w:eastAsia="方正仿宋_GBK" w:cs="Calibri"/>
          <w:snapToGrid w:val="0"/>
          <w:sz w:val="33"/>
          <w:szCs w:val="33"/>
        </w:rPr>
        <w:t>12．办理上级机关和领导转办、交办的信访案件。</w:t>
      </w:r>
      <w:bookmarkEnd w:id="113"/>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4" w:name="_Toc144282046"/>
      <w:r>
        <w:rPr>
          <w:rFonts w:hint="eastAsia" w:ascii="宋体" w:hAnsi="宋体" w:eastAsia="方正仿宋_GBK" w:cs="Calibri"/>
          <w:snapToGrid w:val="0"/>
          <w:sz w:val="33"/>
          <w:szCs w:val="33"/>
        </w:rPr>
        <w:t>13．加</w:t>
      </w:r>
      <w:r>
        <w:rPr>
          <w:rFonts w:hint="eastAsia" w:ascii="宋体" w:hAnsi="宋体" w:eastAsia="方正仿宋_GBK" w:cs="Calibri"/>
          <w:snapToGrid w:val="0"/>
          <w:spacing w:val="-4"/>
          <w:sz w:val="33"/>
          <w:szCs w:val="33"/>
        </w:rPr>
        <w:t>强调查研究，按季度分析信访动态，摘报重要信息，</w:t>
      </w:r>
      <w:r>
        <w:rPr>
          <w:rFonts w:hint="eastAsia" w:ascii="宋体" w:hAnsi="宋体" w:eastAsia="方正仿宋_GBK" w:cs="Calibri"/>
          <w:snapToGrid w:val="0"/>
          <w:sz w:val="33"/>
          <w:szCs w:val="33"/>
        </w:rPr>
        <w:t>及时向有关部门和领导提供重要来信来访情况。</w:t>
      </w:r>
      <w:bookmarkEnd w:id="114"/>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5" w:name="_Toc144282047"/>
      <w:r>
        <w:rPr>
          <w:rFonts w:hint="eastAsia" w:ascii="宋体" w:hAnsi="宋体" w:eastAsia="方正仿宋_GBK" w:cs="Calibri"/>
          <w:snapToGrid w:val="0"/>
          <w:sz w:val="33"/>
          <w:szCs w:val="33"/>
        </w:rPr>
        <w:t>14．负责信访文书立卷归档和保密工作，做好保护公民民主权利的有关工作。</w:t>
      </w:r>
      <w:bookmarkEnd w:id="115"/>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6" w:name="_Toc144282048"/>
      <w:r>
        <w:rPr>
          <w:rFonts w:hint="eastAsia" w:ascii="宋体" w:hAnsi="宋体" w:eastAsia="方正仿宋_GBK" w:cs="Calibri"/>
          <w:snapToGrid w:val="0"/>
          <w:sz w:val="33"/>
          <w:szCs w:val="33"/>
        </w:rPr>
        <w:t>15．负责政务接洽和来客接待工作。</w:t>
      </w:r>
      <w:bookmarkEnd w:id="116"/>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7" w:name="_Toc144282049"/>
      <w:r>
        <w:rPr>
          <w:rFonts w:hint="eastAsia" w:ascii="宋体" w:hAnsi="宋体" w:eastAsia="方正仿宋_GBK" w:cs="Calibri"/>
          <w:snapToGrid w:val="0"/>
          <w:sz w:val="33"/>
          <w:szCs w:val="33"/>
        </w:rPr>
        <w:t>16．会同人大其他委、室做好代表选举、人大任命干部和“一府两院”的述职述评、工作评议以及有关部门干部培训考试工作。做好离退休干部管理的有关工作。</w:t>
      </w:r>
      <w:bookmarkEnd w:id="117"/>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8" w:name="_Toc144282050"/>
      <w:r>
        <w:rPr>
          <w:rFonts w:hint="eastAsia" w:ascii="宋体" w:hAnsi="宋体" w:eastAsia="方正仿宋_GBK" w:cs="Calibri"/>
          <w:snapToGrid w:val="0"/>
          <w:sz w:val="33"/>
          <w:szCs w:val="33"/>
        </w:rPr>
        <w:t>17．承办人大常委会、主任会、党组会和人大领导交办的其他事项。</w:t>
      </w:r>
      <w:bookmarkEnd w:id="118"/>
    </w:p>
    <w:p>
      <w:pPr>
        <w:pStyle w:val="2"/>
        <w:adjustRightInd w:val="0"/>
        <w:snapToGrid w:val="0"/>
        <w:spacing w:before="93" w:line="590" w:lineRule="exact"/>
        <w:ind w:firstLine="660" w:firstLineChars="200"/>
        <w:outlineLvl w:val="2"/>
        <w:rPr>
          <w:rFonts w:ascii="宋体" w:hAnsi="宋体" w:eastAsia="方正仿宋_GBK" w:cs="Calibri"/>
          <w:snapToGrid w:val="0"/>
          <w:sz w:val="33"/>
          <w:szCs w:val="33"/>
        </w:rPr>
      </w:pPr>
      <w:bookmarkStart w:id="119" w:name="_Toc144282051"/>
      <w:r>
        <w:rPr>
          <w:rFonts w:hint="eastAsia" w:ascii="宋体" w:hAnsi="宋体" w:eastAsia="方正仿宋_GBK" w:cs="Calibri"/>
          <w:snapToGrid w:val="0"/>
          <w:sz w:val="33"/>
          <w:szCs w:val="33"/>
        </w:rPr>
        <w:t>18．加强同区人民政府所属的</w:t>
      </w:r>
      <w:r>
        <w:rPr>
          <w:rFonts w:hint="eastAsia" w:ascii="宋体" w:hAnsi="宋体" w:eastAsia="方正仿宋_GBK" w:cs="Calibri"/>
          <w:snapToGrid w:val="0"/>
          <w:sz w:val="33"/>
          <w:szCs w:val="33"/>
          <w:lang w:eastAsia="zh-CN"/>
        </w:rPr>
        <w:t>民族宗教</w:t>
      </w:r>
      <w:r>
        <w:rPr>
          <w:rFonts w:hint="eastAsia" w:ascii="宋体" w:hAnsi="宋体" w:eastAsia="方正仿宋_GBK" w:cs="Calibri"/>
          <w:snapToGrid w:val="0"/>
          <w:sz w:val="33"/>
          <w:szCs w:val="33"/>
        </w:rPr>
        <w:t>、侨务、台办部门的工作联系，根据工作需要，向他们了解和听取有关工作情况，参加他们的有关会议。</w:t>
      </w:r>
      <w:bookmarkEnd w:id="119"/>
    </w:p>
    <w:p>
      <w:pPr>
        <w:adjustRightInd w:val="0"/>
        <w:snapToGrid w:val="0"/>
        <w:spacing w:line="590" w:lineRule="exact"/>
        <w:ind w:firstLine="660" w:firstLineChars="200"/>
        <w:rPr>
          <w:rFonts w:ascii="宋体" w:hAnsi="宋体" w:eastAsia="方正仿宋_GBK"/>
          <w:snapToGrid w:val="0"/>
          <w:kern w:val="0"/>
          <w:sz w:val="33"/>
          <w:szCs w:val="33"/>
          <w:lang w:val="zh-CN"/>
        </w:rPr>
      </w:pPr>
      <w:r>
        <w:rPr>
          <w:rFonts w:hint="eastAsia" w:ascii="宋体" w:hAnsi="宋体" w:eastAsia="方正仿宋_GBK"/>
          <w:snapToGrid w:val="0"/>
          <w:kern w:val="0"/>
          <w:sz w:val="33"/>
          <w:szCs w:val="33"/>
        </w:rPr>
        <w:t>19．</w:t>
      </w:r>
      <w:r>
        <w:rPr>
          <w:rFonts w:hint="eastAsia" w:ascii="宋体" w:hAnsi="宋体" w:eastAsia="方正仿宋_GBK"/>
          <w:snapToGrid w:val="0"/>
          <w:kern w:val="0"/>
          <w:sz w:val="33"/>
          <w:szCs w:val="33"/>
          <w:lang w:val="zh-CN"/>
        </w:rPr>
        <w:t>加</w:t>
      </w:r>
      <w:r>
        <w:rPr>
          <w:rFonts w:hint="eastAsia" w:ascii="宋体" w:hAnsi="宋体" w:eastAsia="方正仿宋_GBK"/>
          <w:snapToGrid w:val="0"/>
          <w:spacing w:val="-2"/>
          <w:kern w:val="0"/>
          <w:sz w:val="33"/>
          <w:szCs w:val="33"/>
          <w:lang w:val="zh-CN"/>
        </w:rPr>
        <w:t>强人民代表大会制度的研究，为人大及其常委会行</w:t>
      </w:r>
      <w:r>
        <w:rPr>
          <w:rFonts w:hint="eastAsia" w:ascii="宋体" w:hAnsi="宋体" w:eastAsia="方正仿宋_GBK"/>
          <w:snapToGrid w:val="0"/>
          <w:kern w:val="0"/>
          <w:sz w:val="33"/>
          <w:szCs w:val="33"/>
          <w:lang w:val="zh-CN"/>
        </w:rPr>
        <w:t>使职权服务。</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（三）人员概况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根据《关于印发&lt;资阳市雁江区人大常委会机关职能配置、内设机构和人员编制规定&gt;的通知》，人员编制26名（其中行政编制22名，工勤编制4名）。截止2022年底，实有编制53人（其中行政人员45人，机关工勤人员5人，参照公务员管理的事业人员1人，事业人员2人）。</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二、部门财政资金收支情况</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（一）部门财政资金收入情况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2022年收入年初预算为978.81万元，调整预算数1221.92万元，决算数1221.92万元，全部为一般公共预算收入。</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（二）部门财政资金支出情况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2022年支出年初预算为1014.44万元，调整预算数1257.54万元，决算数1257.54万元（基本支出960.78万元，项目支出296.76万元），全部为一般公共预算支出。</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三、评价工作开展情况</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（一）自评工作组织领导</w:t>
      </w:r>
    </w:p>
    <w:p>
      <w:pPr>
        <w:adjustRightInd w:val="0"/>
        <w:snapToGrid w:val="0"/>
        <w:spacing w:line="590" w:lineRule="exact"/>
        <w:ind w:firstLine="660" w:firstLineChars="200"/>
        <w:rPr>
          <w:rFonts w:ascii="宋体" w:hAnsi="宋体" w:eastAsia="方正仿宋_GBK"/>
          <w:snapToGrid w:val="0"/>
          <w:spacing w:val="6"/>
          <w:kern w:val="0"/>
          <w:sz w:val="33"/>
          <w:szCs w:val="33"/>
        </w:rPr>
      </w:pPr>
      <w:r>
        <w:rPr>
          <w:rFonts w:hint="eastAsia" w:ascii="宋体" w:hAnsi="宋体" w:eastAsia="方正仿宋_GBK"/>
          <w:snapToGrid w:val="0"/>
          <w:kern w:val="0"/>
          <w:sz w:val="33"/>
          <w:szCs w:val="33"/>
        </w:rPr>
        <w:t>我单位成立了由区人大常委会分管领导担任组长，机关党总支书记、办公室主任担任副组长，办公室分管财务副主任、会计、</w:t>
      </w:r>
      <w:r>
        <w:rPr>
          <w:rFonts w:hint="eastAsia" w:ascii="宋体" w:hAnsi="宋体" w:eastAsia="方正仿宋_GBK"/>
          <w:snapToGrid w:val="0"/>
          <w:spacing w:val="6"/>
          <w:kern w:val="0"/>
          <w:sz w:val="33"/>
          <w:szCs w:val="33"/>
        </w:rPr>
        <w:t>出纳担任成员的自评工作组，对评价组成员开展培训，统一流程、评价标准，组织、指导本单位开展预算绩效管理工作。</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组  长：杨  洪   常委会副主任</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副组长：曾  俊   办公室主任</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胡  玲   机关党总支书记</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成  员：钟丽华   办公室副主任、出纳</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刘琼丹   工作人员、会计</w:t>
      </w:r>
    </w:p>
    <w:p>
      <w:pPr>
        <w:pStyle w:val="2"/>
        <w:adjustRightInd w:val="0"/>
        <w:snapToGrid w:val="0"/>
        <w:spacing w:before="93" w:line="590" w:lineRule="exact"/>
        <w:ind w:firstLine="663" w:firstLineChars="200"/>
        <w:rPr>
          <w:rFonts w:ascii="宋体" w:hAnsi="宋体" w:eastAsia="方正楷体_GBK"/>
          <w:b/>
          <w:snapToGrid w:val="0"/>
          <w:sz w:val="33"/>
          <w:szCs w:val="33"/>
        </w:rPr>
      </w:pPr>
      <w:r>
        <w:rPr>
          <w:rFonts w:hint="eastAsia" w:ascii="宋体" w:hAnsi="宋体" w:eastAsia="方正楷体_GBK"/>
          <w:b/>
          <w:snapToGrid w:val="0"/>
          <w:sz w:val="33"/>
          <w:szCs w:val="33"/>
        </w:rPr>
        <w:t>（二）自评方式、方法、重点等</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cs="宋体"/>
          <w:snapToGrid w:val="0"/>
          <w:kern w:val="0"/>
          <w:sz w:val="33"/>
          <w:szCs w:val="33"/>
        </w:rPr>
        <w:t>1．绩效评价标准及办法</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snapToGrid w:val="0"/>
          <w:kern w:val="0"/>
          <w:sz w:val="33"/>
          <w:szCs w:val="33"/>
        </w:rPr>
        <w:t>绩效评价工作小组，讨论形成工作思路，</w:t>
      </w:r>
      <w:r>
        <w:rPr>
          <w:rFonts w:hint="eastAsia" w:ascii="宋体" w:hAnsi="宋体" w:eastAsia="方正仿宋_GBK" w:cs="宋体"/>
          <w:snapToGrid w:val="0"/>
          <w:kern w:val="0"/>
          <w:sz w:val="33"/>
          <w:szCs w:val="33"/>
        </w:rPr>
        <w:t>查阅财务资料，掌握项目立项决策、项目资金落实、项目实施管理、财务管理全过程；收集项目完成情况与年初绩效目标开展对比分；对项目绩效差异进行全面分析，并提出改进措施及建议。</w:t>
      </w:r>
    </w:p>
    <w:p>
      <w:pPr>
        <w:pStyle w:val="21"/>
        <w:adjustRightInd w:val="0"/>
        <w:snapToGrid w:val="0"/>
        <w:spacing w:after="0" w:line="590" w:lineRule="exact"/>
        <w:ind w:left="0" w:leftChars="0" w:firstLine="660"/>
        <w:rPr>
          <w:rFonts w:ascii="宋体" w:hAnsi="宋体" w:eastAsia="方正仿宋_GBK" w:cs="宋体"/>
          <w:snapToGrid w:val="0"/>
          <w:kern w:val="0"/>
          <w:sz w:val="33"/>
          <w:szCs w:val="33"/>
        </w:rPr>
      </w:pPr>
      <w:r>
        <w:rPr>
          <w:rFonts w:hint="eastAsia" w:ascii="宋体" w:hAnsi="宋体" w:eastAsia="方正仿宋_GBK" w:cs="宋体"/>
          <w:snapToGrid w:val="0"/>
          <w:kern w:val="0"/>
          <w:sz w:val="33"/>
          <w:szCs w:val="33"/>
        </w:rPr>
        <w:t>2．绩效评价指标体系及重点</w:t>
      </w:r>
    </w:p>
    <w:p>
      <w:pPr>
        <w:pStyle w:val="2"/>
        <w:adjustRightInd w:val="0"/>
        <w:snapToGrid w:val="0"/>
        <w:spacing w:before="93" w:line="590" w:lineRule="exact"/>
        <w:ind w:firstLine="660" w:firstLineChars="200"/>
        <w:rPr>
          <w:rFonts w:ascii="宋体" w:hAnsi="宋体" w:eastAsia="方正仿宋_GBK" w:cs="宋体"/>
          <w:snapToGrid w:val="0"/>
          <w:sz w:val="33"/>
          <w:szCs w:val="33"/>
        </w:rPr>
      </w:pPr>
      <w:r>
        <w:rPr>
          <w:rFonts w:hint="eastAsia" w:ascii="宋体" w:hAnsi="宋体" w:eastAsia="方正仿宋_GBK" w:cs="宋体"/>
          <w:snapToGrid w:val="0"/>
          <w:sz w:val="33"/>
          <w:szCs w:val="33"/>
        </w:rPr>
        <w:t>结合本部门特点、评价重点，按照《资阳市雁江区财政局关于开展2022年度财政支出绩效自评工作的通知》附件4“2022年度雁江区整体支出绩效自评计分表”，本部门绩效评价指标分为“投入”、“过程”、“产出”、“效益”四大类。指标数据来源于政府文件、相关业务科室项目资料、单位财务明细账、预决算数据、实地调研、访谈、问卷调查等。</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cs="宋体"/>
          <w:snapToGrid w:val="0"/>
          <w:kern w:val="0"/>
          <w:sz w:val="33"/>
          <w:szCs w:val="33"/>
        </w:rPr>
        <w:t>“投入”指标关注重点：部门制定的中长期实施规划及年度重点任务、绩效指标明确性、在职人员等是否存在超编情况、“三公经费”较上年的是否减少、重点支出是否与本部门履职和发展密切相关、重点支出是否具有明显社会和经济影响、重点支出是否是</w:t>
      </w:r>
      <w:r>
        <w:rPr>
          <w:rFonts w:hint="eastAsia" w:ascii="宋体" w:hAnsi="宋体" w:eastAsia="方正仿宋_GBK" w:cs="宋体"/>
          <w:snapToGrid w:val="0"/>
          <w:kern w:val="0"/>
          <w:sz w:val="33"/>
          <w:szCs w:val="33"/>
          <w:lang w:eastAsia="zh-CN"/>
        </w:rPr>
        <w:t>党委、政府</w:t>
      </w:r>
      <w:r>
        <w:rPr>
          <w:rFonts w:hint="eastAsia" w:ascii="宋体" w:hAnsi="宋体" w:eastAsia="方正仿宋_GBK" w:cs="宋体"/>
          <w:snapToGrid w:val="0"/>
          <w:kern w:val="0"/>
          <w:sz w:val="33"/>
          <w:szCs w:val="33"/>
        </w:rPr>
        <w:t>关心或社会比较关注的支出。</w:t>
      </w:r>
    </w:p>
    <w:p>
      <w:pPr>
        <w:pStyle w:val="2"/>
        <w:adjustRightInd w:val="0"/>
        <w:snapToGrid w:val="0"/>
        <w:spacing w:before="93" w:line="590" w:lineRule="exact"/>
        <w:ind w:firstLine="660" w:firstLineChars="200"/>
        <w:rPr>
          <w:rFonts w:ascii="宋体" w:hAnsi="宋体" w:eastAsia="方正仿宋_GBK" w:cs="宋体"/>
          <w:snapToGrid w:val="0"/>
          <w:sz w:val="33"/>
          <w:szCs w:val="33"/>
        </w:rPr>
      </w:pPr>
      <w:r>
        <w:rPr>
          <w:rFonts w:hint="eastAsia" w:ascii="宋体" w:hAnsi="宋体" w:eastAsia="方正仿宋_GBK" w:cs="宋体"/>
          <w:snapToGrid w:val="0"/>
          <w:sz w:val="33"/>
          <w:szCs w:val="33"/>
        </w:rPr>
        <w:t>“过程”指标关注重点：预算调整是否较大、支付进度是否达标、结转结余是否在合理范围内、结转结余是否与上年的控制向好、政府采购执行是否良好，同时是否按照要求预留中小企业采购比例；部门管理制度是否健全、制度</w:t>
      </w:r>
      <w:r>
        <w:rPr>
          <w:rFonts w:hint="eastAsia" w:ascii="宋体" w:hAnsi="宋体" w:eastAsia="方正仿宋_GBK" w:cs="宋体"/>
          <w:snapToGrid w:val="0"/>
          <w:sz w:val="33"/>
          <w:szCs w:val="33"/>
          <w:lang w:eastAsia="zh-CN"/>
        </w:rPr>
        <w:t>执行</w:t>
      </w:r>
      <w:r>
        <w:rPr>
          <w:rFonts w:hint="eastAsia" w:ascii="宋体" w:hAnsi="宋体" w:eastAsia="方正仿宋_GBK" w:cs="宋体"/>
          <w:snapToGrid w:val="0"/>
          <w:sz w:val="33"/>
          <w:szCs w:val="33"/>
        </w:rPr>
        <w:t>是否效性、资金使用是否合规性、财务监控是否有效性；部门（单位）的资产是否保存完整、使用合规、配置合理、处置规范、收入及时足额上缴；固定资产利用情况是否良好。</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cs="宋体"/>
          <w:snapToGrid w:val="0"/>
          <w:kern w:val="0"/>
          <w:sz w:val="33"/>
          <w:szCs w:val="33"/>
        </w:rPr>
        <w:t>“产出”指标关注重点：与本部门履职和发展密切相关、具有明显社会和经济影响、</w:t>
      </w:r>
      <w:r>
        <w:rPr>
          <w:rFonts w:hint="eastAsia" w:ascii="宋体" w:hAnsi="宋体" w:eastAsia="方正仿宋_GBK" w:cs="宋体"/>
          <w:snapToGrid w:val="0"/>
          <w:kern w:val="0"/>
          <w:sz w:val="33"/>
          <w:szCs w:val="33"/>
          <w:lang w:eastAsia="zh-CN"/>
        </w:rPr>
        <w:t>党委、政府</w:t>
      </w:r>
      <w:r>
        <w:rPr>
          <w:rFonts w:hint="eastAsia" w:ascii="宋体" w:hAnsi="宋体" w:eastAsia="方正仿宋_GBK" w:cs="宋体"/>
          <w:snapToGrid w:val="0"/>
          <w:kern w:val="0"/>
          <w:sz w:val="33"/>
          <w:szCs w:val="33"/>
        </w:rPr>
        <w:t>关心或社会比较关注的重点支出的产出指标完成情况。</w:t>
      </w:r>
    </w:p>
    <w:p>
      <w:pPr>
        <w:pStyle w:val="2"/>
        <w:adjustRightInd w:val="0"/>
        <w:snapToGrid w:val="0"/>
        <w:spacing w:before="93" w:line="590" w:lineRule="exact"/>
        <w:ind w:firstLine="660" w:firstLineChars="200"/>
        <w:rPr>
          <w:rFonts w:ascii="宋体" w:hAnsi="宋体" w:eastAsia="方正仿宋_GBK" w:cs="宋体"/>
          <w:snapToGrid w:val="0"/>
          <w:sz w:val="33"/>
          <w:szCs w:val="33"/>
        </w:rPr>
      </w:pPr>
      <w:r>
        <w:rPr>
          <w:rFonts w:hint="eastAsia" w:ascii="宋体" w:hAnsi="宋体" w:eastAsia="方正仿宋_GBK" w:cs="宋体"/>
          <w:snapToGrid w:val="0"/>
          <w:sz w:val="33"/>
          <w:szCs w:val="33"/>
        </w:rPr>
        <w:t>“效益”指标关注重点：与本部门履职和发展密切相关、具有明显社会和经济影响、</w:t>
      </w:r>
      <w:r>
        <w:rPr>
          <w:rFonts w:hint="eastAsia" w:ascii="宋体" w:hAnsi="宋体" w:eastAsia="方正仿宋_GBK" w:cs="宋体"/>
          <w:snapToGrid w:val="0"/>
          <w:sz w:val="33"/>
          <w:szCs w:val="33"/>
          <w:lang w:eastAsia="zh-CN"/>
        </w:rPr>
        <w:t>党委、政府</w:t>
      </w:r>
      <w:r>
        <w:rPr>
          <w:rFonts w:hint="eastAsia" w:ascii="宋体" w:hAnsi="宋体" w:eastAsia="方正仿宋_GBK" w:cs="宋体"/>
          <w:snapToGrid w:val="0"/>
          <w:sz w:val="33"/>
          <w:szCs w:val="33"/>
        </w:rPr>
        <w:t>关心或社会比较关注的重点支出的效益指标实现情况；以及部门服务对象满意度。</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四、评价结论</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宋体"/>
          <w:snapToGrid w:val="0"/>
          <w:kern w:val="0"/>
          <w:sz w:val="33"/>
          <w:szCs w:val="33"/>
        </w:rPr>
        <w:t>总体而言，本单位年度重点任务完成好，部门管理制度健全、制度执行严格、资金使用合规；资产保存完整、使用合规、配置合理，固定资产利用情况良好。</w:t>
      </w:r>
      <w:r>
        <w:rPr>
          <w:rFonts w:hint="eastAsia" w:ascii="宋体" w:hAnsi="宋体" w:eastAsia="方正仿宋_GBK"/>
          <w:snapToGrid w:val="0"/>
          <w:kern w:val="0"/>
          <w:sz w:val="33"/>
          <w:szCs w:val="33"/>
        </w:rPr>
        <w:t>根据2022年区本级部门整体支出绩效目标完成情况和绩效自评评分表，我单位部门整体支出绩效自评得分为92.28分，等级为优秀。</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五、绩效分析</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（一）指标分析</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2022年区人大办开展了支出绩效评价工作，评价结果显示，项目立项符合部门职责和相关管理规定，绩效目标合理，评价指标体系较完善，评价标准较科学；项目业务管理制度较健全，业务监控有效性较好；财务管理制度规范，建立了相应的财务监控措施和手段；项目实施的效益比较显著，社会效益及可持续影响明显，服务对象满意度较好。但也存在不足的地方，2022年整体支出评价扣分点主要在以下部分：</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1</w:t>
      </w:r>
      <w:r>
        <w:rPr>
          <w:rFonts w:hint="eastAsia" w:ascii="宋体" w:hAnsi="宋体" w:eastAsia="方正仿宋_GBK" w:cs="宋体"/>
          <w:snapToGrid w:val="0"/>
          <w:kern w:val="0"/>
          <w:sz w:val="33"/>
          <w:szCs w:val="33"/>
        </w:rPr>
        <w:t>．</w:t>
      </w:r>
      <w:r>
        <w:rPr>
          <w:rFonts w:hint="eastAsia" w:ascii="宋体" w:hAnsi="宋体" w:eastAsia="方正仿宋_GBK"/>
          <w:snapToGrid w:val="0"/>
          <w:kern w:val="0"/>
          <w:sz w:val="33"/>
          <w:szCs w:val="33"/>
        </w:rPr>
        <w:t>在职人员控制率扣减3分，扣分原因为，我单位存在严重超编现象。</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2</w:t>
      </w:r>
      <w:r>
        <w:rPr>
          <w:rFonts w:hint="eastAsia" w:ascii="宋体" w:hAnsi="宋体" w:eastAsia="方正仿宋_GBK" w:cs="宋体"/>
          <w:snapToGrid w:val="0"/>
          <w:kern w:val="0"/>
          <w:sz w:val="33"/>
          <w:szCs w:val="33"/>
        </w:rPr>
        <w:t>．</w:t>
      </w:r>
      <w:r>
        <w:rPr>
          <w:rFonts w:hint="eastAsia" w:ascii="宋体" w:hAnsi="宋体" w:eastAsia="方正仿宋_GBK"/>
          <w:snapToGrid w:val="0"/>
          <w:kern w:val="0"/>
          <w:sz w:val="33"/>
          <w:szCs w:val="33"/>
        </w:rPr>
        <w:t>“三公经费”变动率扣减1分，扣分原因为，2022年“三公经费”预算数相比2021年增加了1万元。</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3</w:t>
      </w:r>
      <w:r>
        <w:rPr>
          <w:rFonts w:hint="eastAsia" w:ascii="宋体" w:hAnsi="宋体" w:eastAsia="方正仿宋_GBK" w:cs="宋体"/>
          <w:snapToGrid w:val="0"/>
          <w:sz w:val="33"/>
          <w:szCs w:val="33"/>
        </w:rPr>
        <w:t>．</w:t>
      </w:r>
      <w:r>
        <w:rPr>
          <w:rFonts w:hint="eastAsia" w:ascii="宋体" w:hAnsi="宋体" w:eastAsia="方正仿宋_GBK"/>
          <w:snapToGrid w:val="0"/>
          <w:sz w:val="33"/>
          <w:szCs w:val="33"/>
        </w:rPr>
        <w:t>重点支出安排率扣减0.22分，扣分原因为，重点项目支出占所有项目支出比率为95.63%，按相应比例扣分。</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4</w:t>
      </w:r>
      <w:r>
        <w:rPr>
          <w:rFonts w:hint="eastAsia" w:ascii="宋体" w:hAnsi="宋体" w:eastAsia="方正仿宋_GBK" w:cs="宋体"/>
          <w:snapToGrid w:val="0"/>
          <w:kern w:val="0"/>
          <w:sz w:val="33"/>
          <w:szCs w:val="33"/>
        </w:rPr>
        <w:t>．</w:t>
      </w:r>
      <w:r>
        <w:rPr>
          <w:rFonts w:hint="eastAsia" w:ascii="宋体" w:hAnsi="宋体" w:eastAsia="方正仿宋_GBK"/>
          <w:snapToGrid w:val="0"/>
          <w:kern w:val="0"/>
          <w:sz w:val="33"/>
          <w:szCs w:val="33"/>
        </w:rPr>
        <w:t>预算调整率扣减1.5分，扣分原因为，2022年预算调整率为24.84%，按相应比例扣分。</w:t>
      </w:r>
    </w:p>
    <w:p>
      <w:pPr>
        <w:pStyle w:val="21"/>
        <w:adjustRightInd w:val="0"/>
        <w:snapToGrid w:val="0"/>
        <w:spacing w:after="0" w:line="590" w:lineRule="exact"/>
        <w:ind w:left="0" w:leftChars="0" w:firstLine="660"/>
        <w:rPr>
          <w:rFonts w:ascii="宋体" w:hAnsi="宋体" w:eastAsia="方正仿宋_GBK"/>
          <w:snapToGrid w:val="0"/>
          <w:kern w:val="0"/>
          <w:sz w:val="33"/>
          <w:szCs w:val="33"/>
        </w:rPr>
      </w:pPr>
      <w:r>
        <w:rPr>
          <w:rFonts w:hint="eastAsia" w:ascii="宋体" w:hAnsi="宋体" w:eastAsia="方正仿宋_GBK"/>
          <w:snapToGrid w:val="0"/>
          <w:kern w:val="0"/>
          <w:sz w:val="33"/>
          <w:szCs w:val="33"/>
        </w:rPr>
        <w:t>5</w:t>
      </w:r>
      <w:r>
        <w:rPr>
          <w:rFonts w:hint="eastAsia" w:ascii="宋体" w:hAnsi="宋体" w:eastAsia="方正仿宋_GBK" w:cs="宋体"/>
          <w:snapToGrid w:val="0"/>
          <w:kern w:val="0"/>
          <w:sz w:val="33"/>
          <w:szCs w:val="33"/>
        </w:rPr>
        <w:t>．</w:t>
      </w:r>
      <w:r>
        <w:rPr>
          <w:rFonts w:hint="eastAsia" w:ascii="宋体" w:hAnsi="宋体" w:eastAsia="方正仿宋_GBK"/>
          <w:snapToGrid w:val="0"/>
          <w:kern w:val="0"/>
          <w:sz w:val="33"/>
          <w:szCs w:val="33"/>
        </w:rPr>
        <w:t>结转结余变动率扣减2分，主要是年初有结转结余，年末无结转结余。</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b/>
          <w:snapToGrid w:val="0"/>
          <w:kern w:val="0"/>
          <w:sz w:val="33"/>
          <w:szCs w:val="33"/>
        </w:rPr>
        <w:t>（二）综合绩效分析</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b/>
          <w:snapToGrid w:val="0"/>
          <w:kern w:val="0"/>
          <w:sz w:val="33"/>
          <w:szCs w:val="33"/>
        </w:rPr>
        <w:t>1．部门职能履行情况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2022年我单位严格贯彻落实各项规章制度，高度重视预算绩效工作，认真做好事前绩效评估，事中绩效监控，事后绩效自评。严格按照年初预算进行部门整体支出绩效自评，实行了先有预算、后有执行、“用钱必问效、无效必问责”的新常态。整体支出方面预算与执行基本同步，履职情况良好、社会满意度评价好。</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六、问题分析</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方正仿宋简体"/>
          <w:snapToGrid w:val="0"/>
          <w:kern w:val="0"/>
          <w:sz w:val="33"/>
          <w:szCs w:val="33"/>
          <w:lang w:val="zh-CN"/>
        </w:rPr>
        <w:t>（一）</w:t>
      </w:r>
      <w:r>
        <w:rPr>
          <w:rFonts w:hint="eastAsia" w:ascii="宋体" w:hAnsi="宋体" w:eastAsia="方正仿宋_GBK"/>
          <w:snapToGrid w:val="0"/>
          <w:kern w:val="0"/>
          <w:sz w:val="33"/>
          <w:szCs w:val="33"/>
        </w:rPr>
        <w:t>部门超编严重，编制数26个，实际在编人数53人。</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方正仿宋简体"/>
          <w:snapToGrid w:val="0"/>
          <w:kern w:val="0"/>
          <w:sz w:val="33"/>
          <w:szCs w:val="33"/>
          <w:lang w:val="zh-CN"/>
        </w:rPr>
        <w:t>（二）</w:t>
      </w:r>
      <w:r>
        <w:rPr>
          <w:rFonts w:hint="eastAsia" w:ascii="宋体" w:hAnsi="宋体" w:eastAsia="方正仿宋_GBK"/>
          <w:snapToGrid w:val="0"/>
          <w:kern w:val="0"/>
          <w:sz w:val="33"/>
          <w:szCs w:val="33"/>
        </w:rPr>
        <w:t>预算调整率高，主要原因是人员流动、绩效目标奖励的追加、项目经费的增加。</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snapToGrid w:val="0"/>
          <w:kern w:val="0"/>
          <w:sz w:val="33"/>
          <w:szCs w:val="33"/>
        </w:rPr>
        <w:t>七、建议</w:t>
      </w:r>
    </w:p>
    <w:p>
      <w:pPr>
        <w:adjustRightInd w:val="0"/>
        <w:snapToGrid w:val="0"/>
        <w:spacing w:line="590" w:lineRule="exact"/>
        <w:ind w:firstLine="663" w:firstLineChars="200"/>
        <w:rPr>
          <w:rFonts w:ascii="宋体" w:hAnsi="宋体" w:eastAsia="方正仿宋_GBK"/>
          <w:snapToGrid w:val="0"/>
          <w:kern w:val="0"/>
          <w:sz w:val="33"/>
          <w:szCs w:val="33"/>
        </w:rPr>
      </w:pPr>
      <w:r>
        <w:rPr>
          <w:rFonts w:hint="eastAsia" w:ascii="宋体" w:hAnsi="宋体" w:eastAsia="方正楷体_GBK" w:cs="方正仿宋简体"/>
          <w:b/>
          <w:snapToGrid w:val="0"/>
          <w:kern w:val="0"/>
          <w:sz w:val="33"/>
          <w:szCs w:val="33"/>
          <w:lang w:val="zh-CN"/>
        </w:rPr>
        <w:t>（一）科学编制预算，规范预算执行。</w:t>
      </w:r>
      <w:r>
        <w:rPr>
          <w:rFonts w:hint="eastAsia" w:ascii="宋体" w:hAnsi="宋体" w:eastAsia="方正仿宋_GBK" w:cs="方正仿宋简体"/>
          <w:b/>
          <w:snapToGrid w:val="0"/>
          <w:kern w:val="0"/>
          <w:sz w:val="33"/>
          <w:szCs w:val="33"/>
          <w:lang w:val="zh-CN"/>
        </w:rPr>
        <w:t>一是</w:t>
      </w:r>
      <w:r>
        <w:rPr>
          <w:rFonts w:hint="eastAsia" w:ascii="宋体" w:hAnsi="宋体" w:eastAsia="方正仿宋_GBK"/>
          <w:snapToGrid w:val="0"/>
          <w:kern w:val="0"/>
          <w:sz w:val="33"/>
          <w:szCs w:val="33"/>
        </w:rPr>
        <w:t>提高年初预算科学化、精细化水平，尽量减少年中调整事项，科学设定绩效目标，加强绩效目标监控。</w:t>
      </w:r>
      <w:r>
        <w:rPr>
          <w:rFonts w:hint="eastAsia" w:ascii="宋体" w:hAnsi="宋体" w:eastAsia="方正仿宋_GBK" w:cs="方正仿宋简体"/>
          <w:b/>
          <w:snapToGrid w:val="0"/>
          <w:kern w:val="0"/>
          <w:sz w:val="33"/>
          <w:szCs w:val="33"/>
          <w:lang w:val="zh-CN"/>
        </w:rPr>
        <w:t>二是</w:t>
      </w:r>
      <w:r>
        <w:rPr>
          <w:rFonts w:hint="eastAsia" w:ascii="宋体" w:hAnsi="宋体" w:eastAsia="方正仿宋_GBK"/>
          <w:snapToGrid w:val="0"/>
          <w:kern w:val="0"/>
          <w:sz w:val="33"/>
          <w:szCs w:val="33"/>
        </w:rPr>
        <w:t>严格控制费用报销及支出事项，尽量避免报销凭证及支出凭据不齐全、不规范的事项发生，定期跟踪预算执行情况，提高预算执行率。</w:t>
      </w:r>
    </w:p>
    <w:p>
      <w:pPr>
        <w:adjustRightInd w:val="0"/>
        <w:snapToGrid w:val="0"/>
        <w:spacing w:line="590" w:lineRule="exact"/>
        <w:ind w:firstLine="663" w:firstLineChars="200"/>
        <w:rPr>
          <w:rFonts w:ascii="宋体" w:hAnsi="宋体" w:eastAsia="方正仿宋_GBK"/>
          <w:snapToGrid w:val="0"/>
          <w:kern w:val="0"/>
          <w:sz w:val="33"/>
          <w:szCs w:val="33"/>
        </w:rPr>
      </w:pPr>
      <w:r>
        <w:rPr>
          <w:rFonts w:hint="eastAsia" w:ascii="宋体" w:hAnsi="宋体" w:eastAsia="方正楷体_GBK" w:cs="方正仿宋简体"/>
          <w:b/>
          <w:snapToGrid w:val="0"/>
          <w:kern w:val="0"/>
          <w:sz w:val="33"/>
          <w:szCs w:val="33"/>
          <w:lang w:val="zh-CN"/>
        </w:rPr>
        <w:t>（二）细化工作方案，做好结果应用。</w:t>
      </w:r>
      <w:r>
        <w:rPr>
          <w:rFonts w:hint="eastAsia" w:ascii="宋体" w:hAnsi="宋体" w:eastAsia="方正仿宋_GBK"/>
          <w:snapToGrid w:val="0"/>
          <w:kern w:val="0"/>
          <w:sz w:val="33"/>
          <w:szCs w:val="33"/>
        </w:rPr>
        <w:t>不断完善预算绩效管理相关制度，遵照制度办事，丰富绩效自评的方式方法，突出重点。同时充分运用自评结果，对指标完成好的工作在下一年度继续巩固和加强，对未完成的指标要深入剖析原因，找出症结，在以后的工作中完善和改进。</w:t>
      </w:r>
    </w:p>
    <w:p>
      <w:pPr>
        <w:adjustRightInd w:val="0"/>
        <w:snapToGrid w:val="0"/>
        <w:spacing w:line="590" w:lineRule="exact"/>
        <w:ind w:firstLine="660" w:firstLineChars="200"/>
        <w:rPr>
          <w:rFonts w:ascii="宋体" w:hAnsi="宋体" w:eastAsia="方正仿宋_GBK"/>
          <w:snapToGrid w:val="0"/>
          <w:kern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附件：1．2022年度雁江区整体支出绩效自评计分表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2．2022年度雁江区整体支出绩效目标完成情况</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3．2022年度人大相关专项工作经费项目支出绩效</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自评报告</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4．2022年度人大代表之家、代表联络站工作经费</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项目支出绩效自评报告</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5．2022年预算管理一体化系统会计核算培训及运</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维费支出绩效自评计分表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6．2022年预算管理一体化系统会计核算培训及运</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维费支出绩效目标完成情况表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7．2022年度全国、省、市人大代表到雁江开展质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询、视察、调研工作经费支出绩效自评计分表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8．2</w:t>
      </w:r>
      <w:r>
        <w:rPr>
          <w:rFonts w:hint="eastAsia" w:ascii="宋体" w:hAnsi="宋体" w:eastAsia="方正仿宋_GBK"/>
          <w:snapToGrid w:val="0"/>
          <w:spacing w:val="-8"/>
          <w:w w:val="98"/>
          <w:sz w:val="33"/>
          <w:szCs w:val="33"/>
        </w:rPr>
        <w:t>022年度全国、省、市人大代表到雁江开展质询</w:t>
      </w:r>
      <w:r>
        <w:rPr>
          <w:rFonts w:hint="eastAsia" w:ascii="宋体" w:hAnsi="宋体" w:eastAsia="方正仿宋_GBK"/>
          <w:snapToGrid w:val="0"/>
          <w:spacing w:val="-8"/>
          <w:sz w:val="33"/>
          <w:szCs w:val="33"/>
        </w:rPr>
        <w:t>、</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视察、调研工作经费支出绩效目标完成情况表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9．2022年度人大代表相关活动经费支出绩效自评</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计分表</w:t>
      </w:r>
    </w:p>
    <w:p>
      <w:pPr>
        <w:pStyle w:val="2"/>
        <w:adjustRightInd w:val="0"/>
        <w:snapToGrid w:val="0"/>
        <w:spacing w:before="93" w:line="590" w:lineRule="exact"/>
        <w:ind w:firstLine="660" w:firstLineChars="200"/>
        <w:rPr>
          <w:rFonts w:ascii="宋体" w:hAnsi="宋体" w:eastAsia="方正仿宋_GBK"/>
          <w:snapToGrid w:val="0"/>
          <w:spacing w:val="-4"/>
          <w:sz w:val="33"/>
          <w:szCs w:val="33"/>
        </w:rPr>
      </w:pPr>
      <w:r>
        <w:rPr>
          <w:rFonts w:hint="eastAsia" w:ascii="宋体" w:hAnsi="宋体" w:eastAsia="方正仿宋_GBK"/>
          <w:snapToGrid w:val="0"/>
          <w:sz w:val="33"/>
          <w:szCs w:val="33"/>
        </w:rPr>
        <w:t xml:space="preserve">      10．2</w:t>
      </w:r>
      <w:r>
        <w:rPr>
          <w:rFonts w:hint="eastAsia" w:ascii="宋体" w:hAnsi="宋体" w:eastAsia="方正仿宋_GBK"/>
          <w:snapToGrid w:val="0"/>
          <w:spacing w:val="-6"/>
          <w:sz w:val="33"/>
          <w:szCs w:val="33"/>
        </w:rPr>
        <w:t>022年度人大代表相关活动经费支出绩效目标</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完成情况表</w:t>
      </w:r>
    </w:p>
    <w:p>
      <w:pPr>
        <w:pStyle w:val="2"/>
        <w:adjustRightInd w:val="0"/>
        <w:snapToGrid w:val="0"/>
        <w:spacing w:before="93" w:line="590" w:lineRule="exact"/>
        <w:ind w:firstLine="660" w:firstLineChars="200"/>
        <w:rPr>
          <w:rFonts w:ascii="宋体" w:hAnsi="宋体" w:eastAsia="方正仿宋_GBK"/>
          <w:snapToGrid w:val="0"/>
          <w:spacing w:val="-8"/>
          <w:w w:val="98"/>
          <w:sz w:val="33"/>
          <w:szCs w:val="33"/>
        </w:rPr>
      </w:pPr>
      <w:r>
        <w:rPr>
          <w:rFonts w:hint="eastAsia" w:ascii="宋体" w:hAnsi="宋体" w:eastAsia="方正仿宋_GBK"/>
          <w:snapToGrid w:val="0"/>
          <w:sz w:val="33"/>
          <w:szCs w:val="33"/>
        </w:rPr>
        <w:t xml:space="preserve">      11．2022</w:t>
      </w:r>
      <w:r>
        <w:rPr>
          <w:rFonts w:hint="eastAsia" w:ascii="宋体" w:hAnsi="宋体" w:eastAsia="方正仿宋_GBK"/>
          <w:snapToGrid w:val="0"/>
          <w:spacing w:val="-10"/>
          <w:w w:val="98"/>
          <w:sz w:val="33"/>
          <w:szCs w:val="33"/>
        </w:rPr>
        <w:t>年度临聘人员工作经费支出绩效自评计分表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12．2</w:t>
      </w:r>
      <w:r>
        <w:rPr>
          <w:rFonts w:hint="eastAsia" w:ascii="宋体" w:hAnsi="宋体" w:eastAsia="方正仿宋_GBK"/>
          <w:snapToGrid w:val="0"/>
          <w:spacing w:val="-8"/>
          <w:sz w:val="33"/>
          <w:szCs w:val="33"/>
        </w:rPr>
        <w:t>022年度临聘人员工作经费支出绩效目标完成</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情况表</w:t>
      </w:r>
    </w:p>
    <w:p>
      <w:pPr>
        <w:pStyle w:val="2"/>
        <w:adjustRightInd w:val="0"/>
        <w:snapToGrid w:val="0"/>
        <w:spacing w:before="93" w:line="590" w:lineRule="exact"/>
        <w:ind w:firstLine="660" w:firstLineChars="200"/>
        <w:rPr>
          <w:rFonts w:ascii="宋体" w:hAnsi="宋体" w:eastAsia="方正仿宋_GBK"/>
          <w:snapToGrid w:val="0"/>
          <w:spacing w:val="-8"/>
          <w:w w:val="98"/>
          <w:sz w:val="33"/>
          <w:szCs w:val="33"/>
        </w:rPr>
      </w:pPr>
      <w:r>
        <w:rPr>
          <w:rFonts w:hint="eastAsia" w:ascii="宋体" w:hAnsi="宋体" w:eastAsia="方正仿宋_GBK"/>
          <w:snapToGrid w:val="0"/>
          <w:sz w:val="33"/>
          <w:szCs w:val="33"/>
        </w:rPr>
        <w:t xml:space="preserve">      13．2022</w:t>
      </w:r>
      <w:r>
        <w:rPr>
          <w:rFonts w:hint="eastAsia" w:ascii="宋体" w:hAnsi="宋体" w:eastAsia="方正仿宋_GBK"/>
          <w:snapToGrid w:val="0"/>
          <w:spacing w:val="-10"/>
          <w:w w:val="98"/>
          <w:sz w:val="33"/>
          <w:szCs w:val="33"/>
        </w:rPr>
        <w:t>年度今冬明春慰问经费支出绩效自评计分表</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14．2</w:t>
      </w:r>
      <w:r>
        <w:rPr>
          <w:rFonts w:hint="eastAsia" w:ascii="宋体" w:hAnsi="宋体" w:eastAsia="方正仿宋_GBK"/>
          <w:snapToGrid w:val="0"/>
          <w:spacing w:val="-6"/>
          <w:kern w:val="0"/>
          <w:sz w:val="33"/>
          <w:szCs w:val="33"/>
        </w:rPr>
        <w:t>022年度今冬明春慰问经费支出绩效目标完成</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情况表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15．2</w:t>
      </w:r>
      <w:r>
        <w:rPr>
          <w:rFonts w:hint="eastAsia" w:ascii="宋体" w:hAnsi="宋体" w:eastAsia="方正仿宋_GBK"/>
          <w:snapToGrid w:val="0"/>
          <w:spacing w:val="-8"/>
          <w:sz w:val="33"/>
          <w:szCs w:val="33"/>
        </w:rPr>
        <w:t>022年度建国初期参加革命工作生活不能自理</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人员困难补助支出绩效自评计分表</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16．2</w:t>
      </w:r>
      <w:r>
        <w:rPr>
          <w:rFonts w:hint="eastAsia" w:ascii="宋体" w:hAnsi="宋体" w:eastAsia="方正仿宋_GBK"/>
          <w:snapToGrid w:val="0"/>
          <w:spacing w:val="-6"/>
          <w:kern w:val="0"/>
          <w:sz w:val="33"/>
          <w:szCs w:val="33"/>
        </w:rPr>
        <w:t>022年度建国初期参加革命工作生活不能自理</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人员困难补助支出绩效目标完成情况表</w:t>
      </w:r>
    </w:p>
    <w:p>
      <w:pPr>
        <w:pStyle w:val="2"/>
        <w:tabs>
          <w:tab w:val="left" w:pos="2340"/>
        </w:tabs>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17．2</w:t>
      </w:r>
      <w:r>
        <w:rPr>
          <w:rFonts w:hint="eastAsia" w:ascii="宋体" w:hAnsi="宋体" w:eastAsia="方正仿宋_GBK"/>
          <w:snapToGrid w:val="0"/>
          <w:spacing w:val="-6"/>
          <w:sz w:val="33"/>
          <w:szCs w:val="33"/>
        </w:rPr>
        <w:t>022年度预算联网监督平台运行经费支出绩效</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自评计分表</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18．2</w:t>
      </w:r>
      <w:r>
        <w:rPr>
          <w:rFonts w:hint="eastAsia" w:ascii="宋体" w:hAnsi="宋体" w:eastAsia="方正仿宋_GBK"/>
          <w:snapToGrid w:val="0"/>
          <w:spacing w:val="-6"/>
          <w:sz w:val="33"/>
          <w:szCs w:val="33"/>
        </w:rPr>
        <w:t>022年度预算联网监督平台运行经费支出绩效</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 xml:space="preserve">          目标完成情况表</w:t>
      </w:r>
    </w:p>
    <w:p>
      <w:pPr>
        <w:adjustRightInd w:val="0"/>
        <w:snapToGrid w:val="0"/>
        <w:spacing w:line="590" w:lineRule="exact"/>
        <w:rPr>
          <w:rFonts w:ascii="宋体" w:hAnsi="宋体" w:eastAsia="方正仿宋_GBK"/>
          <w:snapToGrid w:val="0"/>
          <w:kern w:val="0"/>
          <w:sz w:val="33"/>
          <w:szCs w:val="33"/>
        </w:rPr>
      </w:pPr>
    </w:p>
    <w:p>
      <w:pPr>
        <w:pStyle w:val="7"/>
        <w:widowControl w:val="0"/>
        <w:spacing w:line="590" w:lineRule="exact"/>
        <w:ind w:firstLine="440"/>
        <w:rPr>
          <w:rFonts w:ascii="宋体" w:hAnsi="宋体"/>
        </w:rPr>
      </w:pPr>
    </w:p>
    <w:p>
      <w:pPr>
        <w:adjustRightInd w:val="0"/>
        <w:snapToGrid w:val="0"/>
        <w:spacing w:line="590" w:lineRule="exact"/>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资阳市雁江区人大常委会办公室    </w:t>
      </w:r>
    </w:p>
    <w:p>
      <w:pPr>
        <w:adjustRightInd w:val="0"/>
        <w:snapToGrid w:val="0"/>
        <w:spacing w:line="590" w:lineRule="exact"/>
        <w:rPr>
          <w:rFonts w:ascii="宋体" w:hAnsi="宋体" w:eastAsia="方正仿宋_GBK"/>
          <w:snapToGrid w:val="0"/>
          <w:kern w:val="0"/>
          <w:sz w:val="33"/>
          <w:szCs w:val="33"/>
        </w:rPr>
      </w:pPr>
      <w:r>
        <w:rPr>
          <w:rFonts w:hint="eastAsia" w:ascii="宋体" w:hAnsi="宋体" w:eastAsia="方正仿宋_GBK"/>
          <w:snapToGrid w:val="0"/>
          <w:kern w:val="0"/>
          <w:sz w:val="33"/>
          <w:szCs w:val="33"/>
        </w:rPr>
        <w:t xml:space="preserve">                          </w:t>
      </w:r>
      <w:r>
        <w:rPr>
          <w:rFonts w:hint="eastAsia" w:ascii="宋体" w:hAnsi="宋体" w:eastAsia="方正仿宋_GBK"/>
          <w:snapToGrid w:val="0"/>
          <w:kern w:val="0"/>
          <w:sz w:val="41"/>
          <w:szCs w:val="33"/>
        </w:rPr>
        <w:t xml:space="preserve">  </w:t>
      </w:r>
      <w:r>
        <w:rPr>
          <w:rFonts w:hint="eastAsia" w:ascii="宋体" w:hAnsi="宋体" w:eastAsia="方正仿宋_GBK"/>
          <w:snapToGrid w:val="0"/>
          <w:kern w:val="0"/>
          <w:sz w:val="33"/>
          <w:szCs w:val="33"/>
        </w:rPr>
        <w:t>2023年6月5日</w:t>
      </w: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w:t>
      </w:r>
    </w:p>
    <w:p>
      <w:pPr>
        <w:adjustRightInd w:val="0"/>
        <w:snapToGrid w:val="0"/>
        <w:spacing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2022年度雁江区整体支出绩效自评计分表</w:t>
      </w:r>
    </w:p>
    <w:p>
      <w:pPr>
        <w:adjustRightInd w:val="0"/>
        <w:snapToGrid w:val="0"/>
        <w:spacing w:line="590" w:lineRule="exact"/>
        <w:rPr>
          <w:rFonts w:ascii="宋体" w:hAnsi="宋体" w:eastAsia="方正黑体_GBK"/>
          <w:snapToGrid w:val="0"/>
          <w:kern w:val="0"/>
          <w:sz w:val="24"/>
        </w:rPr>
      </w:pPr>
      <w:r>
        <w:rPr>
          <w:rFonts w:hint="eastAsia" w:ascii="宋体" w:hAnsi="宋体" w:eastAsia="方正黑体_GBK"/>
          <w:snapToGrid w:val="0"/>
          <w:kern w:val="0"/>
          <w:sz w:val="24"/>
        </w:rPr>
        <w:t>单位名称：资阳市雁江区人大常委会办公室  预算单位编码：110001 自评等级：优</w:t>
      </w:r>
    </w:p>
    <w:tbl>
      <w:tblPr>
        <w:tblStyle w:val="22"/>
        <w:tblW w:w="5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715"/>
        <w:gridCol w:w="712"/>
        <w:gridCol w:w="736"/>
        <w:gridCol w:w="1916"/>
        <w:gridCol w:w="2663"/>
        <w:gridCol w:w="75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60" w:hRule="atLeast"/>
          <w:tblHeader/>
          <w:jc w:val="center"/>
        </w:trPr>
        <w:tc>
          <w:tcPr>
            <w:tcW w:w="394"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93"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06"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1057"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469"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414"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867" w:type="pct"/>
            <w:tcMar>
              <w:left w:w="28" w:type="dxa"/>
              <w:right w:w="28" w:type="dxa"/>
            </w:tcMar>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324" w:hRule="atLeast"/>
          <w:jc w:val="center"/>
        </w:trPr>
        <w:tc>
          <w:tcPr>
            <w:tcW w:w="394" w:type="pct"/>
            <w:vMerge w:val="restart"/>
            <w:noWrap/>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投入（20分）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设定</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部门（单位）所设立的整体绩效目标依据是否充分，是否符合客观实际，用以反映和考核部门（单位）整体绩效目标与部门履职、年度工作任务的相符性情况。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①是否符合国家法律法规、国民经济和社会发展总体规划；（1分）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②是否符合部门“三定”方案确定的职责；（0.5分）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③是否符合部门制定的中长期实施规划。（0.5分）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vMerge w:val="restart"/>
            <w:noWrap/>
            <w:tcMar>
              <w:left w:w="28" w:type="dxa"/>
              <w:right w:w="28" w:type="dxa"/>
            </w:tcMar>
            <w:vAlign w:val="center"/>
          </w:tcPr>
          <w:p>
            <w:pPr>
              <w:adjustRightInd w:val="0"/>
              <w:snapToGrid w:val="0"/>
              <w:spacing w:line="280" w:lineRule="exact"/>
              <w:jc w:val="center"/>
              <w:textAlignment w:val="center"/>
              <w:rPr>
                <w:rFonts w:ascii="宋体" w:hAnsi="宋体"/>
                <w:snapToGrid w:val="0"/>
                <w:kern w:val="0"/>
                <w:szCs w:val="21"/>
              </w:rPr>
            </w:pPr>
            <w:r>
              <w:rPr>
                <w:rFonts w:hint="eastAsia" w:ascii="宋体" w:hAnsi="宋体"/>
                <w:snapToGrid w:val="0"/>
                <w:kern w:val="0"/>
                <w:szCs w:val="21"/>
              </w:rPr>
              <w:t>根据三定方案履行职能职责，严格遵守国家法律法规，契合部门中长期实施规划，将绩效目标细化分解为具体任务，与年度预算资金匹配。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13"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绩效指标明确性（3分）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部门（单位）依据整体绩效目标所设定的绩效指标是否清晰、细化、可衡量，用以反映和考核部门（单位）整体绩效目标的明细化情况。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①是否将部门整体的绩效目标细化分解为具体的工作任务；（1分）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②是否通过清晰、可衡量的指标值予以体现；（0.5分）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③是否与部门年度的任务数或计划数相对应；（0.5分）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④是否与本年度部门预算资金相匹配。（1分）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867" w:type="pct"/>
            <w:vMerge w:val="continue"/>
            <w:noWrap/>
            <w:tcMar>
              <w:left w:w="28" w:type="dxa"/>
              <w:right w:w="28"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631"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配置（15分）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在职人员控制率（5分）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部门（单位）本年度实际在职人员数与编制数的比率，用以反映和考核部门（单位）对人员成本的控制程度。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在职人员控制率=（在职人员数/编制数）×100%。（小于或等于1计5分，否则按比例计分）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在职人员数：部门（单位）实际在职人数，以财政部确定的部门决算编制口径为准。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编制数：机构编制部门核定批复的部门（单位）的人员编制数。</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编制26个，在职人数53人，在职人员控制率203.85%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686"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“三公经费”变动率（5分）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部门（单位）本年度“三公经费”预算数与上年度“三公经费”预算数的变动比率，用以反映和考核部门（单位）对控制重点行政成本的努力程度。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“三公经费”变动率=[（本年度“三公经费”总额－上年度“三公经费”总额）/上年度“三公经费”总额]×100%。（下降的计5分，增加的按比例扣减）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“三公经费”：年度预算安排的因公出国（境）费、公务车辆购置及运行费和公务招待费。</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2022年“三公经费”总额23万元，2021年“三公经费”22万元，年度预算安排数较去年增加1万元，“三公经费”变动率4.55%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3205" w:hRule="atLeast"/>
          <w:jc w:val="center"/>
        </w:trPr>
        <w:tc>
          <w:tcPr>
            <w:tcW w:w="394" w:type="pct"/>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投入（20分）</w:t>
            </w:r>
          </w:p>
        </w:tc>
        <w:tc>
          <w:tcPr>
            <w:tcW w:w="393"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配置（15分）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重点支出安排率（5分）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部门（单位）本年度预算安排的重点项目支出与部门项目总支出的比率，用以反映和考核部门（单位）对履行主要职责或完成重点任务的保障程度。</w:t>
            </w:r>
          </w:p>
        </w:tc>
        <w:tc>
          <w:tcPr>
            <w:tcW w:w="1469" w:type="pct"/>
            <w:tcMar>
              <w:left w:w="28" w:type="dxa"/>
              <w:right w:w="28" w:type="dxa"/>
            </w:tcMar>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重点支出安排率=（重点项目支出/项目总支出）×100%。（实际得分=支出安排率*5分）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重点项目支出：部门（单位）年度预算安排的，与本部门履职和发展密切相关、具有明显社会和经济影响、</w:t>
            </w:r>
            <w:r>
              <w:rPr>
                <w:rFonts w:hint="eastAsia" w:ascii="宋体" w:hAnsi="宋体"/>
                <w:snapToGrid w:val="0"/>
                <w:kern w:val="0"/>
                <w:szCs w:val="21"/>
                <w:lang w:eastAsia="zh-CN"/>
              </w:rPr>
              <w:t>党委、政府</w:t>
            </w:r>
            <w:r>
              <w:rPr>
                <w:rFonts w:hint="eastAsia" w:ascii="宋体" w:hAnsi="宋体"/>
                <w:snapToGrid w:val="0"/>
                <w:kern w:val="0"/>
                <w:szCs w:val="21"/>
              </w:rPr>
              <w:t>关心或社会比较关注的项目支出总额。</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项目总支出：部门（单位）年度预算安排的项目支出总额。</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4.78</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2022年项目总支出296.76万元，重点项目支出283.8万元，本年度重点支出安排率95.63%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351" w:hRule="atLeast"/>
          <w:jc w:val="center"/>
        </w:trPr>
        <w:tc>
          <w:tcPr>
            <w:tcW w:w="394" w:type="pct"/>
            <w:vMerge w:val="restart"/>
            <w:noWrap/>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过程（30分）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执行（20分）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预算完成率（4分）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部门（单位）本年度预算完成数与预算数的比率，用以反映和考核部门（单位）预算完成程度。</w:t>
            </w:r>
          </w:p>
        </w:tc>
        <w:tc>
          <w:tcPr>
            <w:tcW w:w="1469" w:type="pct"/>
            <w:tcMar>
              <w:left w:w="28" w:type="dxa"/>
              <w:right w:w="28" w:type="dxa"/>
            </w:tcMar>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预算完成率=（预算完成数/预算数）×100%。（完成年初预算计4分，未完成年初按比例扣减）</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预算完成数：部门（单位）本年度实际完成的预算数。</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预算数：财政部门批复的本年度部门（单位）预算数。</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2022年预算数978.81万元，预算完成数978.81万元，预算完成率100%。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24"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预算调整率（2分）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部门（单位）本年度预算调整数与预算数的比率，用以反映和考核部门（单位）预算的调整程度。</w:t>
            </w:r>
          </w:p>
        </w:tc>
        <w:tc>
          <w:tcPr>
            <w:tcW w:w="1469" w:type="pct"/>
            <w:tcMar>
              <w:left w:w="28" w:type="dxa"/>
              <w:right w:w="28" w:type="dxa"/>
            </w:tcMar>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预算调整率=（预算调整数/预算数）×100%。（未调整的计2分，调整了的除特殊原因外按比例扣减）</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预算调整数：部门（单位）在本年度内涉及预算的追加、追减或结构调整的资金总和（因落实国家政策、发生不可抗力、上级部门或本级</w:t>
            </w:r>
            <w:r>
              <w:rPr>
                <w:rFonts w:hint="eastAsia" w:ascii="宋体" w:hAnsi="宋体"/>
                <w:snapToGrid w:val="0"/>
                <w:kern w:val="0"/>
                <w:szCs w:val="21"/>
                <w:lang w:eastAsia="zh-CN"/>
              </w:rPr>
              <w:t>党委、政府</w:t>
            </w:r>
            <w:r>
              <w:rPr>
                <w:rFonts w:hint="eastAsia" w:ascii="宋体" w:hAnsi="宋体"/>
                <w:snapToGrid w:val="0"/>
                <w:kern w:val="0"/>
                <w:szCs w:val="21"/>
              </w:rPr>
              <w:t>临时交办而产生的调整除外）。</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0.5</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2022年预算调整数243.11万元，本年度预算数978.81万元，预算调整率24.84%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819"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支付进度率（2分）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部门（单位）实际支付进度与既定支付进度的比率，用以反映和考核部门（单位）预算执行的及时性和均衡性程度。</w:t>
            </w:r>
          </w:p>
        </w:tc>
        <w:tc>
          <w:tcPr>
            <w:tcW w:w="1469" w:type="pct"/>
            <w:tcMar>
              <w:left w:w="28" w:type="dxa"/>
              <w:right w:w="28" w:type="dxa"/>
            </w:tcMar>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支付进度率=（实际支付进度/既定支付进度）×100%。完成年终进度的计1分，按季度完成预算进度的计1分。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实际支付进度：部门（单位）在某一时点的支出预算执行总数与年度支出预算数的比率。</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既定支付进度：由部门（单位）在申报部门整体绩效目标时，参照序时支付进度、前三年支付进度、同级部门平均支付进度水平等确定的，在某一时点应达到的支付进度（比率）。</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从全年来看。完成年终进度，从季度来看，也几乎都完成了预算进度。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198" w:hRule="atLeast"/>
          <w:jc w:val="center"/>
        </w:trPr>
        <w:tc>
          <w:tcPr>
            <w:tcW w:w="394" w:type="pct"/>
            <w:vMerge w:val="restart"/>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过程（30分）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预算执行（20分）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部门（单位）本年度结转结余总额与支出预算数的比率，用以反映和考核部门（单位）对本年度结转结余资金的实际控制程度。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结转结余率=结转结余总额/支出预算数×100%。低于5%的计1分，每超过5个百分点扣1分，扣完为止。</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结转结余总额：部门（单位）本年度的结转资金与结余资金之和（以决算数为准）。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w:t>
            </w:r>
            <w:r>
              <w:rPr>
                <w:rFonts w:hint="eastAsia" w:ascii="宋体" w:hAnsi="宋体" w:cs="宋体"/>
                <w:snapToGrid w:val="0"/>
                <w:kern w:val="0"/>
                <w:szCs w:val="21"/>
              </w:rPr>
              <w:t>年无结转结余，</w:t>
            </w:r>
            <w:r>
              <w:rPr>
                <w:rFonts w:hint="eastAsia" w:ascii="宋体" w:hAnsi="宋体"/>
                <w:snapToGrid w:val="0"/>
                <w:kern w:val="0"/>
                <w:szCs w:val="21"/>
              </w:rPr>
              <w:t>2022</w:t>
            </w:r>
            <w:r>
              <w:rPr>
                <w:rFonts w:hint="eastAsia" w:ascii="宋体" w:hAnsi="宋体" w:cs="宋体"/>
                <w:snapToGrid w:val="0"/>
                <w:kern w:val="0"/>
                <w:szCs w:val="21"/>
              </w:rPr>
              <w:t>年支出预算数</w:t>
            </w:r>
            <w:r>
              <w:rPr>
                <w:rFonts w:hint="eastAsia" w:ascii="宋体" w:hAnsi="宋体"/>
                <w:snapToGrid w:val="0"/>
                <w:kern w:val="0"/>
                <w:szCs w:val="21"/>
              </w:rPr>
              <w:t>1014.44万</w:t>
            </w:r>
            <w:r>
              <w:rPr>
                <w:rFonts w:hint="eastAsia" w:ascii="宋体" w:hAnsi="宋体" w:cs="宋体"/>
                <w:snapToGrid w:val="0"/>
                <w:kern w:val="0"/>
                <w:szCs w:val="21"/>
              </w:rPr>
              <w:t>元，结转结余率</w:t>
            </w:r>
            <w:r>
              <w:rPr>
                <w:rFonts w:hint="eastAsia" w:ascii="宋体" w:hAnsi="宋体"/>
                <w:snapToGrid w:val="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449"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部门（单位）本年度结转结余资金总额与上年度结转结余资金总额的变动比率，用以反映和考核部门（单位）对控制结转结余资金的努力程度。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结转结余变动率=[（本年度累计结转结余资金总额－上年度累计结转结余资金总额）/上年度累计结转结余资金总额]×100%。（低于15%的计2分，每超过5个百分点扣1分，扣完为止）</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上年度累计结转结余35.62万元，</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本年度累计结转结余0元，结转结余变动率为-100%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561"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公用经费控制率（2分）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部门（单位）本年度实际支出的公用经费总额与预算安排的公用经费总额的比率，用以反映和考核部门（单位）对机构运转成本的实际控制程度。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公用经费控制率=（实际支出公用经费总额/预算安排公用经费总额）×100%。（为100%的计2分，每超过1个百分点扣0.1分，扣完为止）</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2022年实际支出公用经费115.96万元，预算安排公用经费总额156.24万元，公用经费控制率74.22%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058"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“三公经费”控制率（2分）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部门（单位）本年度“三公经费”实际支出数与预算安排数的比率，用以反映和考核部门（单位）对“三公经费”的实际控制程度。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“三公经费”控制率=（“三公经费”实际支出数/“三公经费”预算安排数）×100%。（为100%的计2分，每超过1个百分点扣0.5分，扣完为止）</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2022年“三公经费”预算23万元，实际支出经费总额6.01万元，“三公经费”控制率26.13%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53"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政府采购执行率（4分）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部门（单位）本年度实际政府采购金额与年初政府采购预算的比率，用以反映和考核部门（单位）政府采购预算执行情况。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政府采购执行率=（实际政府采购金额/政府采购预算数）×100%。（为100%的计2分，每低于1个百分点扣0.5分，扣完为止）</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政府采购预算：采购机关根据事业发展计划和行政任务编制的、并经过规定程序批准的年度政府采购计划。</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highlight w:val="red"/>
              </w:rPr>
            </w:pPr>
            <w:r>
              <w:rPr>
                <w:rFonts w:hint="eastAsia" w:ascii="宋体" w:hAnsi="宋体"/>
                <w:snapToGrid w:val="0"/>
                <w:kern w:val="0"/>
                <w:szCs w:val="21"/>
              </w:rPr>
              <w:t>4</w:t>
            </w:r>
          </w:p>
        </w:tc>
        <w:tc>
          <w:tcPr>
            <w:tcW w:w="867" w:type="pct"/>
            <w:noWrap/>
            <w:tcMar>
              <w:left w:w="28" w:type="dxa"/>
              <w:right w:w="28" w:type="dxa"/>
            </w:tcMar>
            <w:vAlign w:val="center"/>
          </w:tcPr>
          <w:p>
            <w:pPr>
              <w:pStyle w:val="21"/>
              <w:adjustRightInd w:val="0"/>
              <w:snapToGrid w:val="0"/>
              <w:spacing w:after="0" w:line="280" w:lineRule="exact"/>
              <w:ind w:left="0" w:leftChars="0" w:firstLine="0" w:firstLineChars="0"/>
              <w:jc w:val="center"/>
              <w:rPr>
                <w:rFonts w:ascii="宋体" w:hAnsi="宋体"/>
                <w:snapToGrid w:val="0"/>
                <w:kern w:val="0"/>
                <w:szCs w:val="21"/>
                <w:highlight w:val="red"/>
              </w:rPr>
            </w:pPr>
            <w:r>
              <w:rPr>
                <w:rFonts w:hint="eastAsia" w:ascii="宋体" w:hAnsi="宋体"/>
                <w:snapToGrid w:val="0"/>
                <w:kern w:val="0"/>
                <w:szCs w:val="21"/>
              </w:rPr>
              <w:t>2022年无政府采购预算数。无政府采购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11" w:hRule="atLeast"/>
          <w:jc w:val="center"/>
        </w:trPr>
        <w:tc>
          <w:tcPr>
            <w:tcW w:w="394" w:type="pct"/>
            <w:vMerge w:val="restart"/>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过程（30分）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预算管理（5分）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部门（单位）为加强预算管理、规范财务行为而制定的管理制度是否健全完整，用以反映和考核部门（单位）预算管理制度对完成主要职责或促进事业发展的保障情况。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①是否已制定或具有预算资金管理办法、内部财务管理制度、会计核算制度等管理制度；（1分）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②相关管理制度是否合法、合规、完整；（0.5分）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③相关管理制度是否得到有效执行。（0.5分）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制定内部财务管理制度，严格按相关要求执行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4126"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资金使用合规性（1分）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部门（单位）使用预算资金是否符合相关的预算财务管理制度的规定，用以反映和考核部门（单位）预算资金的规范运行情况。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①是否符合国家财经法规和财务管理制度规定以及有关专项资金管理办法的规定；（0.2分）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②资金的拨付是否有完整的审批程序和手续；（0.2分）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③项目的重大开支是否经过评估论证；（0.2分）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④是否符合部门预算批复的用途；（0.2分）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⑤是否存在截留、挤占、挪用、虚列支出等情况。（0.2分）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按照财务管理制度等管理和使用资金，资金拨付有完整的审批程序和手续，严格按照预算批复使用预算资金，重大项目支出经党组会讨论研究后支出，不存在截留、挤占、挪用等情况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785"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预决算信息公开性（1分）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部门（单位）是否按照政府信息公开有关规定公开相关预决算信息，用以反映和考核部门（单位）预决算管理的公开透明情况。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①是否按规定内容公开预决算信息；（0.5分）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②是否按规定时限公开预决算信息。（0.5分）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预决算信息是指与部门预算、执行、决算、监督、绩效等管理相关的信息。</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预决算批复后按程序，及时在资阳市雁江区门户网站预决算模块公开，接受各方监督。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506"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基础信息完善性（1分）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部门（单位）基础信息是否完善，用以反映和考核基础信息对预算管理工作的支撑情况。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①基础数据信息和会计信息资料是否真实；（0.4分）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②基础数据信息和会计信息资料是否完整；（0.3分）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③基础数据信息和会计信息资料是否准确。（0.3分）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基础信息和会计信息资料真实、完整、准确。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716" w:hRule="atLeast"/>
          <w:jc w:val="center"/>
        </w:trPr>
        <w:tc>
          <w:tcPr>
            <w:tcW w:w="394" w:type="pct"/>
            <w:vMerge w:val="restart"/>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过程（30分）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资产管理（5分）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部门（单位）为加强资产管理、规范资产管理行为而制定的管理制度是否健全完整，用以反映和考核部门（单位）资产管理制度对完成主要职责或促进社会发展的保障情况。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①是否已制定或具有资产管理制度；（1分）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②相关资金管理制度是否合法、合规、完整；（0.5分）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③相关资产管理制度是否得到有效执行。（0.5分）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制定资产管理制度并严格执行，定期盘点、更新。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90"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资产管理安全性（2分）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部门（单位）的资产是否保存完整、使用合规、配置合理、处置规范、收入及时足额上缴，用以反映和考核部门（单位）资产安全运行情况。</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①资产保存是否完整；（0.4分）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②资产配置是否合理；（0.4分）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③资产处置是否规范；（0.4分）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④资产账务管理是否合规，是否账实相符；（0.4分）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⑤资产是否有偿使用及处置收入及时足额上缴。（0.4分）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结合现有资产管理台账情况，合理配置、使用、管理资产，及时入账。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408"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固定资产利用率（1分）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部门（单位）实际在用固定资产总额与所有固定资产总额的比率，用以反映和考核部门（单位）固定资产使用效率程度。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固定资产利用率=（实际在用固定资产总额/所有固定资产总额）×100%。（利用率为100%的计1分，每降1个百分点扣0.1分，扣完为止）</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截止2022年12月固定资产总额为51.02万元，实际在用固定资产总额51.02万元，固定资产利用率100%。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4015" w:hRule="atLeast"/>
          <w:jc w:val="center"/>
        </w:trPr>
        <w:tc>
          <w:tcPr>
            <w:tcW w:w="394" w:type="pct"/>
            <w:noWrap/>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产出（30分）</w:t>
            </w:r>
          </w:p>
        </w:tc>
        <w:tc>
          <w:tcPr>
            <w:tcW w:w="393"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职责履行（30分）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实际完成率（8分）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部门（单位）履行职责而实际完成工作数与计划工作数的比率，用以反映和考核部门（单位）履职工作任务目标的实现程度。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实际完成率=（实际完成工作数/计划工作数）×100%。（实际得分=实际工作完成率*8分）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实际完成工作数：一定时期（年度或规划期）内部门（单位）实际完成工作任务的数量。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计划工作数：部门（单位）整体绩效目标确定的一定时期（年度或规划期）内预计完成工作任务的数量。</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8</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计划工作数全部完成。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157" w:hRule="atLeast"/>
          <w:jc w:val="center"/>
        </w:trPr>
        <w:tc>
          <w:tcPr>
            <w:tcW w:w="394" w:type="pct"/>
            <w:vMerge w:val="restart"/>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产出（30分）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职责履行（30分）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完成及时率（4分）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部门（单位）在规定时限内及时完成的实际工作数与计划工作数的比率，用以反映和考核部门履职时效目标的实现程度。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完成及时率=（及时完成实际工作数/计划工作数）×100%。（1--4季度各得1分）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及时完成实际工作数：部门（单位）按照整体绩效目标确定的时限实际完成的工作任务数量。</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照年初工作计划，截止2022年底，及时完成各项工作，完成及时率100%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463"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质量达标率（8分）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达到质量标准（绩效标准值）的实际工作数与计划工作数的比率，用以反映和考核部门履职质量目标的实现程度。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质量达标率=（质量达标实际工作数/计划工作数）×100%。（实际得分=达标率*8分）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质量达标实际工作数：一定时期（年度或规划期）内部门（单位）实际完成工作数中达到部门绩效目标要求（绩效标准值）的工作任务数量。</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8</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照年初工作计划，截止2022年底，高质量完成各项工作，完成质量达标率100%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183" w:hRule="atLeast"/>
          <w:jc w:val="center"/>
        </w:trPr>
        <w:tc>
          <w:tcPr>
            <w:tcW w:w="394" w:type="pct"/>
            <w:vMerge w:val="continue"/>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重点工作办结率（10分）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部门（单位）年度重点工作实际完成数与交办或下达数的比率，用以反映部门（单位）对重点工作的办理落实程度。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重点工作办结率=（重点工作实际完成数/交办或下达数）×100%。（实际得分=办结率*10分）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重点工作是指党委、政府、人大、相关部门交办或下达的工作任务。</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89" w:hRule="atLeast"/>
          <w:jc w:val="center"/>
        </w:trPr>
        <w:tc>
          <w:tcPr>
            <w:tcW w:w="394" w:type="pct"/>
            <w:vMerge w:val="restart"/>
            <w:noWrap/>
            <w:tcMar>
              <w:left w:w="28" w:type="dxa"/>
              <w:right w:w="28"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snapToGrid w:val="0"/>
                <w:kern w:val="0"/>
                <w:szCs w:val="21"/>
              </w:rPr>
              <w:t>效果（20分）</w:t>
            </w:r>
          </w:p>
        </w:tc>
        <w:tc>
          <w:tcPr>
            <w:tcW w:w="393" w:type="pct"/>
            <w:vMerge w:val="restar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履职效益（20分）</w:t>
            </w: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部门（单位）履行职责对经济发展所带来的直接或间接影响。</w:t>
            </w:r>
          </w:p>
        </w:tc>
        <w:tc>
          <w:tcPr>
            <w:tcW w:w="1469" w:type="pct"/>
            <w:vMerge w:val="restar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此三项指标为部门整体支出绩效评价指标的共性要素，各单位按照部门整体支出绩效目标实现程度为依据。（按经济效益实现程度*5、社会效益实现程度*5、生态效益实现程度*5计算实际得分）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及时发放聘用人员工资，及时走访慰问，保障群众利益。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117" w:hRule="atLeast"/>
          <w:jc w:val="center"/>
        </w:trPr>
        <w:tc>
          <w:tcPr>
            <w:tcW w:w="394"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部门（单位）履行职责对社会发展所带来的直接或间接影响。</w:t>
            </w:r>
          </w:p>
        </w:tc>
        <w:tc>
          <w:tcPr>
            <w:tcW w:w="1469" w:type="pct"/>
            <w:vMerge w:val="continue"/>
            <w:tcMar>
              <w:left w:w="28" w:type="dxa"/>
              <w:right w:w="28" w:type="dxa"/>
            </w:tcMar>
            <w:vAlign w:val="center"/>
          </w:tcPr>
          <w:p>
            <w:pPr>
              <w:adjustRightInd w:val="0"/>
              <w:snapToGrid w:val="0"/>
              <w:spacing w:line="280" w:lineRule="exact"/>
              <w:rPr>
                <w:rFonts w:ascii="宋体" w:hAnsi="宋体"/>
                <w:snapToGrid w:val="0"/>
                <w:kern w:val="0"/>
                <w:szCs w:val="21"/>
              </w:rPr>
            </w:pP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91" w:hRule="atLeast"/>
          <w:jc w:val="center"/>
        </w:trPr>
        <w:tc>
          <w:tcPr>
            <w:tcW w:w="394"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部门（单位）履行职责对生态环境所带来的直接或间接影响。</w:t>
            </w:r>
          </w:p>
        </w:tc>
        <w:tc>
          <w:tcPr>
            <w:tcW w:w="1469" w:type="pct"/>
            <w:vMerge w:val="continue"/>
            <w:tcMar>
              <w:left w:w="28" w:type="dxa"/>
              <w:right w:w="28" w:type="dxa"/>
            </w:tcMar>
            <w:vAlign w:val="center"/>
          </w:tcPr>
          <w:p>
            <w:pPr>
              <w:adjustRightInd w:val="0"/>
              <w:snapToGrid w:val="0"/>
              <w:spacing w:line="280" w:lineRule="exact"/>
              <w:rPr>
                <w:rFonts w:ascii="宋体" w:hAnsi="宋体"/>
                <w:snapToGrid w:val="0"/>
                <w:kern w:val="0"/>
                <w:szCs w:val="21"/>
              </w:rPr>
            </w:pP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687" w:hRule="atLeast"/>
          <w:jc w:val="center"/>
        </w:trPr>
        <w:tc>
          <w:tcPr>
            <w:tcW w:w="394"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393" w:type="pct"/>
            <w:vMerge w:val="continue"/>
            <w:tcMar>
              <w:left w:w="28" w:type="dxa"/>
              <w:right w:w="28" w:type="dxa"/>
            </w:tcMar>
            <w:vAlign w:val="center"/>
          </w:tcPr>
          <w:p>
            <w:pPr>
              <w:adjustRightInd w:val="0"/>
              <w:snapToGrid w:val="0"/>
              <w:spacing w:line="280" w:lineRule="exact"/>
              <w:jc w:val="center"/>
              <w:rPr>
                <w:rFonts w:ascii="宋体" w:hAnsi="宋体"/>
                <w:snapToGrid w:val="0"/>
                <w:kern w:val="0"/>
                <w:szCs w:val="21"/>
              </w:rPr>
            </w:pPr>
          </w:p>
        </w:tc>
        <w:tc>
          <w:tcPr>
            <w:tcW w:w="406" w:type="pct"/>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社会公众或服务对象满意度（5分）</w:t>
            </w:r>
          </w:p>
        </w:tc>
        <w:tc>
          <w:tcPr>
            <w:tcW w:w="1057"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社会公众或部门（单位）的服务对象对部门履职效果的满意程度。</w:t>
            </w:r>
          </w:p>
        </w:tc>
        <w:tc>
          <w:tcPr>
            <w:tcW w:w="1469" w:type="pct"/>
            <w:tcMar>
              <w:left w:w="28" w:type="dxa"/>
              <w:right w:w="28" w:type="dxa"/>
            </w:tcMar>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社会公众或服务对象是指部门（单位）履行职责而影响到的部门、群体或个人。一般采取社会调查的方式。（按收到的服务对象的满意率计算得分）</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35" w:hRule="atLeast"/>
          <w:jc w:val="center"/>
        </w:trPr>
        <w:tc>
          <w:tcPr>
            <w:tcW w:w="3719" w:type="pct"/>
            <w:gridSpan w:val="5"/>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14"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92.28</w:t>
            </w:r>
          </w:p>
        </w:tc>
        <w:tc>
          <w:tcPr>
            <w:tcW w:w="867" w:type="pct"/>
            <w:noWrap/>
            <w:tcMar>
              <w:left w:w="28" w:type="dxa"/>
              <w:right w:w="28" w:type="dxa"/>
            </w:tcMar>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附件2</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2022年度雁江区整体支出绩效目标完成情况表</w:t>
      </w:r>
    </w:p>
    <w:tbl>
      <w:tblPr>
        <w:tblStyle w:val="22"/>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52" w:type="dxa"/>
          <w:right w:w="74" w:type="dxa"/>
        </w:tblCellMar>
      </w:tblPr>
      <w:tblGrid>
        <w:gridCol w:w="1048"/>
        <w:gridCol w:w="784"/>
        <w:gridCol w:w="492"/>
        <w:gridCol w:w="540"/>
        <w:gridCol w:w="866"/>
        <w:gridCol w:w="544"/>
        <w:gridCol w:w="1037"/>
        <w:gridCol w:w="1135"/>
        <w:gridCol w:w="1324"/>
        <w:gridCol w:w="15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674" w:hRule="atLeast"/>
          <w:jc w:val="center"/>
        </w:trPr>
        <w:tc>
          <w:tcPr>
            <w:tcW w:w="1067"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部门（单位）名称</w:t>
            </w:r>
          </w:p>
        </w:tc>
        <w:tc>
          <w:tcPr>
            <w:tcW w:w="5322" w:type="dxa"/>
            <w:gridSpan w:val="7"/>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资阳市雁江区人民代表大会常务委员会办公室</w:t>
            </w:r>
          </w:p>
        </w:tc>
        <w:tc>
          <w:tcPr>
            <w:tcW w:w="1517"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预算单位</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编码</w:t>
            </w:r>
          </w:p>
        </w:tc>
        <w:tc>
          <w:tcPr>
            <w:tcW w:w="133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790" w:hRule="atLeast"/>
          <w:jc w:val="center"/>
        </w:trPr>
        <w:tc>
          <w:tcPr>
            <w:tcW w:w="1067"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预算执行情况</w:t>
            </w: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157" w:type="dxa"/>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当年结转结余额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5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结转结余率%</w:t>
            </w:r>
          </w:p>
        </w:tc>
        <w:tc>
          <w:tcPr>
            <w:tcW w:w="133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488"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合计</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1014.44</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1257.54</w:t>
            </w:r>
          </w:p>
        </w:tc>
        <w:tc>
          <w:tcPr>
            <w:tcW w:w="1157"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5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33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584"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基本支出</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609.2</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960.78</w:t>
            </w:r>
          </w:p>
        </w:tc>
        <w:tc>
          <w:tcPr>
            <w:tcW w:w="1157"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5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33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477"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政策和项</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目支出</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405.23</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296.76</w:t>
            </w:r>
          </w:p>
        </w:tc>
        <w:tc>
          <w:tcPr>
            <w:tcW w:w="1157"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5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33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711" w:hRule="atLeast"/>
          <w:jc w:val="center"/>
        </w:trPr>
        <w:tc>
          <w:tcPr>
            <w:tcW w:w="1067"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预算结构</w:t>
            </w: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合计</w:t>
            </w:r>
          </w:p>
        </w:tc>
        <w:tc>
          <w:tcPr>
            <w:tcW w:w="1608"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一般公共</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预算安排</w:t>
            </w:r>
          </w:p>
        </w:tc>
        <w:tc>
          <w:tcPr>
            <w:tcW w:w="1157"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政府性基金预算安排</w:t>
            </w:r>
          </w:p>
        </w:tc>
        <w:tc>
          <w:tcPr>
            <w:tcW w:w="1517"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国有资本经营</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预算安排</w:t>
            </w:r>
          </w:p>
        </w:tc>
        <w:tc>
          <w:tcPr>
            <w:tcW w:w="133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1"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1014.44</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1014.44</w:t>
            </w:r>
          </w:p>
        </w:tc>
        <w:tc>
          <w:tcPr>
            <w:tcW w:w="1157" w:type="dxa"/>
            <w:vAlign w:val="center"/>
          </w:tcPr>
          <w:p>
            <w:pPr>
              <w:adjustRightInd w:val="0"/>
              <w:snapToGrid w:val="0"/>
              <w:spacing w:line="280" w:lineRule="exact"/>
              <w:jc w:val="center"/>
              <w:rPr>
                <w:rFonts w:ascii="宋体" w:hAnsi="宋体"/>
                <w:snapToGrid w:val="0"/>
                <w:kern w:val="0"/>
                <w:szCs w:val="21"/>
              </w:rPr>
            </w:pPr>
          </w:p>
        </w:tc>
        <w:tc>
          <w:tcPr>
            <w:tcW w:w="1517" w:type="dxa"/>
            <w:gridSpan w:val="2"/>
            <w:vAlign w:val="center"/>
          </w:tcPr>
          <w:p>
            <w:pPr>
              <w:adjustRightInd w:val="0"/>
              <w:snapToGrid w:val="0"/>
              <w:spacing w:line="280" w:lineRule="exact"/>
              <w:jc w:val="center"/>
              <w:rPr>
                <w:rFonts w:ascii="宋体" w:hAnsi="宋体"/>
                <w:snapToGrid w:val="0"/>
                <w:kern w:val="0"/>
                <w:szCs w:val="21"/>
              </w:rPr>
            </w:pPr>
          </w:p>
        </w:tc>
        <w:tc>
          <w:tcPr>
            <w:tcW w:w="1333"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1"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1257.54</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1257.54</w:t>
            </w:r>
          </w:p>
        </w:tc>
        <w:tc>
          <w:tcPr>
            <w:tcW w:w="1157" w:type="dxa"/>
            <w:vAlign w:val="center"/>
          </w:tcPr>
          <w:p>
            <w:pPr>
              <w:adjustRightInd w:val="0"/>
              <w:snapToGrid w:val="0"/>
              <w:spacing w:line="280" w:lineRule="exact"/>
              <w:jc w:val="center"/>
              <w:rPr>
                <w:rFonts w:ascii="宋体" w:hAnsi="宋体"/>
                <w:snapToGrid w:val="0"/>
                <w:kern w:val="0"/>
                <w:szCs w:val="21"/>
              </w:rPr>
            </w:pPr>
          </w:p>
        </w:tc>
        <w:tc>
          <w:tcPr>
            <w:tcW w:w="1517" w:type="dxa"/>
            <w:gridSpan w:val="2"/>
            <w:vAlign w:val="center"/>
          </w:tcPr>
          <w:p>
            <w:pPr>
              <w:adjustRightInd w:val="0"/>
              <w:snapToGrid w:val="0"/>
              <w:spacing w:line="280" w:lineRule="exact"/>
              <w:jc w:val="center"/>
              <w:rPr>
                <w:rFonts w:ascii="宋体" w:hAnsi="宋体"/>
                <w:snapToGrid w:val="0"/>
                <w:kern w:val="0"/>
                <w:szCs w:val="21"/>
              </w:rPr>
            </w:pPr>
          </w:p>
        </w:tc>
        <w:tc>
          <w:tcPr>
            <w:tcW w:w="1333"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1"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当年结转结余额（万元）</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157" w:type="dxa"/>
            <w:vAlign w:val="center"/>
          </w:tcPr>
          <w:p>
            <w:pPr>
              <w:adjustRightInd w:val="0"/>
              <w:snapToGrid w:val="0"/>
              <w:spacing w:line="280" w:lineRule="exact"/>
              <w:jc w:val="center"/>
              <w:rPr>
                <w:rFonts w:ascii="宋体" w:hAnsi="宋体"/>
                <w:snapToGrid w:val="0"/>
                <w:kern w:val="0"/>
                <w:szCs w:val="21"/>
              </w:rPr>
            </w:pPr>
          </w:p>
        </w:tc>
        <w:tc>
          <w:tcPr>
            <w:tcW w:w="1517" w:type="dxa"/>
            <w:gridSpan w:val="2"/>
            <w:vAlign w:val="center"/>
          </w:tcPr>
          <w:p>
            <w:pPr>
              <w:adjustRightInd w:val="0"/>
              <w:snapToGrid w:val="0"/>
              <w:spacing w:line="280" w:lineRule="exact"/>
              <w:jc w:val="center"/>
              <w:rPr>
                <w:rFonts w:ascii="宋体" w:hAnsi="宋体"/>
                <w:snapToGrid w:val="0"/>
                <w:kern w:val="0"/>
                <w:szCs w:val="21"/>
              </w:rPr>
            </w:pPr>
          </w:p>
        </w:tc>
        <w:tc>
          <w:tcPr>
            <w:tcW w:w="1333"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1"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余率%</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1157" w:type="dxa"/>
            <w:vAlign w:val="center"/>
          </w:tcPr>
          <w:p>
            <w:pPr>
              <w:adjustRightInd w:val="0"/>
              <w:snapToGrid w:val="0"/>
              <w:spacing w:line="280" w:lineRule="exact"/>
              <w:jc w:val="center"/>
              <w:rPr>
                <w:rFonts w:ascii="宋体" w:hAnsi="宋体"/>
                <w:snapToGrid w:val="0"/>
                <w:kern w:val="0"/>
                <w:szCs w:val="21"/>
              </w:rPr>
            </w:pPr>
          </w:p>
        </w:tc>
        <w:tc>
          <w:tcPr>
            <w:tcW w:w="1517" w:type="dxa"/>
            <w:gridSpan w:val="2"/>
            <w:vAlign w:val="center"/>
          </w:tcPr>
          <w:p>
            <w:pPr>
              <w:adjustRightInd w:val="0"/>
              <w:snapToGrid w:val="0"/>
              <w:spacing w:line="280" w:lineRule="exact"/>
              <w:jc w:val="center"/>
              <w:rPr>
                <w:rFonts w:ascii="宋体" w:hAnsi="宋体"/>
                <w:snapToGrid w:val="0"/>
                <w:kern w:val="0"/>
                <w:szCs w:val="21"/>
              </w:rPr>
            </w:pPr>
          </w:p>
        </w:tc>
        <w:tc>
          <w:tcPr>
            <w:tcW w:w="1333"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1"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129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结转结余变动率%</w:t>
            </w:r>
          </w:p>
        </w:tc>
        <w:tc>
          <w:tcPr>
            <w:tcW w:w="126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60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57" w:type="dxa"/>
            <w:vAlign w:val="center"/>
          </w:tcPr>
          <w:p>
            <w:pPr>
              <w:adjustRightInd w:val="0"/>
              <w:snapToGrid w:val="0"/>
              <w:spacing w:line="280" w:lineRule="exact"/>
              <w:jc w:val="center"/>
              <w:rPr>
                <w:rFonts w:ascii="宋体" w:hAnsi="宋体"/>
                <w:snapToGrid w:val="0"/>
                <w:kern w:val="0"/>
                <w:szCs w:val="21"/>
              </w:rPr>
            </w:pPr>
          </w:p>
        </w:tc>
        <w:tc>
          <w:tcPr>
            <w:tcW w:w="1517" w:type="dxa"/>
            <w:gridSpan w:val="2"/>
            <w:vAlign w:val="center"/>
          </w:tcPr>
          <w:p>
            <w:pPr>
              <w:adjustRightInd w:val="0"/>
              <w:snapToGrid w:val="0"/>
              <w:spacing w:line="280" w:lineRule="exact"/>
              <w:jc w:val="center"/>
              <w:rPr>
                <w:rFonts w:ascii="宋体" w:hAnsi="宋体"/>
                <w:snapToGrid w:val="0"/>
                <w:kern w:val="0"/>
                <w:szCs w:val="21"/>
              </w:rPr>
            </w:pPr>
          </w:p>
        </w:tc>
        <w:tc>
          <w:tcPr>
            <w:tcW w:w="1333"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660" w:hRule="atLeast"/>
          <w:jc w:val="center"/>
        </w:trPr>
        <w:tc>
          <w:tcPr>
            <w:tcW w:w="1067"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年度总体目标</w:t>
            </w:r>
          </w:p>
        </w:tc>
        <w:tc>
          <w:tcPr>
            <w:tcW w:w="2557"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w:t>
            </w:r>
          </w:p>
        </w:tc>
        <w:tc>
          <w:tcPr>
            <w:tcW w:w="276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预算总体目标执行结果</w:t>
            </w:r>
          </w:p>
        </w:tc>
        <w:tc>
          <w:tcPr>
            <w:tcW w:w="2850"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660"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2557"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目标1：保障常委会、各类调研以及代表活动正常开展</w:t>
            </w:r>
          </w:p>
        </w:tc>
        <w:tc>
          <w:tcPr>
            <w:tcW w:w="2765" w:type="dxa"/>
            <w:gridSpan w:val="3"/>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圆满完成各项人大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相关专项工作</w:t>
            </w:r>
          </w:p>
        </w:tc>
        <w:tc>
          <w:tcPr>
            <w:tcW w:w="2850"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926"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2557" w:type="dxa"/>
            <w:gridSpan w:val="4"/>
            <w:vAlign w:val="center"/>
          </w:tcPr>
          <w:p>
            <w:pPr>
              <w:adjustRightInd w:val="0"/>
              <w:snapToGrid w:val="0"/>
              <w:spacing w:line="280" w:lineRule="exact"/>
              <w:jc w:val="center"/>
              <w:rPr>
                <w:rFonts w:ascii="宋体" w:hAnsi="宋体"/>
                <w:snapToGrid w:val="0"/>
                <w:kern w:val="0"/>
                <w:szCs w:val="21"/>
              </w:rPr>
            </w:pPr>
          </w:p>
        </w:tc>
        <w:tc>
          <w:tcPr>
            <w:tcW w:w="2765" w:type="dxa"/>
            <w:gridSpan w:val="3"/>
            <w:vAlign w:val="center"/>
          </w:tcPr>
          <w:p>
            <w:pPr>
              <w:adjustRightInd w:val="0"/>
              <w:snapToGrid w:val="0"/>
              <w:spacing w:line="280" w:lineRule="exact"/>
              <w:jc w:val="center"/>
              <w:rPr>
                <w:rFonts w:ascii="宋体" w:hAnsi="宋体"/>
                <w:snapToGrid w:val="0"/>
                <w:kern w:val="0"/>
                <w:szCs w:val="21"/>
              </w:rPr>
            </w:pPr>
          </w:p>
        </w:tc>
        <w:tc>
          <w:tcPr>
            <w:tcW w:w="2850"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710" w:hRule="atLeast"/>
          <w:jc w:val="center"/>
        </w:trPr>
        <w:tc>
          <w:tcPr>
            <w:tcW w:w="1067"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年度绩效指标</w:t>
            </w:r>
          </w:p>
        </w:tc>
        <w:tc>
          <w:tcPr>
            <w:tcW w:w="793" w:type="dxa"/>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884"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三级指标</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预算指标值（包含数字及文字描述）</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预算指标值执行结果（包含数字及文字描述）</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7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793" w:type="dxa"/>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完成</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884" w:type="dxa"/>
            <w:gridSpan w:val="2"/>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培训次数</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50</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42"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电脑维修次数</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168"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培训合格率</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设备达标率</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99%</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按时发放率</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60"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116"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不高于预算数</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21"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312"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428" w:type="dxa"/>
            <w:gridSpan w:val="2"/>
            <w:vAlign w:val="center"/>
          </w:tcPr>
          <w:p>
            <w:pPr>
              <w:adjustRightInd w:val="0"/>
              <w:snapToGrid w:val="0"/>
              <w:spacing w:line="280" w:lineRule="exact"/>
              <w:jc w:val="center"/>
              <w:rPr>
                <w:rFonts w:ascii="宋体" w:hAnsi="宋体"/>
                <w:snapToGrid w:val="0"/>
                <w:kern w:val="0"/>
                <w:szCs w:val="21"/>
              </w:rPr>
            </w:pP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314"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793" w:type="dxa"/>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884" w:type="dxa"/>
            <w:gridSpan w:val="2"/>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经济效益指标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329"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50"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340" w:hRule="atLeast"/>
          <w:jc w:val="center"/>
        </w:trPr>
        <w:tc>
          <w:tcPr>
            <w:tcW w:w="1067" w:type="dxa"/>
            <w:vMerge w:val="restart"/>
            <w:vAlign w:val="center"/>
          </w:tcPr>
          <w:p>
            <w:pPr>
              <w:adjustRightInd w:val="0"/>
              <w:snapToGrid w:val="0"/>
              <w:spacing w:line="280" w:lineRule="exact"/>
              <w:jc w:val="center"/>
              <w:rPr>
                <w:rFonts w:ascii="宋体" w:hAnsi="宋体"/>
                <w:snapToGrid w:val="0"/>
                <w:kern w:val="0"/>
                <w:szCs w:val="21"/>
              </w:rPr>
            </w:pPr>
          </w:p>
        </w:tc>
        <w:tc>
          <w:tcPr>
            <w:tcW w:w="793" w:type="dxa"/>
            <w:vMerge w:val="restart"/>
            <w:vAlign w:val="center"/>
          </w:tcPr>
          <w:p>
            <w:pPr>
              <w:adjustRightInd w:val="0"/>
              <w:snapToGrid w:val="0"/>
              <w:spacing w:line="280" w:lineRule="exact"/>
              <w:jc w:val="center"/>
              <w:rPr>
                <w:rFonts w:ascii="宋体" w:hAnsi="宋体"/>
                <w:snapToGrid w:val="0"/>
                <w:kern w:val="0"/>
                <w:szCs w:val="21"/>
              </w:rPr>
            </w:pPr>
          </w:p>
        </w:tc>
        <w:tc>
          <w:tcPr>
            <w:tcW w:w="884" w:type="dxa"/>
            <w:gridSpan w:val="2"/>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社会效益指标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相关制度健全性</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56"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生态效益指标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320"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233"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可持续影响指标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176"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428" w:type="dxa"/>
            <w:gridSpan w:val="2"/>
            <w:vAlign w:val="center"/>
          </w:tcPr>
          <w:p>
            <w:pPr>
              <w:adjustRightInd w:val="0"/>
              <w:snapToGrid w:val="0"/>
              <w:spacing w:line="280" w:lineRule="exact"/>
              <w:jc w:val="center"/>
              <w:rPr>
                <w:rFonts w:ascii="宋体" w:hAnsi="宋体"/>
                <w:snapToGrid w:val="0"/>
                <w:kern w:val="0"/>
                <w:szCs w:val="21"/>
              </w:rPr>
            </w:pP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14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793"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满意度指标</w:t>
            </w:r>
          </w:p>
        </w:tc>
        <w:tc>
          <w:tcPr>
            <w:tcW w:w="884" w:type="dxa"/>
            <w:gridSpan w:val="2"/>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满意度指标</w:t>
            </w: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2217"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群众满意度</w:t>
            </w:r>
          </w:p>
        </w:tc>
        <w:tc>
          <w:tcPr>
            <w:tcW w:w="1354"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99%</w:t>
            </w:r>
          </w:p>
        </w:tc>
        <w:tc>
          <w:tcPr>
            <w:tcW w:w="1496"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52" w:type="dxa"/>
            <w:right w:w="74" w:type="dxa"/>
          </w:tblCellMar>
        </w:tblPrEx>
        <w:trPr>
          <w:trHeight w:val="85" w:hRule="atLeast"/>
          <w:jc w:val="center"/>
        </w:trPr>
        <w:tc>
          <w:tcPr>
            <w:tcW w:w="1067" w:type="dxa"/>
            <w:vMerge w:val="continue"/>
            <w:vAlign w:val="center"/>
          </w:tcPr>
          <w:p>
            <w:pPr>
              <w:adjustRightInd w:val="0"/>
              <w:snapToGrid w:val="0"/>
              <w:spacing w:line="280" w:lineRule="exact"/>
              <w:jc w:val="center"/>
              <w:rPr>
                <w:rFonts w:ascii="宋体" w:hAnsi="宋体"/>
                <w:snapToGrid w:val="0"/>
                <w:kern w:val="0"/>
                <w:szCs w:val="21"/>
              </w:rPr>
            </w:pPr>
          </w:p>
        </w:tc>
        <w:tc>
          <w:tcPr>
            <w:tcW w:w="0" w:type="auto"/>
            <w:vMerge w:val="continue"/>
            <w:vAlign w:val="center"/>
          </w:tcPr>
          <w:p>
            <w:pPr>
              <w:adjustRightInd w:val="0"/>
              <w:snapToGrid w:val="0"/>
              <w:spacing w:line="280" w:lineRule="exact"/>
              <w:jc w:val="center"/>
              <w:rPr>
                <w:rFonts w:ascii="宋体" w:hAnsi="宋体"/>
                <w:snapToGrid w:val="0"/>
                <w:kern w:val="0"/>
                <w:szCs w:val="21"/>
              </w:rPr>
            </w:pPr>
          </w:p>
        </w:tc>
        <w:tc>
          <w:tcPr>
            <w:tcW w:w="884" w:type="dxa"/>
            <w:gridSpan w:val="2"/>
            <w:vMerge w:val="continue"/>
            <w:vAlign w:val="center"/>
          </w:tcPr>
          <w:p>
            <w:pPr>
              <w:adjustRightInd w:val="0"/>
              <w:snapToGrid w:val="0"/>
              <w:spacing w:line="280" w:lineRule="exact"/>
              <w:jc w:val="center"/>
              <w:rPr>
                <w:rFonts w:ascii="宋体" w:hAnsi="宋体"/>
                <w:snapToGrid w:val="0"/>
                <w:kern w:val="0"/>
                <w:szCs w:val="21"/>
              </w:rPr>
            </w:pPr>
          </w:p>
        </w:tc>
        <w:tc>
          <w:tcPr>
            <w:tcW w:w="1428"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2217" w:type="dxa"/>
            <w:gridSpan w:val="2"/>
            <w:vAlign w:val="center"/>
          </w:tcPr>
          <w:p>
            <w:pPr>
              <w:adjustRightInd w:val="0"/>
              <w:snapToGrid w:val="0"/>
              <w:spacing w:line="280" w:lineRule="exact"/>
              <w:jc w:val="center"/>
              <w:rPr>
                <w:rFonts w:ascii="宋体" w:hAnsi="宋体"/>
                <w:snapToGrid w:val="0"/>
                <w:kern w:val="0"/>
                <w:szCs w:val="21"/>
              </w:rPr>
            </w:pPr>
          </w:p>
        </w:tc>
        <w:tc>
          <w:tcPr>
            <w:tcW w:w="1354" w:type="dxa"/>
            <w:vAlign w:val="center"/>
          </w:tcPr>
          <w:p>
            <w:pPr>
              <w:adjustRightInd w:val="0"/>
              <w:snapToGrid w:val="0"/>
              <w:spacing w:line="280" w:lineRule="exact"/>
              <w:jc w:val="center"/>
              <w:rPr>
                <w:rFonts w:ascii="宋体" w:hAnsi="宋体"/>
                <w:snapToGrid w:val="0"/>
                <w:kern w:val="0"/>
                <w:szCs w:val="21"/>
              </w:rPr>
            </w:pPr>
          </w:p>
        </w:tc>
        <w:tc>
          <w:tcPr>
            <w:tcW w:w="1496" w:type="dxa"/>
            <w:gridSpan w:val="2"/>
            <w:vAlign w:val="center"/>
          </w:tcPr>
          <w:p>
            <w:pPr>
              <w:adjustRightInd w:val="0"/>
              <w:snapToGrid w:val="0"/>
              <w:spacing w:line="280" w:lineRule="exact"/>
              <w:jc w:val="center"/>
              <w:rPr>
                <w:rFonts w:ascii="宋体" w:hAnsi="宋体"/>
                <w:snapToGrid w:val="0"/>
                <w:kern w:val="0"/>
                <w:szCs w:val="21"/>
              </w:rPr>
            </w:pPr>
          </w:p>
        </w:tc>
      </w:tr>
    </w:tbl>
    <w:p>
      <w:pPr>
        <w:pStyle w:val="3"/>
        <w:keepNext w:val="0"/>
        <w:keepLines w:val="0"/>
        <w:adjustRightInd w:val="0"/>
        <w:snapToGrid w:val="0"/>
        <w:spacing w:after="0" w:line="590" w:lineRule="exact"/>
        <w:rPr>
          <w:rFonts w:ascii="宋体" w:hAnsi="宋体" w:eastAsia="方正仿宋_GBK" w:cs="宋体"/>
          <w:snapToGrid w:val="0"/>
          <w:sz w:val="33"/>
          <w:szCs w:val="33"/>
        </w:rPr>
      </w:pPr>
    </w:p>
    <w:p>
      <w:pPr>
        <w:pStyle w:val="3"/>
        <w:keepNext w:val="0"/>
        <w:keepLines w:val="0"/>
        <w:adjustRightInd w:val="0"/>
        <w:snapToGrid w:val="0"/>
        <w:spacing w:after="0" w:line="590" w:lineRule="exact"/>
        <w:rPr>
          <w:rFonts w:ascii="宋体" w:hAnsi="宋体" w:eastAsia="方正仿宋_GBK" w:cs="宋体"/>
          <w:snapToGrid w:val="0"/>
          <w:sz w:val="33"/>
          <w:szCs w:val="33"/>
        </w:rPr>
      </w:pPr>
    </w:p>
    <w:p>
      <w:pPr>
        <w:pStyle w:val="3"/>
        <w:keepNext w:val="0"/>
        <w:keepLines w:val="0"/>
        <w:adjustRightInd w:val="0"/>
        <w:snapToGrid w:val="0"/>
        <w:spacing w:after="0" w:line="590" w:lineRule="exact"/>
        <w:rPr>
          <w:rFonts w:ascii="宋体" w:hAnsi="宋体" w:eastAsia="方正黑体_GBK"/>
          <w:snapToGrid w:val="0"/>
          <w:sz w:val="33"/>
          <w:szCs w:val="33"/>
        </w:rPr>
      </w:pPr>
      <w:bookmarkStart w:id="120" w:name="_Toc144282052"/>
      <w:r>
        <w:rPr>
          <w:rFonts w:hint="eastAsia" w:ascii="宋体" w:hAnsi="宋体" w:eastAsia="方正黑体_GBK" w:cs="宋体"/>
          <w:snapToGrid w:val="0"/>
          <w:sz w:val="33"/>
          <w:szCs w:val="33"/>
        </w:rPr>
        <w:t>附件</w:t>
      </w:r>
      <w:r>
        <w:rPr>
          <w:rFonts w:hint="eastAsia" w:ascii="宋体" w:hAnsi="宋体" w:eastAsia="方正黑体_GBK"/>
          <w:snapToGrid w:val="0"/>
          <w:sz w:val="33"/>
          <w:szCs w:val="33"/>
        </w:rPr>
        <w:t>3</w:t>
      </w:r>
      <w:bookmarkEnd w:id="120"/>
    </w:p>
    <w:p>
      <w:pPr>
        <w:pStyle w:val="3"/>
        <w:keepNext w:val="0"/>
        <w:keepLines w:val="0"/>
        <w:adjustRightInd w:val="0"/>
        <w:snapToGrid w:val="0"/>
        <w:spacing w:after="0" w:line="300" w:lineRule="exact"/>
        <w:rPr>
          <w:rFonts w:ascii="宋体" w:hAnsi="宋体" w:eastAsia="方正仿宋_GBK" w:cs="宋体"/>
          <w:snapToGrid w:val="0"/>
          <w:sz w:val="33"/>
          <w:szCs w:val="33"/>
        </w:rPr>
      </w:pPr>
    </w:p>
    <w:p>
      <w:pPr>
        <w:pStyle w:val="3"/>
        <w:keepNext w:val="0"/>
        <w:keepLines w:val="0"/>
        <w:adjustRightInd w:val="0"/>
        <w:snapToGrid w:val="0"/>
        <w:spacing w:after="0" w:line="590" w:lineRule="exact"/>
        <w:jc w:val="center"/>
        <w:rPr>
          <w:rFonts w:ascii="宋体" w:hAnsi="宋体" w:eastAsia="方正小标宋_GBK"/>
          <w:snapToGrid w:val="0"/>
        </w:rPr>
      </w:pPr>
      <w:bookmarkStart w:id="121" w:name="_Toc144282053"/>
      <w:r>
        <w:rPr>
          <w:rFonts w:hint="eastAsia" w:ascii="宋体" w:hAnsi="宋体" w:eastAsia="方正小标宋_GBK" w:cs="宋体"/>
          <w:snapToGrid w:val="0"/>
        </w:rPr>
        <w:t>资阳市雁江区人大常委会办公室</w:t>
      </w:r>
      <w:bookmarkEnd w:id="121"/>
    </w:p>
    <w:p>
      <w:pPr>
        <w:pStyle w:val="3"/>
        <w:keepNext w:val="0"/>
        <w:keepLines w:val="0"/>
        <w:adjustRightInd w:val="0"/>
        <w:snapToGrid w:val="0"/>
        <w:spacing w:after="0" w:line="590" w:lineRule="exact"/>
        <w:jc w:val="center"/>
        <w:rPr>
          <w:rFonts w:ascii="宋体" w:hAnsi="宋体" w:eastAsia="方正小标宋_GBK"/>
          <w:snapToGrid w:val="0"/>
        </w:rPr>
      </w:pPr>
      <w:bookmarkStart w:id="122" w:name="_Toc144282054"/>
      <w:r>
        <w:rPr>
          <w:rFonts w:hint="eastAsia" w:ascii="宋体" w:hAnsi="宋体" w:eastAsia="方正小标宋_GBK" w:cs="宋体"/>
          <w:snapToGrid w:val="0"/>
        </w:rPr>
        <w:t>2022年项目支出绩效自评报告</w:t>
      </w:r>
      <w:bookmarkEnd w:id="122"/>
    </w:p>
    <w:p>
      <w:pPr>
        <w:adjustRightInd w:val="0"/>
        <w:snapToGrid w:val="0"/>
        <w:spacing w:line="590" w:lineRule="exact"/>
        <w:jc w:val="center"/>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（人大相关专项工作经费项目）</w:t>
      </w:r>
    </w:p>
    <w:p>
      <w:pPr>
        <w:adjustRightInd w:val="0"/>
        <w:snapToGrid w:val="0"/>
        <w:spacing w:line="300" w:lineRule="exact"/>
        <w:rPr>
          <w:rFonts w:ascii="宋体" w:hAnsi="宋体" w:eastAsia="方正仿宋_GBK" w:cs="宋体"/>
          <w:snapToGrid w:val="0"/>
          <w:kern w:val="0"/>
          <w:sz w:val="33"/>
          <w:szCs w:val="33"/>
        </w:rPr>
      </w:pP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一、项目基本情况</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（一）概况</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cs="宋体"/>
          <w:b/>
          <w:snapToGrid w:val="0"/>
          <w:kern w:val="0"/>
          <w:sz w:val="33"/>
          <w:szCs w:val="33"/>
        </w:rPr>
        <w:t>1．立项背景及目的</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cs="宋体"/>
          <w:snapToGrid w:val="0"/>
          <w:kern w:val="0"/>
          <w:sz w:val="33"/>
          <w:szCs w:val="33"/>
        </w:rPr>
        <w:t>为了保障人大工作正常运转，提高人大调研、会议等工作质量，根据文件批复，同意设立人大相关专项工作经费项目主要用于人大代表报刊杂志的订阅、扶贫帮扶工作、社区包联工作、党建工作、退休老干部工作等。</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cs="宋体"/>
          <w:b/>
          <w:snapToGrid w:val="0"/>
          <w:kern w:val="0"/>
          <w:sz w:val="33"/>
          <w:szCs w:val="33"/>
        </w:rPr>
        <w:t>2．预算资金来源及使用情况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宋体"/>
          <w:snapToGrid w:val="0"/>
          <w:kern w:val="0"/>
          <w:sz w:val="33"/>
          <w:szCs w:val="33"/>
        </w:rPr>
        <w:t>人大相关专项工作经费</w:t>
      </w:r>
      <w:r>
        <w:rPr>
          <w:rFonts w:hint="eastAsia" w:ascii="宋体" w:hAnsi="宋体" w:eastAsia="方正仿宋_GBK"/>
          <w:snapToGrid w:val="0"/>
          <w:kern w:val="0"/>
          <w:sz w:val="33"/>
          <w:szCs w:val="33"/>
        </w:rPr>
        <w:t>预算资金全部来源于同级财政拨款，本项目年初预算为115万元，无中期调整，年度总预算为115万元。截至2022年12月31日，本项目实际执行115万元，执行率为100%。</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cs="宋体"/>
          <w:b/>
          <w:snapToGrid w:val="0"/>
          <w:kern w:val="0"/>
          <w:sz w:val="33"/>
          <w:szCs w:val="33"/>
        </w:rPr>
        <w:t>3．项目完成情况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2022年人大相关专项工作经费占所有项目经费的38.75%，是人大项目支出中重要的一部分，当年预算的资金使用率100%，圆满完成了该项目的工作内容（如帮扶工作、社区包联工作、代表报刊杂志的订阅工作等）。</w:t>
      </w:r>
    </w:p>
    <w:p>
      <w:pPr>
        <w:adjustRightInd w:val="0"/>
        <w:snapToGrid w:val="0"/>
        <w:spacing w:line="590" w:lineRule="exact"/>
        <w:ind w:firstLine="663" w:firstLineChars="200"/>
        <w:rPr>
          <w:rFonts w:ascii="宋体" w:hAnsi="宋体" w:eastAsia="方正仿宋_GBK" w:cs="宋体"/>
          <w:b/>
          <w:snapToGrid w:val="0"/>
          <w:kern w:val="0"/>
          <w:sz w:val="33"/>
          <w:szCs w:val="33"/>
        </w:rPr>
      </w:pPr>
      <w:r>
        <w:rPr>
          <w:rFonts w:hint="eastAsia" w:ascii="宋体" w:hAnsi="宋体" w:eastAsia="方正仿宋_GBK" w:cs="宋体"/>
          <w:b/>
          <w:snapToGrid w:val="0"/>
          <w:kern w:val="0"/>
          <w:sz w:val="33"/>
          <w:szCs w:val="33"/>
        </w:rPr>
        <w:t>4．组织及管理</w:t>
      </w:r>
    </w:p>
    <w:p>
      <w:pPr>
        <w:pStyle w:val="7"/>
        <w:widowControl w:val="0"/>
        <w:adjustRightInd w:val="0"/>
        <w:snapToGrid w:val="0"/>
        <w:spacing w:line="590" w:lineRule="exact"/>
        <w:ind w:firstLine="660"/>
        <w:jc w:val="both"/>
        <w:rPr>
          <w:rFonts w:ascii="宋体" w:hAnsi="宋体" w:eastAsia="方正仿宋_GBK"/>
          <w:snapToGrid w:val="0"/>
          <w:color w:val="auto"/>
          <w:kern w:val="0"/>
          <w:sz w:val="33"/>
          <w:szCs w:val="33"/>
        </w:rPr>
      </w:pPr>
      <w:r>
        <w:rPr>
          <w:rFonts w:hint="eastAsia" w:ascii="宋体" w:hAnsi="宋体" w:eastAsia="方正仿宋_GBK"/>
          <w:snapToGrid w:val="0"/>
          <w:color w:val="auto"/>
          <w:kern w:val="0"/>
          <w:sz w:val="33"/>
          <w:szCs w:val="33"/>
        </w:rPr>
        <w:t>我单位建立了严格的财务管理制度，区人大常委会分管领导为项目主要负责人，不论是日常经费支出还是政府采购，都从程序、方式及要求上进行了规定，确保项目高质量完成。</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（二）绩效目标</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人大</w:t>
      </w:r>
      <w:r>
        <w:rPr>
          <w:rFonts w:hint="eastAsia" w:ascii="宋体" w:hAnsi="宋体" w:eastAsia="方正仿宋_GBK" w:cs="宋体"/>
          <w:snapToGrid w:val="0"/>
          <w:kern w:val="0"/>
          <w:sz w:val="33"/>
          <w:szCs w:val="33"/>
        </w:rPr>
        <w:t>相关专项工作经费总体目标是全年预计投入115万元，保障人大各项工作的正常开展</w:t>
      </w:r>
      <w:r>
        <w:rPr>
          <w:rFonts w:hint="eastAsia" w:ascii="宋体" w:hAnsi="宋体" w:eastAsia="方正仿宋_GBK"/>
          <w:snapToGrid w:val="0"/>
          <w:kern w:val="0"/>
          <w:sz w:val="33"/>
          <w:szCs w:val="33"/>
        </w:rPr>
        <w:t>，</w:t>
      </w:r>
      <w:r>
        <w:rPr>
          <w:rFonts w:hint="eastAsia" w:ascii="宋体" w:hAnsi="宋体" w:eastAsia="方正仿宋_GBK" w:cs="宋体"/>
          <w:snapToGrid w:val="0"/>
          <w:kern w:val="0"/>
          <w:sz w:val="33"/>
          <w:szCs w:val="33"/>
        </w:rPr>
        <w:t>在数量上要保证资金足额支付</w:t>
      </w:r>
      <w:r>
        <w:rPr>
          <w:rFonts w:hint="eastAsia" w:ascii="宋体" w:hAnsi="宋体" w:eastAsia="方正仿宋_GBK"/>
          <w:snapToGrid w:val="0"/>
          <w:kern w:val="0"/>
          <w:sz w:val="33"/>
          <w:szCs w:val="33"/>
        </w:rPr>
        <w:t>，在质量上要促进各项工作顺利进行且取得重大进展，成本上要厉行节约，严格控制经费浪费。</w:t>
      </w:r>
    </w:p>
    <w:p>
      <w:pPr>
        <w:adjustRightInd w:val="0"/>
        <w:snapToGrid w:val="0"/>
        <w:spacing w:line="590" w:lineRule="exact"/>
        <w:ind w:firstLine="660" w:firstLineChars="200"/>
        <w:rPr>
          <w:rFonts w:ascii="宋体" w:hAnsi="宋体" w:eastAsia="方正黑体_GBK" w:cs="宋体"/>
          <w:snapToGrid w:val="0"/>
          <w:kern w:val="0"/>
          <w:sz w:val="33"/>
          <w:szCs w:val="33"/>
        </w:rPr>
      </w:pPr>
      <w:r>
        <w:rPr>
          <w:rFonts w:hint="eastAsia" w:ascii="宋体" w:hAnsi="宋体" w:eastAsia="方正黑体_GBK" w:cs="宋体"/>
          <w:snapToGrid w:val="0"/>
          <w:kern w:val="0"/>
          <w:sz w:val="33"/>
          <w:szCs w:val="33"/>
        </w:rPr>
        <w:t>二、绩效自评工作情况</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（一）自评工作组织领导</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成立自评工作领导小组，由区人大常委会分管领导担任自评工作小组组长、由机关党总支书记、办公室主任担任自评工作小组副组长，由办公室分管财务副主任、会计、出纳担任成员，本着客观、真实、准确的原则开展项目自评。</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（二）自评方式、方法及重点</w:t>
      </w:r>
    </w:p>
    <w:p>
      <w:pPr>
        <w:adjustRightInd w:val="0"/>
        <w:snapToGrid w:val="0"/>
        <w:spacing w:line="590" w:lineRule="exact"/>
        <w:ind w:firstLine="663" w:firstLineChars="200"/>
        <w:rPr>
          <w:rFonts w:ascii="宋体" w:hAnsi="宋体" w:eastAsia="方正仿宋_GBK"/>
          <w:snapToGrid w:val="0"/>
          <w:kern w:val="0"/>
          <w:sz w:val="33"/>
          <w:szCs w:val="33"/>
        </w:rPr>
      </w:pPr>
      <w:r>
        <w:rPr>
          <w:rFonts w:hint="eastAsia" w:ascii="宋体" w:hAnsi="宋体" w:eastAsia="方正仿宋_GBK" w:cs="宋体"/>
          <w:b/>
          <w:snapToGrid w:val="0"/>
          <w:kern w:val="0"/>
          <w:sz w:val="33"/>
          <w:szCs w:val="33"/>
        </w:rPr>
        <w:t>1．绩效评价标准及方法</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办公室收集资料，掌握项目立项决策、项目资金落实、项目实施管理、财务管理全过程，收集项目完成情况与年初绩效目标开展对比，对项目绩效差异通过因素分析，分析内、外部因素，并提出改进措施及建议。</w:t>
      </w:r>
    </w:p>
    <w:p>
      <w:pPr>
        <w:pStyle w:val="7"/>
        <w:widowControl w:val="0"/>
        <w:adjustRightInd w:val="0"/>
        <w:snapToGrid w:val="0"/>
        <w:spacing w:line="590" w:lineRule="exact"/>
        <w:ind w:firstLine="660"/>
        <w:jc w:val="both"/>
        <w:rPr>
          <w:rFonts w:ascii="宋体" w:hAnsi="宋体" w:eastAsia="方正仿宋_GBK" w:cs="宋体"/>
          <w:b/>
          <w:snapToGrid w:val="0"/>
          <w:color w:val="auto"/>
          <w:kern w:val="0"/>
          <w:sz w:val="33"/>
          <w:szCs w:val="33"/>
        </w:rPr>
      </w:pPr>
      <w:r>
        <w:rPr>
          <w:rFonts w:hint="eastAsia" w:ascii="宋体" w:hAnsi="宋体" w:eastAsia="方正仿宋_GBK" w:cs="宋体"/>
          <w:b/>
          <w:snapToGrid w:val="0"/>
          <w:color w:val="auto"/>
          <w:kern w:val="0"/>
          <w:sz w:val="33"/>
          <w:szCs w:val="33"/>
        </w:rPr>
        <w:t>2．绩效评价指标体系及重点</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结合该项目特点、评价重点，按照《资阳市雁江区财政局关于开展2022年度财政支出绩效自评工作的通知》附件7“2022年度雁江区项目支出绩效自评计分表”，该项目绩效评价指标分为“投入”、“过程”、“产出”、“效益”四大类。指标数据来源于政府文件、项目资料、访谈等。</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“投入”</w:t>
      </w:r>
      <w:r>
        <w:rPr>
          <w:rFonts w:hint="eastAsia" w:ascii="宋体" w:hAnsi="宋体" w:eastAsia="方正仿宋_GBK"/>
          <w:snapToGrid w:val="0"/>
          <w:spacing w:val="-6"/>
          <w:kern w:val="0"/>
          <w:sz w:val="33"/>
          <w:szCs w:val="33"/>
        </w:rPr>
        <w:t>指标关注重点：项目立项是否规范性、绩效目标是否合理性、需求是否紧迫性、绩效指标是否细化、量化可衡量。</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“过程”指标关注重点：制度执行是否有效性、资金使用是否合规性、财务监控是否有效性。</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“产出”指标关注重点：采购相关设施、设备是否按计划完成；相关质量是否达标；项目实施是否按计划完成；成本控制是否有效。</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“效益”指标关注重点：相关制度健全性，各委室满意度。</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三、评价结论</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总体而言，本项目实施符合</w:t>
      </w:r>
      <w:r>
        <w:rPr>
          <w:rFonts w:hint="eastAsia" w:ascii="宋体" w:hAnsi="宋体" w:eastAsia="方正仿宋_GBK"/>
          <w:snapToGrid w:val="0"/>
          <w:kern w:val="0"/>
          <w:sz w:val="33"/>
          <w:szCs w:val="33"/>
          <w:lang w:eastAsia="zh-CN"/>
        </w:rPr>
        <w:t>党委、政府</w:t>
      </w:r>
      <w:r>
        <w:rPr>
          <w:rFonts w:hint="eastAsia" w:ascii="宋体" w:hAnsi="宋体" w:eastAsia="方正仿宋_GBK"/>
          <w:snapToGrid w:val="0"/>
          <w:kern w:val="0"/>
          <w:sz w:val="33"/>
          <w:szCs w:val="33"/>
        </w:rPr>
        <w:t>决策，与部门职能密切相关，立项依据充分，项目实施及管理制度健全、执行有效，自评得分95分，等级为优。</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四、绩效分析</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snapToGrid w:val="0"/>
          <w:kern w:val="0"/>
          <w:sz w:val="33"/>
          <w:szCs w:val="33"/>
        </w:rPr>
        <w:t>2022年人大相关专项工作项目</w:t>
      </w:r>
      <w:r>
        <w:rPr>
          <w:rFonts w:hint="eastAsia" w:ascii="宋体" w:hAnsi="宋体" w:eastAsia="方正仿宋_GBK" w:cs="宋体"/>
          <w:snapToGrid w:val="0"/>
          <w:kern w:val="0"/>
          <w:sz w:val="33"/>
          <w:szCs w:val="33"/>
        </w:rPr>
        <w:t>实施情况总体较好，从投入、过程、产出、效果指标来看，经济效益指标不适用扣5分。</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五、主要经验及做法、存在的问题和建议</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无</w:t>
      </w:r>
    </w:p>
    <w:p>
      <w:pPr>
        <w:adjustRightInd w:val="0"/>
        <w:snapToGrid w:val="0"/>
        <w:spacing w:line="590" w:lineRule="exact"/>
        <w:ind w:firstLine="660" w:firstLineChars="200"/>
        <w:rPr>
          <w:rFonts w:ascii="宋体" w:hAnsi="宋体" w:eastAsia="方正仿宋_GBK" w:cs="宋体"/>
          <w:snapToGrid w:val="0"/>
          <w:kern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宋体"/>
          <w:snapToGrid w:val="0"/>
          <w:kern w:val="0"/>
          <w:sz w:val="33"/>
          <w:szCs w:val="33"/>
        </w:rPr>
        <w:t>附件：3-1．2022年度雁江区项目支出绩效自评计分表</w:t>
      </w:r>
    </w:p>
    <w:p>
      <w:pPr>
        <w:adjustRightInd w:val="0"/>
        <w:snapToGrid w:val="0"/>
        <w:spacing w:line="590" w:lineRule="exact"/>
        <w:ind w:firstLine="660" w:firstLineChars="200"/>
        <w:rPr>
          <w:rFonts w:ascii="宋体" w:hAnsi="宋体" w:eastAsia="方正仿宋_GBK"/>
          <w:snapToGrid w:val="0"/>
          <w:spacing w:val="-10"/>
          <w:kern w:val="0"/>
          <w:sz w:val="33"/>
          <w:szCs w:val="33"/>
        </w:rPr>
      </w:pPr>
      <w:r>
        <w:rPr>
          <w:rFonts w:hint="eastAsia" w:ascii="宋体" w:hAnsi="宋体" w:eastAsia="方正仿宋_GBK" w:cs="宋体"/>
          <w:snapToGrid w:val="0"/>
          <w:kern w:val="0"/>
          <w:sz w:val="33"/>
          <w:szCs w:val="33"/>
        </w:rPr>
        <w:t xml:space="preserve">      3-2．20</w:t>
      </w:r>
      <w:r>
        <w:rPr>
          <w:rFonts w:hint="eastAsia" w:ascii="宋体" w:hAnsi="宋体" w:eastAsia="方正仿宋_GBK" w:cs="宋体"/>
          <w:snapToGrid w:val="0"/>
          <w:spacing w:val="-10"/>
          <w:kern w:val="0"/>
          <w:sz w:val="33"/>
          <w:szCs w:val="33"/>
        </w:rPr>
        <w:t>22年度雁江区项目支出绩效目标完成情况表</w:t>
      </w:r>
    </w:p>
    <w:p>
      <w:pPr>
        <w:adjustRightInd w:val="0"/>
        <w:snapToGrid w:val="0"/>
        <w:spacing w:line="590" w:lineRule="exact"/>
        <w:ind w:firstLine="660" w:firstLineChars="200"/>
        <w:rPr>
          <w:rFonts w:ascii="宋体" w:hAnsi="宋体" w:eastAsia="方正仿宋_GBK"/>
          <w:snapToGrid w:val="0"/>
          <w:kern w:val="0"/>
          <w:sz w:val="33"/>
          <w:szCs w:val="33"/>
        </w:rPr>
      </w:pPr>
    </w:p>
    <w:p>
      <w:pPr>
        <w:adjustRightInd w:val="0"/>
        <w:snapToGrid w:val="0"/>
        <w:spacing w:line="590" w:lineRule="exact"/>
        <w:ind w:firstLine="660" w:firstLineChars="200"/>
        <w:rPr>
          <w:rFonts w:ascii="宋体" w:hAnsi="宋体" w:eastAsia="方正仿宋_GBK" w:cs="宋体"/>
          <w:snapToGrid w:val="0"/>
          <w:kern w:val="0"/>
          <w:sz w:val="33"/>
          <w:szCs w:val="33"/>
        </w:rPr>
      </w:pPr>
    </w:p>
    <w:p>
      <w:pPr>
        <w:pStyle w:val="2"/>
        <w:adjustRightInd w:val="0"/>
        <w:snapToGrid w:val="0"/>
        <w:spacing w:before="93" w:line="590" w:lineRule="exact"/>
        <w:ind w:firstLine="660" w:firstLineChars="200"/>
        <w:rPr>
          <w:rFonts w:ascii="宋体" w:hAnsi="宋体" w:eastAsia="方正仿宋_GBK"/>
          <w:snapToGrid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黑体_GBK" w:cs="宋体"/>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附件3-1</w:t>
      </w:r>
    </w:p>
    <w:p>
      <w:pPr>
        <w:adjustRightInd w:val="0"/>
        <w:snapToGrid w:val="0"/>
        <w:spacing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cs="宋体"/>
          <w:b/>
          <w:snapToGrid w:val="0"/>
          <w:kern w:val="0"/>
          <w:sz w:val="33"/>
          <w:szCs w:val="33"/>
        </w:rPr>
      </w:pPr>
      <w:r>
        <w:rPr>
          <w:rFonts w:hint="eastAsia" w:ascii="宋体" w:hAnsi="宋体" w:eastAsia="方正楷体_GBK" w:cs="宋体"/>
          <w:b/>
          <w:snapToGrid w:val="0"/>
          <w:kern w:val="0"/>
          <w:sz w:val="33"/>
          <w:szCs w:val="33"/>
        </w:rPr>
        <w:t>（人大相关专项工作经费项目）</w:t>
      </w:r>
    </w:p>
    <w:p>
      <w:pPr>
        <w:adjustRightInd w:val="0"/>
        <w:snapToGrid w:val="0"/>
        <w:spacing w:line="400" w:lineRule="exact"/>
        <w:rPr>
          <w:rFonts w:ascii="宋体" w:hAnsi="宋体" w:eastAsia="方正黑体_GBK" w:cs="宋体"/>
          <w:snapToGrid w:val="0"/>
          <w:kern w:val="0"/>
          <w:sz w:val="24"/>
        </w:rPr>
      </w:pPr>
      <w:r>
        <w:rPr>
          <w:rFonts w:hint="eastAsia" w:ascii="宋体" w:hAnsi="宋体" w:eastAsia="方正黑体_GBK" w:cs="宋体"/>
          <w:snapToGrid w:val="0"/>
          <w:kern w:val="0"/>
          <w:sz w:val="24"/>
        </w:rPr>
        <w:t>预算单位名称：资阳市雁江区人民代表大会常务委员会办公室</w:t>
      </w:r>
    </w:p>
    <w:p>
      <w:pPr>
        <w:adjustRightInd w:val="0"/>
        <w:snapToGrid w:val="0"/>
        <w:spacing w:line="400" w:lineRule="exact"/>
        <w:rPr>
          <w:rFonts w:ascii="宋体" w:hAnsi="宋体" w:eastAsia="方正黑体_GBK"/>
          <w:snapToGrid w:val="0"/>
          <w:kern w:val="0"/>
          <w:sz w:val="24"/>
        </w:rPr>
      </w:pPr>
      <w:r>
        <w:rPr>
          <w:rFonts w:hint="eastAsia" w:ascii="宋体" w:hAnsi="宋体" w:eastAsia="方正黑体_GBK" w:cs="宋体"/>
          <w:snapToGrid w:val="0"/>
          <w:kern w:val="0"/>
          <w:sz w:val="24"/>
        </w:rPr>
        <w:t>预算单位编码：</w:t>
      </w:r>
      <w:r>
        <w:rPr>
          <w:rFonts w:hint="eastAsia" w:ascii="宋体" w:hAnsi="宋体" w:eastAsia="方正黑体_GBK" w:cs="楷体"/>
          <w:snapToGrid w:val="0"/>
          <w:kern w:val="0"/>
          <w:sz w:val="24"/>
        </w:rPr>
        <w:t xml:space="preserve">110001    </w:t>
      </w:r>
      <w:r>
        <w:rPr>
          <w:rFonts w:hint="eastAsia" w:ascii="宋体" w:hAnsi="宋体" w:eastAsia="方正黑体_GBK" w:cs="宋体"/>
          <w:snapToGrid w:val="0"/>
          <w:kern w:val="0"/>
          <w:sz w:val="24"/>
        </w:rPr>
        <w:t>自评等级：优</w:t>
      </w:r>
    </w:p>
    <w:tbl>
      <w:tblPr>
        <w:tblStyle w:val="22"/>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8" w:type="dxa"/>
        </w:tblCellMar>
      </w:tblPr>
      <w:tblGrid>
        <w:gridCol w:w="868"/>
        <w:gridCol w:w="863"/>
        <w:gridCol w:w="839"/>
        <w:gridCol w:w="1761"/>
        <w:gridCol w:w="3615"/>
        <w:gridCol w:w="697"/>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8" w:hRule="atLeast"/>
          <w:tblHeader/>
          <w:jc w:val="center"/>
        </w:trPr>
        <w:tc>
          <w:tcPr>
            <w:tcW w:w="868" w:type="dxa"/>
            <w:tcMar>
              <w:left w:w="45" w:type="dxa"/>
              <w:right w:w="45" w:type="dxa"/>
            </w:tcMar>
            <w:vAlign w:val="center"/>
          </w:tcPr>
          <w:p>
            <w:pPr>
              <w:adjustRightInd w:val="0"/>
              <w:snapToGrid w:val="0"/>
              <w:spacing w:line="300" w:lineRule="exact"/>
              <w:jc w:val="center"/>
              <w:rPr>
                <w:rFonts w:ascii="宋体" w:hAnsi="宋体" w:cs="宋体"/>
                <w:b/>
                <w:snapToGrid w:val="0"/>
                <w:kern w:val="0"/>
                <w:szCs w:val="21"/>
              </w:rPr>
            </w:pPr>
            <w:r>
              <w:rPr>
                <w:rFonts w:hint="eastAsia" w:ascii="宋体" w:hAnsi="宋体" w:cs="宋体"/>
                <w:b/>
                <w:snapToGrid w:val="0"/>
                <w:kern w:val="0"/>
                <w:szCs w:val="21"/>
              </w:rPr>
              <w:t>一级</w:t>
            </w:r>
          </w:p>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指标</w:t>
            </w:r>
          </w:p>
        </w:tc>
        <w:tc>
          <w:tcPr>
            <w:tcW w:w="863" w:type="dxa"/>
            <w:tcMar>
              <w:left w:w="45" w:type="dxa"/>
              <w:right w:w="45" w:type="dxa"/>
            </w:tcMar>
            <w:vAlign w:val="center"/>
          </w:tcPr>
          <w:p>
            <w:pPr>
              <w:adjustRightInd w:val="0"/>
              <w:snapToGrid w:val="0"/>
              <w:spacing w:line="300" w:lineRule="exact"/>
              <w:jc w:val="center"/>
              <w:rPr>
                <w:rFonts w:ascii="宋体" w:hAnsi="宋体" w:cs="宋体"/>
                <w:b/>
                <w:snapToGrid w:val="0"/>
                <w:kern w:val="0"/>
                <w:szCs w:val="21"/>
              </w:rPr>
            </w:pPr>
            <w:r>
              <w:rPr>
                <w:rFonts w:hint="eastAsia" w:ascii="宋体" w:hAnsi="宋体" w:cs="宋体"/>
                <w:b/>
                <w:snapToGrid w:val="0"/>
                <w:kern w:val="0"/>
                <w:szCs w:val="21"/>
              </w:rPr>
              <w:t>二级</w:t>
            </w:r>
          </w:p>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指标</w:t>
            </w:r>
          </w:p>
        </w:tc>
        <w:tc>
          <w:tcPr>
            <w:tcW w:w="839" w:type="dxa"/>
            <w:tcMar>
              <w:left w:w="45" w:type="dxa"/>
              <w:right w:w="45" w:type="dxa"/>
            </w:tcMar>
            <w:vAlign w:val="center"/>
          </w:tcPr>
          <w:p>
            <w:pPr>
              <w:adjustRightInd w:val="0"/>
              <w:snapToGrid w:val="0"/>
              <w:spacing w:line="300" w:lineRule="exact"/>
              <w:jc w:val="center"/>
              <w:rPr>
                <w:rFonts w:ascii="宋体" w:hAnsi="宋体" w:cs="宋体"/>
                <w:b/>
                <w:snapToGrid w:val="0"/>
                <w:kern w:val="0"/>
                <w:szCs w:val="21"/>
              </w:rPr>
            </w:pPr>
            <w:r>
              <w:rPr>
                <w:rFonts w:hint="eastAsia" w:ascii="宋体" w:hAnsi="宋体" w:cs="宋体"/>
                <w:b/>
                <w:snapToGrid w:val="0"/>
                <w:kern w:val="0"/>
                <w:szCs w:val="21"/>
              </w:rPr>
              <w:t>三级</w:t>
            </w:r>
          </w:p>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指标</w:t>
            </w:r>
          </w:p>
        </w:tc>
        <w:tc>
          <w:tcPr>
            <w:tcW w:w="1761" w:type="dxa"/>
            <w:tcMar>
              <w:left w:w="45" w:type="dxa"/>
              <w:right w:w="45" w:type="dxa"/>
            </w:tcMar>
            <w:vAlign w:val="center"/>
          </w:tcPr>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指标解释</w:t>
            </w:r>
          </w:p>
        </w:tc>
        <w:tc>
          <w:tcPr>
            <w:tcW w:w="3615" w:type="dxa"/>
            <w:tcMar>
              <w:left w:w="45" w:type="dxa"/>
              <w:right w:w="45" w:type="dxa"/>
            </w:tcMar>
            <w:vAlign w:val="center"/>
          </w:tcPr>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指标说明（评价计分标准）</w:t>
            </w:r>
          </w:p>
        </w:tc>
        <w:tc>
          <w:tcPr>
            <w:tcW w:w="697" w:type="dxa"/>
            <w:tcMar>
              <w:left w:w="45" w:type="dxa"/>
              <w:right w:w="45" w:type="dxa"/>
            </w:tcMar>
            <w:vAlign w:val="center"/>
          </w:tcPr>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自评分数</w:t>
            </w:r>
          </w:p>
        </w:tc>
        <w:tc>
          <w:tcPr>
            <w:tcW w:w="1303" w:type="dxa"/>
            <w:tcMar>
              <w:left w:w="45" w:type="dxa"/>
              <w:right w:w="45" w:type="dxa"/>
            </w:tcMar>
            <w:vAlign w:val="center"/>
          </w:tcPr>
          <w:p>
            <w:pPr>
              <w:adjustRightInd w:val="0"/>
              <w:snapToGrid w:val="0"/>
              <w:spacing w:line="300" w:lineRule="exact"/>
              <w:jc w:val="center"/>
              <w:rPr>
                <w:rFonts w:ascii="宋体" w:hAnsi="宋体" w:cs="宋体"/>
                <w:b/>
                <w:snapToGrid w:val="0"/>
                <w:kern w:val="0"/>
                <w:szCs w:val="21"/>
              </w:rPr>
            </w:pPr>
            <w:r>
              <w:rPr>
                <w:rFonts w:hint="eastAsia" w:ascii="宋体" w:hAnsi="宋体" w:cs="宋体"/>
                <w:b/>
                <w:snapToGrid w:val="0"/>
                <w:kern w:val="0"/>
                <w:szCs w:val="21"/>
              </w:rPr>
              <w:t>自评依据</w:t>
            </w:r>
          </w:p>
          <w:p>
            <w:pPr>
              <w:adjustRightInd w:val="0"/>
              <w:snapToGrid w:val="0"/>
              <w:spacing w:line="300" w:lineRule="exact"/>
              <w:jc w:val="center"/>
              <w:rPr>
                <w:rFonts w:ascii="宋体" w:hAnsi="宋体"/>
                <w:b/>
                <w:snapToGrid w:val="0"/>
                <w:kern w:val="0"/>
                <w:szCs w:val="21"/>
              </w:rPr>
            </w:pPr>
            <w:r>
              <w:rPr>
                <w:rFonts w:hint="eastAsia" w:ascii="宋体" w:hAnsi="宋体" w:cs="宋体"/>
                <w:b/>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044" w:hRule="atLeast"/>
          <w:jc w:val="center"/>
        </w:trPr>
        <w:tc>
          <w:tcPr>
            <w:tcW w:w="868" w:type="dxa"/>
            <w:vMerge w:val="restart"/>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r>
              <w:rPr>
                <w:rFonts w:hint="eastAsia" w:ascii="宋体" w:hAnsi="宋体" w:cs="宋体"/>
                <w:snapToGrid w:val="0"/>
                <w:kern w:val="0"/>
                <w:szCs w:val="21"/>
              </w:rPr>
              <w:t>投入（ 分）</w:t>
            </w:r>
          </w:p>
        </w:tc>
        <w:tc>
          <w:tcPr>
            <w:tcW w:w="863" w:type="dxa"/>
            <w:vMerge w:val="restart"/>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立项</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（15分）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项目立项规范性（5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项目的申请、设立过程是否符合相关要求，用以反映和考核项目立项的规范情况。</w:t>
            </w:r>
          </w:p>
        </w:tc>
        <w:tc>
          <w:tcPr>
            <w:tcW w:w="3615"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①项目是否按照规定的程序申请设立；（1分）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②所提交的文件、材料是否符合相关要求；（2分）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③事前</w:t>
            </w:r>
            <w:r>
              <w:rPr>
                <w:rFonts w:hint="eastAsia" w:ascii="宋体" w:hAnsi="宋体" w:cs="宋体"/>
                <w:snapToGrid w:val="0"/>
                <w:spacing w:val="-6"/>
                <w:kern w:val="0"/>
                <w:szCs w:val="21"/>
              </w:rPr>
              <w:t>是否已经过必要的可行性研究、专家论证、风险评估、集体决策等。（2 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项目申请</w:t>
            </w:r>
            <w:r>
              <w:rPr>
                <w:rFonts w:hint="eastAsia" w:ascii="宋体" w:hAnsi="宋体"/>
                <w:snapToGrid w:val="0"/>
                <w:kern w:val="0"/>
                <w:szCs w:val="21"/>
              </w:rPr>
              <w:t>、</w:t>
            </w:r>
            <w:r>
              <w:rPr>
                <w:rFonts w:hint="eastAsia" w:ascii="宋体" w:hAnsi="宋体" w:cs="宋体"/>
                <w:snapToGrid w:val="0"/>
                <w:kern w:val="0"/>
                <w:szCs w:val="21"/>
              </w:rPr>
              <w:t>设立过程符合相关要求</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631"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绩效目标合理</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性（4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项目所设定的绩效目标是否依据充分，是否符合客观实际，用以反映和考核项目绩效目标与项目实施的相符情况。</w:t>
            </w:r>
          </w:p>
        </w:tc>
        <w:tc>
          <w:tcPr>
            <w:tcW w:w="3615"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①是否符合国家相关法律法规、国民经济发展规划和</w:t>
            </w:r>
            <w:r>
              <w:rPr>
                <w:rFonts w:hint="eastAsia" w:ascii="宋体" w:hAnsi="宋体" w:cs="宋体"/>
                <w:snapToGrid w:val="0"/>
                <w:kern w:val="0"/>
                <w:szCs w:val="21"/>
                <w:lang w:eastAsia="zh-CN"/>
              </w:rPr>
              <w:t>党委、政府</w:t>
            </w:r>
            <w:r>
              <w:rPr>
                <w:rFonts w:hint="eastAsia" w:ascii="宋体" w:hAnsi="宋体" w:cs="宋体"/>
                <w:snapToGrid w:val="0"/>
                <w:kern w:val="0"/>
                <w:szCs w:val="21"/>
              </w:rPr>
              <w:t>决策；（1分） ②是否与项目实施单位或委托单位职责密切相关；（1分）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③项目是否为促进事业发展所必需；（1分）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④项目预期产出效益和效果是否符合正常的业绩水平。（1分）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依据充分</w:t>
            </w:r>
            <w:r>
              <w:rPr>
                <w:rFonts w:hint="eastAsia" w:ascii="宋体" w:hAnsi="宋体"/>
                <w:snapToGrid w:val="0"/>
                <w:kern w:val="0"/>
                <w:szCs w:val="21"/>
              </w:rPr>
              <w:t>，</w:t>
            </w:r>
            <w:r>
              <w:rPr>
                <w:rFonts w:hint="eastAsia" w:ascii="宋体" w:hAnsi="宋体" w:cs="宋体"/>
                <w:snapToGrid w:val="0"/>
                <w:kern w:val="0"/>
                <w:szCs w:val="21"/>
              </w:rPr>
              <w:t>符合客观实际</w:t>
            </w:r>
            <w:r>
              <w:rPr>
                <w:rFonts w:hint="eastAsia" w:ascii="宋体" w:hAnsi="宋体"/>
                <w:snapToGrid w:val="0"/>
                <w:kern w:val="0"/>
                <w:szCs w:val="21"/>
              </w:rPr>
              <w:t>，</w:t>
            </w:r>
            <w:r>
              <w:rPr>
                <w:rFonts w:hint="eastAsia" w:ascii="宋体" w:hAnsi="宋体" w:cs="宋体"/>
                <w:snapToGrid w:val="0"/>
                <w:kern w:val="0"/>
                <w:szCs w:val="21"/>
              </w:rPr>
              <w:t>符合国家相关法律法规</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603"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绩效指标明确性（6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依据绩效目标设定的绩效指标是否清晰、细化、可衡量等，用以反映和考核项目绩效目标的明细化情况。</w:t>
            </w:r>
          </w:p>
        </w:tc>
        <w:tc>
          <w:tcPr>
            <w:tcW w:w="3615" w:type="dxa"/>
            <w:tcMar>
              <w:left w:w="45" w:type="dxa"/>
              <w:right w:w="45" w:type="dxa"/>
            </w:tcMar>
            <w:vAlign w:val="center"/>
          </w:tcPr>
          <w:p>
            <w:pPr>
              <w:adjustRightInd w:val="0"/>
              <w:snapToGrid w:val="0"/>
              <w:spacing w:line="300" w:lineRule="exact"/>
              <w:rPr>
                <w:rFonts w:ascii="宋体" w:hAnsi="宋体" w:cs="宋体"/>
                <w:snapToGrid w:val="0"/>
                <w:kern w:val="0"/>
                <w:szCs w:val="21"/>
              </w:rPr>
            </w:pPr>
            <w:r>
              <w:rPr>
                <w:rFonts w:hint="eastAsia" w:ascii="宋体" w:hAnsi="宋体" w:cs="宋体"/>
                <w:snapToGrid w:val="0"/>
                <w:kern w:val="0"/>
                <w:szCs w:val="21"/>
              </w:rPr>
              <w:t>①是否将项目绩效目标细化分解为具体的绩效指标；（2分）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②是否通过清晰、可衡量的指标值予以体现；（1分）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③是否与项目年度任务数或计划数相对应；（1分）</w:t>
            </w:r>
          </w:p>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④是否与预算确定的项目投资额或资金量相匹配。（2分）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6分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绩效指标清晰</w:t>
            </w:r>
            <w:r>
              <w:rPr>
                <w:rFonts w:hint="eastAsia" w:ascii="宋体" w:hAnsi="宋体"/>
                <w:snapToGrid w:val="0"/>
                <w:kern w:val="0"/>
                <w:szCs w:val="21"/>
              </w:rPr>
              <w:t>、</w:t>
            </w:r>
            <w:r>
              <w:rPr>
                <w:rFonts w:hint="eastAsia" w:ascii="宋体" w:hAnsi="宋体" w:cs="宋体"/>
                <w:snapToGrid w:val="0"/>
                <w:kern w:val="0"/>
                <w:szCs w:val="21"/>
              </w:rPr>
              <w:t>细化</w:t>
            </w:r>
            <w:r>
              <w:rPr>
                <w:rFonts w:hint="eastAsia" w:ascii="宋体" w:hAnsi="宋体"/>
                <w:snapToGrid w:val="0"/>
                <w:kern w:val="0"/>
                <w:szCs w:val="21"/>
              </w:rPr>
              <w:t>、</w:t>
            </w:r>
            <w:r>
              <w:rPr>
                <w:rFonts w:hint="eastAsia" w:ascii="宋体" w:hAnsi="宋体" w:cs="宋体"/>
                <w:snapToGrid w:val="0"/>
                <w:kern w:val="0"/>
                <w:szCs w:val="21"/>
              </w:rPr>
              <w:t>可衡量</w:t>
            </w:r>
            <w:r>
              <w:rPr>
                <w:rFonts w:hint="eastAsia" w:ascii="宋体" w:hAnsi="宋体"/>
                <w:snapToGrid w:val="0"/>
                <w:kern w:val="0"/>
                <w:szCs w:val="21"/>
              </w:rPr>
              <w:t>。</w:t>
            </w:r>
            <w:r>
              <w:rPr>
                <w:rFonts w:hint="eastAsia" w:ascii="宋体" w:hAnsi="宋体" w:cs="宋体"/>
                <w:snapToGrid w:val="0"/>
                <w:kern w:val="0"/>
                <w:szCs w:val="21"/>
              </w:rPr>
              <w:t>与预算确定的项目投资额或资金量相匹配</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197"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资金</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落实</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（10分）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资金到位率（5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实际到位资金与计划投入资金的比率，用以反映和考核资金落实情况对项目实施的总体保障程度。</w:t>
            </w:r>
          </w:p>
        </w:tc>
        <w:tc>
          <w:tcPr>
            <w:tcW w:w="3615"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资金到位率=（实际到位资金/计划投入资金）×100%。（达到目标值得5分，每少一个百分点扣1分，扣完为止）实际到位资金：一定时期（本年度或项目期）内实际落实到具体项目的资金。计划投入资金：一定时期（本年度或项目期）内计划投入到具体项目的资金。</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实际到位资金115万，计划投入资金115万。资金到位率100%。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cantSplit/>
          <w:trHeight w:val="1876" w:hRule="atLeast"/>
          <w:jc w:val="center"/>
        </w:trPr>
        <w:tc>
          <w:tcPr>
            <w:tcW w:w="868" w:type="dxa"/>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r>
              <w:rPr>
                <w:rFonts w:hint="eastAsia" w:ascii="宋体" w:hAnsi="宋体" w:cs="宋体"/>
                <w:snapToGrid w:val="0"/>
                <w:kern w:val="0"/>
                <w:szCs w:val="21"/>
              </w:rPr>
              <w:t>投入（ 分）</w:t>
            </w:r>
          </w:p>
        </w:tc>
        <w:tc>
          <w:tcPr>
            <w:tcW w:w="863" w:type="dxa"/>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资金</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落实</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（10分）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到位及时率（5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及时到位资金与应到位资金的比率，用以反映和考核项目资金落实的及时性程度。</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到位及时率=（及时到位资金/应到位资金）×100%。（达到目标值得5分，每少一个百分点扣1分，扣完为止）及时到位资金：截至规定时点实际落实到具体项目的资金。应到位资金：按照合同或项目进度要求截至规定时点应落实到具体项目的资金。</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从全年来看，资金全部到位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96" w:hRule="atLeast"/>
          <w:jc w:val="center"/>
        </w:trPr>
        <w:tc>
          <w:tcPr>
            <w:tcW w:w="868" w:type="dxa"/>
            <w:vMerge w:val="restart"/>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r>
              <w:rPr>
                <w:rFonts w:hint="eastAsia" w:ascii="宋体" w:hAnsi="宋体" w:cs="宋体"/>
                <w:snapToGrid w:val="0"/>
                <w:kern w:val="0"/>
                <w:szCs w:val="21"/>
              </w:rPr>
              <w:t>过程（ 分）</w:t>
            </w:r>
          </w:p>
        </w:tc>
        <w:tc>
          <w:tcPr>
            <w:tcW w:w="863" w:type="dxa"/>
            <w:vMerge w:val="restart"/>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业务</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管理</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（13分）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管理制度健全</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性（4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项目实施单位的业务管理制度是否健全，用以反映和考核业务管理制度对项目顺利实施的保障情况。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①是否已制定或具有相应的业务管理制度；（2分）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②业务管理制度是否合法、合规、完整。（2分）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已制定相应业务管理制度</w:t>
            </w:r>
            <w:r>
              <w:rPr>
                <w:rFonts w:hint="eastAsia" w:ascii="宋体" w:hAnsi="宋体"/>
                <w:snapToGrid w:val="0"/>
                <w:kern w:val="0"/>
                <w:szCs w:val="21"/>
              </w:rPr>
              <w:t>，</w:t>
            </w:r>
            <w:r>
              <w:rPr>
                <w:rFonts w:hint="eastAsia" w:ascii="宋体" w:hAnsi="宋体" w:cs="宋体"/>
                <w:snapToGrid w:val="0"/>
                <w:kern w:val="0"/>
                <w:szCs w:val="21"/>
              </w:rPr>
              <w:t>制度合法</w:t>
            </w:r>
            <w:r>
              <w:rPr>
                <w:rFonts w:hint="eastAsia" w:ascii="宋体" w:hAnsi="宋体"/>
                <w:snapToGrid w:val="0"/>
                <w:kern w:val="0"/>
                <w:szCs w:val="21"/>
              </w:rPr>
              <w:t>、</w:t>
            </w:r>
            <w:r>
              <w:rPr>
                <w:rFonts w:hint="eastAsia" w:ascii="宋体" w:hAnsi="宋体" w:cs="宋体"/>
                <w:snapToGrid w:val="0"/>
                <w:kern w:val="0"/>
                <w:szCs w:val="21"/>
              </w:rPr>
              <w:t>合规</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085"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制度执行有效性（6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项目实施是否符合相关业务管理规定，用以反映和考核业务管理制度的有效执行情况。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①是否遵守相关法律法规和业务管理规定；（1分）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②项目调整及支出调整手续是否完备；（1分）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③项目合同书、验收报告、技术鉴定等资料是否齐全并及时归档；（2分） ④项目实施的人员条件、场地设备、信息支撑等是否落实到位。（2分）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6分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遵守相关法律法规和业务管理规定。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55"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项目质量可控性（3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项目实施单位是否为达到项目质量要求而采取了必需的措施，用以反映和考核项目实施单位对项目质量的控制情况。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①是否已制定或具有相应的项目质量要求或标准；（1分） ②是否采取了相应的项目质量检查、验收等必需的控制措施或手段。（2分）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3分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已制定相应的项目质量要求。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96"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restart"/>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财务</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管理</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（12分）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管理制度健全性（3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项目实施单位的财务制度是否健全，用以反映和考核财务管理制度对资金规范、安全运行的保障情况。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①是否已制定或具有相应的项目资金管理办法；（2分） ②项目资金管理办法是否符合相关财务会计制度的规定。（1分）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3分</w:t>
            </w:r>
          </w:p>
        </w:tc>
        <w:tc>
          <w:tcPr>
            <w:tcW w:w="1303" w:type="dxa"/>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已制定相应的项目资金管理办法。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127"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资金使用合规</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性（7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项目资金使用是否符合相关的财务管理制度规定，用以反映和考核项目资金的规范运行情况。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①是否符合国家财经法规和财务管理制度以及有关专项资金管理办法的规定；（1分）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②资金的拨付是否有完整的审批程序和手续；（2分）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③项目的重大开支是否经过评估认证；</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④是否符合项目预算批复或合同规定的用途；（1分）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⑤是否存在截留、挤占、挪用、虚列支出等情况。（2分）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7分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项目资金使用符合相关财务管理制度。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cantSplit/>
          <w:trHeight w:val="2254" w:hRule="atLeast"/>
          <w:jc w:val="center"/>
        </w:trPr>
        <w:tc>
          <w:tcPr>
            <w:tcW w:w="868" w:type="dxa"/>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r>
              <w:rPr>
                <w:rFonts w:hint="eastAsia" w:ascii="宋体" w:hAnsi="宋体" w:cs="宋体"/>
                <w:snapToGrid w:val="0"/>
                <w:kern w:val="0"/>
                <w:szCs w:val="21"/>
              </w:rPr>
              <w:t>过程（ 分）</w:t>
            </w:r>
          </w:p>
        </w:tc>
        <w:tc>
          <w:tcPr>
            <w:tcW w:w="863" w:type="dxa"/>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财务</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管理</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（12分）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财务监控有效性（2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项目实施单位是否为保障资金的安全、规范运行而采取了必要的监控措施，用以反映和考核项目实施单位对资金运行的控制情况。</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①是否已制定或具有相应的监控机制；（1分）</w:t>
            </w:r>
          </w:p>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②是否采取了相应的财务检查等必要的监控措施或手段。（1分）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2分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已制定相应的监控机制。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435" w:hRule="atLeast"/>
          <w:jc w:val="center"/>
        </w:trPr>
        <w:tc>
          <w:tcPr>
            <w:tcW w:w="868" w:type="dxa"/>
            <w:vMerge w:val="restart"/>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r>
              <w:rPr>
                <w:rFonts w:hint="eastAsia" w:ascii="宋体" w:hAnsi="宋体" w:cs="宋体"/>
                <w:snapToGrid w:val="0"/>
                <w:kern w:val="0"/>
                <w:szCs w:val="21"/>
              </w:rPr>
              <w:t>产出（ 分）</w:t>
            </w:r>
          </w:p>
        </w:tc>
        <w:tc>
          <w:tcPr>
            <w:tcW w:w="863" w:type="dxa"/>
            <w:vMerge w:val="restart"/>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产出</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（20分）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实际完成率（4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项目实施的实际产出数与计划产出数的比率，用以反映和考核项目产出数量目标的实现程度。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实际完成率=（实际产出数/计划产出数）×100%。（得分=实际完成率*4分）实际产出数：一定时期（本年度或项目期）内项目实际产出的产品或提供的服务数量。计划产出数：项目绩效目标确定的在一定时期（本年度或项目期）内计划产出的产品或提供的服务数量。</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实</w:t>
            </w:r>
            <w:r>
              <w:rPr>
                <w:rFonts w:hint="eastAsia" w:ascii="宋体" w:hAnsi="宋体" w:cs="宋体"/>
                <w:snapToGrid w:val="0"/>
                <w:kern w:val="0"/>
                <w:szCs w:val="21"/>
              </w:rPr>
              <w:t>际产出数等于计划产出数，实际完成率100%。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099"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完成及时率（6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项目实际提前完成时间与计划完成时间的比率，用以反映和考核项目产出时效目标的实现程度。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完成及时率=[（计划完成时间-实际完成时间）/计划完成时间]×100%。（1--4季度各得1.5分）实际完成时间：项目实施单位完成该项目实际所耗用的时间。计划完成时间：按照项目实施计划或相关规定完成该项目所需的时间。</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6分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完成及时。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645"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质量达标率（5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项目完成的质量达标产出数与实际产出数的比率，用以反映和考核项目产出质量目标的实现程度。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质量达标率=（质量达标产出数/实际产出数）×100%。（得分=达标率*5分）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实际完成工作数中全部达到部门绩效目标要求的工作任务数量。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422" w:hRule="atLeast"/>
          <w:jc w:val="center"/>
        </w:trPr>
        <w:tc>
          <w:tcPr>
            <w:tcW w:w="868" w:type="dxa"/>
            <w:vMerge w:val="continue"/>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成本节约率（5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完成项目计划工作目标的实际节约成本与计划成本的比率，用以反映和考核项目的成本节约程度。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成本节约率=[（计划成本-实际成本）/ 计划成本]×100%。（节约的计5分，增加的按比例扣分）实际成本：项目实施单位如期、保质、保量完成既定工作目标实际所耗费的支出。计划成本：项目实施单位为完成工作目标计划安排的支出，一般以项目预算为参考。</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9" w:hRule="atLeast"/>
          <w:jc w:val="center"/>
        </w:trPr>
        <w:tc>
          <w:tcPr>
            <w:tcW w:w="868" w:type="dxa"/>
            <w:vMerge w:val="restart"/>
            <w:tcMar>
              <w:left w:w="45" w:type="dxa"/>
              <w:right w:w="45" w:type="dxa"/>
            </w:tcMar>
            <w:textDirection w:val="tbRlV"/>
            <w:vAlign w:val="center"/>
          </w:tcPr>
          <w:p>
            <w:pPr>
              <w:adjustRightInd w:val="0"/>
              <w:snapToGrid w:val="0"/>
              <w:spacing w:line="300" w:lineRule="exact"/>
              <w:ind w:left="113" w:right="113"/>
              <w:jc w:val="center"/>
              <w:rPr>
                <w:rFonts w:ascii="宋体" w:hAnsi="宋体"/>
                <w:snapToGrid w:val="0"/>
                <w:kern w:val="0"/>
                <w:szCs w:val="21"/>
              </w:rPr>
            </w:pPr>
            <w:r>
              <w:rPr>
                <w:rFonts w:hint="eastAsia" w:ascii="宋体" w:hAnsi="宋体" w:cs="宋体"/>
                <w:snapToGrid w:val="0"/>
                <w:kern w:val="0"/>
                <w:szCs w:val="21"/>
              </w:rPr>
              <w:t>效果（ 分）</w:t>
            </w:r>
          </w:p>
        </w:tc>
        <w:tc>
          <w:tcPr>
            <w:tcW w:w="863" w:type="dxa"/>
            <w:vMerge w:val="restart"/>
            <w:tcMar>
              <w:left w:w="45" w:type="dxa"/>
              <w:right w:w="45" w:type="dxa"/>
            </w:tcMar>
            <w:vAlign w:val="center"/>
          </w:tcPr>
          <w:p>
            <w:pPr>
              <w:adjustRightInd w:val="0"/>
              <w:snapToGrid w:val="0"/>
              <w:spacing w:line="30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效益</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（30分）</w:t>
            </w: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经济效</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益（5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项目实施对经济发展所带来的直接或间接影响情况。</w:t>
            </w:r>
          </w:p>
        </w:tc>
        <w:tc>
          <w:tcPr>
            <w:tcW w:w="3615" w:type="dxa"/>
            <w:vMerge w:val="restart"/>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0分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本项目不存在经济效益。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8" w:hRule="atLeast"/>
          <w:jc w:val="center"/>
        </w:trPr>
        <w:tc>
          <w:tcPr>
            <w:tcW w:w="868"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社会效益（5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项目实施对社会发展所带来的直接或间接影响情况。</w:t>
            </w:r>
          </w:p>
        </w:tc>
        <w:tc>
          <w:tcPr>
            <w:tcW w:w="3615" w:type="dxa"/>
            <w:vMerge w:val="continue"/>
            <w:tcMar>
              <w:left w:w="45" w:type="dxa"/>
              <w:right w:w="45" w:type="dxa"/>
            </w:tcMar>
            <w:vAlign w:val="center"/>
          </w:tcPr>
          <w:p>
            <w:pPr>
              <w:adjustRightInd w:val="0"/>
              <w:snapToGrid w:val="0"/>
              <w:spacing w:line="300" w:lineRule="exact"/>
              <w:rPr>
                <w:rFonts w:ascii="宋体" w:hAnsi="宋体"/>
                <w:snapToGrid w:val="0"/>
                <w:kern w:val="0"/>
                <w:szCs w:val="21"/>
              </w:rPr>
            </w:pP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对社会发展有积极作用。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6" w:hRule="atLeast"/>
          <w:jc w:val="center"/>
        </w:trPr>
        <w:tc>
          <w:tcPr>
            <w:tcW w:w="868"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生态效益（5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项目实施对生态环境所带来的直接或间接影响情况。</w:t>
            </w:r>
          </w:p>
        </w:tc>
        <w:tc>
          <w:tcPr>
            <w:tcW w:w="3615" w:type="dxa"/>
            <w:vMerge w:val="continue"/>
            <w:tcMar>
              <w:left w:w="45" w:type="dxa"/>
              <w:right w:w="45" w:type="dxa"/>
            </w:tcMar>
            <w:vAlign w:val="center"/>
          </w:tcPr>
          <w:p>
            <w:pPr>
              <w:adjustRightInd w:val="0"/>
              <w:snapToGrid w:val="0"/>
              <w:spacing w:line="300" w:lineRule="exact"/>
              <w:rPr>
                <w:rFonts w:ascii="宋体" w:hAnsi="宋体"/>
                <w:snapToGrid w:val="0"/>
                <w:kern w:val="0"/>
                <w:szCs w:val="21"/>
              </w:rPr>
            </w:pP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绿色发展，环境污染低。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8" w:hRule="atLeast"/>
          <w:jc w:val="center"/>
        </w:trPr>
        <w:tc>
          <w:tcPr>
            <w:tcW w:w="868"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可持续影响</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项目后续运行及成效发挥的可持续影响情况。</w:t>
            </w:r>
          </w:p>
        </w:tc>
        <w:tc>
          <w:tcPr>
            <w:tcW w:w="3615" w:type="dxa"/>
            <w:tcMar>
              <w:left w:w="45" w:type="dxa"/>
              <w:right w:w="45" w:type="dxa"/>
            </w:tcMar>
            <w:vAlign w:val="center"/>
          </w:tcPr>
          <w:p>
            <w:pPr>
              <w:adjustRightInd w:val="0"/>
              <w:snapToGrid w:val="0"/>
              <w:spacing w:line="300" w:lineRule="exact"/>
              <w:rPr>
                <w:rFonts w:ascii="宋体" w:hAnsi="宋体"/>
                <w:snapToGrid w:val="0"/>
                <w:kern w:val="0"/>
                <w:szCs w:val="21"/>
              </w:rPr>
            </w:pP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1885" w:hRule="atLeast"/>
          <w:jc w:val="center"/>
        </w:trPr>
        <w:tc>
          <w:tcPr>
            <w:tcW w:w="868"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社会公</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众或服务对象满意度</w:t>
            </w:r>
          </w:p>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（10 分）</w:t>
            </w:r>
          </w:p>
        </w:tc>
        <w:tc>
          <w:tcPr>
            <w:tcW w:w="1761"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社会公众或服务对象对项目实施效果的满意程度。</w:t>
            </w:r>
          </w:p>
        </w:tc>
        <w:tc>
          <w:tcPr>
            <w:tcW w:w="3615" w:type="dxa"/>
            <w:tcMar>
              <w:left w:w="45" w:type="dxa"/>
              <w:right w:w="45" w:type="dxa"/>
            </w:tcMar>
            <w:vAlign w:val="center"/>
          </w:tcPr>
          <w:p>
            <w:pPr>
              <w:adjustRightInd w:val="0"/>
              <w:snapToGrid w:val="0"/>
              <w:spacing w:line="300" w:lineRule="exact"/>
              <w:rPr>
                <w:rFonts w:ascii="宋体" w:hAnsi="宋体"/>
                <w:snapToGrid w:val="0"/>
                <w:kern w:val="0"/>
                <w:szCs w:val="21"/>
              </w:rPr>
            </w:pPr>
            <w:r>
              <w:rPr>
                <w:rFonts w:hint="eastAsia" w:ascii="宋体" w:hAnsi="宋体" w:cs="宋体"/>
                <w:snapToGrid w:val="0"/>
                <w:kern w:val="0"/>
                <w:szCs w:val="21"/>
              </w:rPr>
              <w:t>社会公众或服务对象是指因该项目实施而受到影响的部门（单位）、群体或个人。一般采取社会调查的方式。（按收到的服务对象的满意率计算得分）</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10分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社会满意度高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438" w:hRule="atLeast"/>
          <w:jc w:val="center"/>
        </w:trPr>
        <w:tc>
          <w:tcPr>
            <w:tcW w:w="868" w:type="dxa"/>
            <w:tcMar>
              <w:left w:w="45" w:type="dxa"/>
              <w:right w:w="45" w:type="dxa"/>
            </w:tcMar>
            <w:vAlign w:val="center"/>
          </w:tcPr>
          <w:p>
            <w:pPr>
              <w:adjustRightInd w:val="0"/>
              <w:snapToGrid w:val="0"/>
              <w:spacing w:line="300" w:lineRule="exact"/>
              <w:jc w:val="center"/>
              <w:rPr>
                <w:rFonts w:ascii="宋体" w:hAnsi="宋体"/>
                <w:snapToGrid w:val="0"/>
                <w:kern w:val="0"/>
                <w:szCs w:val="21"/>
              </w:rPr>
            </w:pPr>
          </w:p>
        </w:tc>
        <w:tc>
          <w:tcPr>
            <w:tcW w:w="7078" w:type="dxa"/>
            <w:gridSpan w:val="4"/>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cs="宋体"/>
                <w:snapToGrid w:val="0"/>
                <w:kern w:val="0"/>
                <w:szCs w:val="21"/>
              </w:rPr>
              <w:t>合计</w:t>
            </w:r>
          </w:p>
        </w:tc>
        <w:tc>
          <w:tcPr>
            <w:tcW w:w="697" w:type="dxa"/>
            <w:tcMar>
              <w:left w:w="45" w:type="dxa"/>
              <w:right w:w="45" w:type="dxa"/>
            </w:tcMar>
            <w:vAlign w:val="center"/>
          </w:tcPr>
          <w:p>
            <w:pPr>
              <w:adjustRightInd w:val="0"/>
              <w:snapToGrid w:val="0"/>
              <w:spacing w:line="300" w:lineRule="exact"/>
              <w:jc w:val="center"/>
              <w:rPr>
                <w:rFonts w:ascii="宋体" w:hAnsi="宋体"/>
                <w:snapToGrid w:val="0"/>
                <w:kern w:val="0"/>
                <w:szCs w:val="21"/>
              </w:rPr>
            </w:pPr>
            <w:r>
              <w:rPr>
                <w:rFonts w:hint="eastAsia" w:ascii="宋体" w:hAnsi="宋体"/>
                <w:snapToGrid w:val="0"/>
                <w:kern w:val="0"/>
                <w:szCs w:val="21"/>
              </w:rPr>
              <w:t>95分</w:t>
            </w:r>
          </w:p>
        </w:tc>
        <w:tc>
          <w:tcPr>
            <w:tcW w:w="1303" w:type="dxa"/>
            <w:tcMar>
              <w:left w:w="45" w:type="dxa"/>
              <w:right w:w="45" w:type="dxa"/>
            </w:tcMar>
            <w:vAlign w:val="center"/>
          </w:tcPr>
          <w:p>
            <w:pPr>
              <w:adjustRightInd w:val="0"/>
              <w:snapToGrid w:val="0"/>
              <w:spacing w:line="30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附件3-2</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7" w:type="dxa"/>
          <w:bottom w:w="0" w:type="dxa"/>
          <w:right w:w="112" w:type="dxa"/>
        </w:tblCellMar>
      </w:tblPr>
      <w:tblGrid>
        <w:gridCol w:w="1219"/>
        <w:gridCol w:w="769"/>
        <w:gridCol w:w="512"/>
        <w:gridCol w:w="195"/>
        <w:gridCol w:w="885"/>
        <w:gridCol w:w="808"/>
        <w:gridCol w:w="117"/>
        <w:gridCol w:w="470"/>
        <w:gridCol w:w="1315"/>
        <w:gridCol w:w="1553"/>
        <w:gridCol w:w="1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77" w:hRule="atLeast"/>
          <w:jc w:val="center"/>
        </w:trPr>
        <w:tc>
          <w:tcPr>
            <w:tcW w:w="1219" w:type="dxa"/>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名称</w:t>
            </w:r>
          </w:p>
        </w:tc>
        <w:tc>
          <w:tcPr>
            <w:tcW w:w="8115" w:type="dxa"/>
            <w:gridSpan w:val="11"/>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人大相关专项工作经费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77" w:hRule="atLeast"/>
          <w:jc w:val="center"/>
        </w:trPr>
        <w:tc>
          <w:tcPr>
            <w:tcW w:w="1219" w:type="dxa"/>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类型</w:t>
            </w:r>
          </w:p>
        </w:tc>
        <w:tc>
          <w:tcPr>
            <w:tcW w:w="1476"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产业发展</w:t>
            </w:r>
          </w:p>
        </w:tc>
        <w:tc>
          <w:tcPr>
            <w:tcW w:w="169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民生保障</w:t>
            </w:r>
          </w:p>
        </w:tc>
        <w:tc>
          <w:tcPr>
            <w:tcW w:w="190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基础设施</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476"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69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90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76" w:hRule="atLeast"/>
          <w:jc w:val="center"/>
        </w:trPr>
        <w:tc>
          <w:tcPr>
            <w:tcW w:w="1219"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部门（单位）名称</w:t>
            </w:r>
          </w:p>
        </w:tc>
        <w:tc>
          <w:tcPr>
            <w:tcW w:w="5071" w:type="dxa"/>
            <w:gridSpan w:val="8"/>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资阳市雁江区人民代表大会</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常务委员会办公室</w:t>
            </w:r>
          </w:p>
        </w:tc>
        <w:tc>
          <w:tcPr>
            <w:tcW w:w="156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预算单位编码</w:t>
            </w:r>
          </w:p>
        </w:tc>
        <w:tc>
          <w:tcPr>
            <w:tcW w:w="1481"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预算执行情况</w:t>
            </w: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w:t>
            </w:r>
          </w:p>
        </w:tc>
        <w:tc>
          <w:tcPr>
            <w:tcW w:w="1080"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315"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当年结转结余额（万元）</w:t>
            </w:r>
          </w:p>
        </w:tc>
        <w:tc>
          <w:tcPr>
            <w:tcW w:w="156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结转结余率%</w:t>
            </w:r>
          </w:p>
        </w:tc>
        <w:tc>
          <w:tcPr>
            <w:tcW w:w="1481" w:type="dxa"/>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结转结余</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w:t>
            </w:r>
            <w:r>
              <w:rPr>
                <w:rFonts w:hint="eastAsia" w:ascii="宋体" w:hAnsi="宋体" w:cs="宋体"/>
                <w:snapToGrid w:val="0"/>
                <w:kern w:val="0"/>
                <w:szCs w:val="21"/>
              </w:rPr>
              <w:tab/>
            </w:r>
            <w:r>
              <w:rPr>
                <w:rFonts w:hint="eastAsia" w:ascii="宋体" w:hAnsi="宋体" w:cs="宋体"/>
                <w:snapToGrid w:val="0"/>
                <w:kern w:val="0"/>
                <w:szCs w:val="21"/>
              </w:rPr>
              <w:t>计</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财政拨款</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其他资金</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4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财政拨款结构</w:t>
            </w: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合计</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一般公共预算安排</w:t>
            </w:r>
          </w:p>
        </w:tc>
        <w:tc>
          <w:tcPr>
            <w:tcW w:w="1315"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政府性基金预算安排</w:t>
            </w:r>
          </w:p>
        </w:tc>
        <w:tc>
          <w:tcPr>
            <w:tcW w:w="156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国有资本经营预算安排</w:t>
            </w:r>
          </w:p>
        </w:tc>
        <w:tc>
          <w:tcPr>
            <w:tcW w:w="1481"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115</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当年结转结余额（万元）</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结转结余</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率%</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结转结余变</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动率%</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855"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年度总体目标</w:t>
            </w:r>
          </w:p>
        </w:tc>
        <w:tc>
          <w:tcPr>
            <w:tcW w:w="2361"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w:t>
            </w:r>
          </w:p>
        </w:tc>
        <w:tc>
          <w:tcPr>
            <w:tcW w:w="2710"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预算总体目标执行结果</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目标1：保障人大各项</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工作开展</w:t>
            </w:r>
          </w:p>
        </w:tc>
        <w:tc>
          <w:tcPr>
            <w:tcW w:w="2710"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好</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71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年度绩效指标</w:t>
            </w:r>
          </w:p>
        </w:tc>
        <w:tc>
          <w:tcPr>
            <w:tcW w:w="769"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一级指标</w:t>
            </w: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二级指标</w:t>
            </w:r>
          </w:p>
        </w:tc>
        <w:tc>
          <w:tcPr>
            <w:tcW w:w="925"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785"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预算指标值</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（包含数字及文字描述）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行结果（包含数字及文字描述）</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项目完成</w:t>
            </w: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委室数量</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9</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培训次数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指标3：</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常委会会议次数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质量指标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培训合格率</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报刊订阅准确率</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时效指标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资金拨付及时率</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100%</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成本指标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不超过预算数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好</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78"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p>
        </w:tc>
        <w:tc>
          <w:tcPr>
            <w:tcW w:w="769" w:type="dxa"/>
            <w:vMerge w:val="restart"/>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925" w:type="dxa"/>
            <w:gridSpan w:val="2"/>
            <w:vAlign w:val="center"/>
          </w:tcPr>
          <w:p>
            <w:pPr>
              <w:adjustRightInd w:val="0"/>
              <w:snapToGrid w:val="0"/>
              <w:spacing w:line="280" w:lineRule="exact"/>
              <w:jc w:val="center"/>
              <w:rPr>
                <w:rFonts w:ascii="宋体" w:hAnsi="宋体"/>
                <w:snapToGrid w:val="0"/>
                <w:kern w:val="0"/>
                <w:szCs w:val="21"/>
              </w:rPr>
            </w:pP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年度绩效指标</w:t>
            </w:r>
          </w:p>
        </w:tc>
        <w:tc>
          <w:tcPr>
            <w:tcW w:w="76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项目效益</w:t>
            </w: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经济效益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社会效益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生态效益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可持续影响</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925" w:type="dxa"/>
            <w:gridSpan w:val="2"/>
            <w:vAlign w:val="center"/>
          </w:tcPr>
          <w:p>
            <w:pPr>
              <w:adjustRightInd w:val="0"/>
              <w:snapToGrid w:val="0"/>
              <w:spacing w:line="280" w:lineRule="exact"/>
              <w:jc w:val="center"/>
              <w:rPr>
                <w:rFonts w:ascii="宋体" w:hAnsi="宋体"/>
                <w:snapToGrid w:val="0"/>
                <w:kern w:val="0"/>
                <w:szCs w:val="21"/>
              </w:rPr>
            </w:pP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满意度指标</w:t>
            </w: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满意度指标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工作人员满意度</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≥99%</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925" w:type="dxa"/>
            <w:gridSpan w:val="2"/>
            <w:vAlign w:val="center"/>
          </w:tcPr>
          <w:p>
            <w:pPr>
              <w:adjustRightInd w:val="0"/>
              <w:snapToGrid w:val="0"/>
              <w:spacing w:line="280" w:lineRule="exact"/>
              <w:jc w:val="center"/>
              <w:rPr>
                <w:rFonts w:ascii="宋体" w:hAnsi="宋体"/>
                <w:snapToGrid w:val="0"/>
                <w:kern w:val="0"/>
                <w:szCs w:val="21"/>
              </w:rPr>
            </w:pP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pStyle w:val="3"/>
        <w:keepNext w:val="0"/>
        <w:keepLines w:val="0"/>
        <w:adjustRightInd w:val="0"/>
        <w:snapToGrid w:val="0"/>
        <w:spacing w:after="0" w:line="590" w:lineRule="exact"/>
        <w:rPr>
          <w:rFonts w:ascii="宋体" w:hAnsi="宋体" w:eastAsia="方正黑体_GBK" w:cs="宋体"/>
          <w:snapToGrid w:val="0"/>
          <w:sz w:val="33"/>
          <w:szCs w:val="33"/>
        </w:rPr>
      </w:pPr>
    </w:p>
    <w:p>
      <w:pPr>
        <w:pStyle w:val="3"/>
        <w:keepNext w:val="0"/>
        <w:keepLines w:val="0"/>
        <w:adjustRightInd w:val="0"/>
        <w:snapToGrid w:val="0"/>
        <w:spacing w:after="0" w:line="590" w:lineRule="exact"/>
        <w:rPr>
          <w:rFonts w:ascii="宋体" w:hAnsi="宋体" w:eastAsia="方正黑体_GBK" w:cs="宋体"/>
          <w:snapToGrid w:val="0"/>
          <w:sz w:val="33"/>
          <w:szCs w:val="33"/>
        </w:rPr>
      </w:pPr>
    </w:p>
    <w:p>
      <w:pPr>
        <w:pStyle w:val="3"/>
        <w:keepNext w:val="0"/>
        <w:keepLines w:val="0"/>
        <w:adjustRightInd w:val="0"/>
        <w:snapToGrid w:val="0"/>
        <w:spacing w:after="0" w:line="590" w:lineRule="exact"/>
        <w:rPr>
          <w:rFonts w:ascii="宋体" w:hAnsi="宋体" w:eastAsia="方正黑体_GBK" w:cs="宋体"/>
          <w:snapToGrid w:val="0"/>
          <w:sz w:val="33"/>
          <w:szCs w:val="33"/>
        </w:rPr>
      </w:pPr>
    </w:p>
    <w:p>
      <w:pPr>
        <w:pStyle w:val="3"/>
        <w:keepNext w:val="0"/>
        <w:keepLines w:val="0"/>
        <w:adjustRightInd w:val="0"/>
        <w:snapToGrid w:val="0"/>
        <w:spacing w:after="0" w:line="590" w:lineRule="exact"/>
        <w:rPr>
          <w:rFonts w:ascii="宋体" w:hAnsi="宋体" w:eastAsia="方正黑体_GBK"/>
          <w:snapToGrid w:val="0"/>
          <w:sz w:val="33"/>
          <w:szCs w:val="33"/>
        </w:rPr>
      </w:pPr>
      <w:bookmarkStart w:id="123" w:name="_Toc144282055"/>
      <w:r>
        <w:rPr>
          <w:rFonts w:hint="eastAsia" w:ascii="宋体" w:hAnsi="宋体" w:eastAsia="方正黑体_GBK" w:cs="宋体"/>
          <w:snapToGrid w:val="0"/>
          <w:sz w:val="33"/>
          <w:szCs w:val="33"/>
        </w:rPr>
        <w:t>附件</w:t>
      </w:r>
      <w:r>
        <w:rPr>
          <w:rFonts w:hint="eastAsia" w:ascii="宋体" w:hAnsi="宋体" w:eastAsia="方正黑体_GBK"/>
          <w:snapToGrid w:val="0"/>
          <w:sz w:val="33"/>
          <w:szCs w:val="33"/>
        </w:rPr>
        <w:t>4</w:t>
      </w:r>
      <w:bookmarkEnd w:id="123"/>
    </w:p>
    <w:p>
      <w:pPr>
        <w:pStyle w:val="3"/>
        <w:keepNext w:val="0"/>
        <w:keepLines w:val="0"/>
        <w:adjustRightInd w:val="0"/>
        <w:snapToGrid w:val="0"/>
        <w:spacing w:after="0" w:line="300" w:lineRule="exact"/>
        <w:rPr>
          <w:rFonts w:ascii="宋体" w:hAnsi="宋体" w:eastAsia="方正仿宋_GBK" w:cs="宋体"/>
          <w:snapToGrid w:val="0"/>
          <w:sz w:val="33"/>
          <w:szCs w:val="33"/>
        </w:rPr>
      </w:pPr>
    </w:p>
    <w:p>
      <w:pPr>
        <w:pStyle w:val="3"/>
        <w:keepNext w:val="0"/>
        <w:keepLines w:val="0"/>
        <w:adjustRightInd w:val="0"/>
        <w:snapToGrid w:val="0"/>
        <w:spacing w:after="0" w:line="590" w:lineRule="exact"/>
        <w:jc w:val="center"/>
        <w:rPr>
          <w:rFonts w:ascii="宋体" w:hAnsi="宋体" w:eastAsia="方正小标宋_GBK"/>
          <w:snapToGrid w:val="0"/>
        </w:rPr>
      </w:pPr>
      <w:bookmarkStart w:id="124" w:name="_Toc144282056"/>
      <w:r>
        <w:rPr>
          <w:rFonts w:hint="eastAsia" w:ascii="宋体" w:hAnsi="宋体" w:eastAsia="方正小标宋_GBK" w:cs="宋体"/>
          <w:snapToGrid w:val="0"/>
        </w:rPr>
        <w:t>资阳市雁江区人大常委会办公室</w:t>
      </w:r>
      <w:bookmarkEnd w:id="124"/>
    </w:p>
    <w:p>
      <w:pPr>
        <w:pStyle w:val="3"/>
        <w:keepNext w:val="0"/>
        <w:keepLines w:val="0"/>
        <w:adjustRightInd w:val="0"/>
        <w:snapToGrid w:val="0"/>
        <w:spacing w:after="0" w:line="590" w:lineRule="exact"/>
        <w:jc w:val="center"/>
        <w:rPr>
          <w:rFonts w:ascii="宋体" w:hAnsi="宋体" w:eastAsia="方正小标宋_GBK"/>
          <w:snapToGrid w:val="0"/>
        </w:rPr>
      </w:pPr>
      <w:bookmarkStart w:id="125" w:name="_Toc144282057"/>
      <w:r>
        <w:rPr>
          <w:rFonts w:hint="eastAsia" w:ascii="宋体" w:hAnsi="宋体" w:eastAsia="方正小标宋_GBK" w:cs="宋体"/>
          <w:snapToGrid w:val="0"/>
        </w:rPr>
        <w:t>2022年项目支出绩效自评报告</w:t>
      </w:r>
      <w:bookmarkEnd w:id="125"/>
    </w:p>
    <w:p>
      <w:pPr>
        <w:adjustRightInd w:val="0"/>
        <w:snapToGrid w:val="0"/>
        <w:spacing w:line="590" w:lineRule="exact"/>
        <w:jc w:val="center"/>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（人大代表之家、代表联络站工作经费）</w:t>
      </w:r>
    </w:p>
    <w:p>
      <w:pPr>
        <w:adjustRightInd w:val="0"/>
        <w:snapToGrid w:val="0"/>
        <w:spacing w:line="300" w:lineRule="exact"/>
        <w:rPr>
          <w:rFonts w:ascii="宋体" w:hAnsi="宋体" w:eastAsia="方正仿宋_GBK" w:cs="宋体"/>
          <w:snapToGrid w:val="0"/>
          <w:kern w:val="0"/>
          <w:sz w:val="33"/>
          <w:szCs w:val="33"/>
        </w:rPr>
      </w:pP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一、项目基本情况</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（一）概况</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cs="宋体"/>
          <w:b/>
          <w:snapToGrid w:val="0"/>
          <w:kern w:val="0"/>
          <w:sz w:val="33"/>
          <w:szCs w:val="33"/>
        </w:rPr>
        <w:t>1．立项背景及目的</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cs="宋体"/>
          <w:snapToGrid w:val="0"/>
          <w:kern w:val="0"/>
          <w:sz w:val="33"/>
          <w:szCs w:val="33"/>
        </w:rPr>
        <w:t>由于很多乡镇代表之家、代表联络站设备陈旧，缺少工作经费，为了进一步拉近代表和群众的距离，持续高标准推进代表联络站建设，根据资雁财发〔2022〕775号文件批复，同意追加63.8万元，用于代表之家、示范代表联络站、选区代表联络站建设。</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cs="宋体"/>
          <w:b/>
          <w:snapToGrid w:val="0"/>
          <w:kern w:val="0"/>
          <w:sz w:val="33"/>
          <w:szCs w:val="33"/>
        </w:rPr>
        <w:t>2．预算资金来源及使用情况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宋体"/>
          <w:snapToGrid w:val="0"/>
          <w:kern w:val="0"/>
          <w:sz w:val="33"/>
          <w:szCs w:val="33"/>
        </w:rPr>
        <w:t>人大相关专项工作经费</w:t>
      </w:r>
      <w:r>
        <w:rPr>
          <w:rFonts w:hint="eastAsia" w:ascii="宋体" w:hAnsi="宋体" w:eastAsia="方正仿宋_GBK"/>
          <w:snapToGrid w:val="0"/>
          <w:kern w:val="0"/>
          <w:sz w:val="33"/>
          <w:szCs w:val="33"/>
        </w:rPr>
        <w:t>预算资金全部来源于同级财政拨款，本项目年初预算为12.95万元，追加63.8万元，年度总预算为76.75万元。截至2022年12月31日，本项目实际执行63.3万元，执行率为82.5%。</w:t>
      </w:r>
    </w:p>
    <w:p>
      <w:pPr>
        <w:adjustRightInd w:val="0"/>
        <w:snapToGrid w:val="0"/>
        <w:spacing w:line="590" w:lineRule="exact"/>
        <w:ind w:firstLine="663" w:firstLineChars="200"/>
        <w:rPr>
          <w:rFonts w:ascii="宋体" w:hAnsi="宋体" w:eastAsia="方正仿宋_GBK"/>
          <w:b/>
          <w:snapToGrid w:val="0"/>
          <w:kern w:val="0"/>
          <w:sz w:val="33"/>
          <w:szCs w:val="33"/>
        </w:rPr>
      </w:pPr>
      <w:r>
        <w:rPr>
          <w:rFonts w:hint="eastAsia" w:ascii="宋体" w:hAnsi="宋体" w:eastAsia="方正仿宋_GBK" w:cs="宋体"/>
          <w:b/>
          <w:snapToGrid w:val="0"/>
          <w:kern w:val="0"/>
          <w:sz w:val="33"/>
          <w:szCs w:val="33"/>
        </w:rPr>
        <w:t>3．项目完成情况</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严格按流程做好追加预算工作，在资金下达时，及时拨付给乡镇和街道办，保障了建设工作顺利进行。</w:t>
      </w:r>
    </w:p>
    <w:p>
      <w:pPr>
        <w:adjustRightInd w:val="0"/>
        <w:snapToGrid w:val="0"/>
        <w:spacing w:line="590" w:lineRule="exact"/>
        <w:ind w:firstLine="663" w:firstLineChars="200"/>
        <w:rPr>
          <w:rFonts w:ascii="宋体" w:hAnsi="宋体" w:eastAsia="方正仿宋_GBK" w:cs="宋体"/>
          <w:b/>
          <w:snapToGrid w:val="0"/>
          <w:kern w:val="0"/>
          <w:sz w:val="33"/>
          <w:szCs w:val="33"/>
        </w:rPr>
      </w:pPr>
      <w:r>
        <w:rPr>
          <w:rFonts w:hint="eastAsia" w:ascii="宋体" w:hAnsi="宋体" w:eastAsia="方正仿宋_GBK" w:cs="宋体"/>
          <w:b/>
          <w:snapToGrid w:val="0"/>
          <w:kern w:val="0"/>
          <w:sz w:val="33"/>
          <w:szCs w:val="33"/>
        </w:rPr>
        <w:t>4．组织及管理</w:t>
      </w:r>
    </w:p>
    <w:p>
      <w:pPr>
        <w:pStyle w:val="7"/>
        <w:widowControl w:val="0"/>
        <w:adjustRightInd w:val="0"/>
        <w:snapToGrid w:val="0"/>
        <w:spacing w:line="590" w:lineRule="exact"/>
        <w:ind w:firstLine="660"/>
        <w:jc w:val="both"/>
        <w:rPr>
          <w:rFonts w:ascii="宋体" w:hAnsi="宋体" w:eastAsia="方正仿宋_GBK"/>
          <w:snapToGrid w:val="0"/>
          <w:color w:val="auto"/>
          <w:kern w:val="0"/>
          <w:sz w:val="33"/>
          <w:szCs w:val="33"/>
        </w:rPr>
      </w:pPr>
      <w:r>
        <w:rPr>
          <w:rFonts w:hint="eastAsia" w:ascii="宋体" w:hAnsi="宋体" w:eastAsia="方正仿宋_GBK"/>
          <w:snapToGrid w:val="0"/>
          <w:color w:val="auto"/>
          <w:kern w:val="0"/>
          <w:sz w:val="33"/>
          <w:szCs w:val="33"/>
        </w:rPr>
        <w:t>我单位严格执行财务管理制度，项目经费通过预算一体化平台转账，按照项目资金管理办法对资金进行计划申请、划拨、使用。</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（二）绩效目标</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宋体"/>
          <w:snapToGrid w:val="0"/>
          <w:kern w:val="0"/>
          <w:sz w:val="33"/>
          <w:szCs w:val="33"/>
        </w:rPr>
        <w:t>总体目标是全年预计投入不超过76.75万元，向乡镇和街道办下沉资金，持续高标准推进代表联络站建设，进一步拉近代表与群众的距离。</w:t>
      </w:r>
    </w:p>
    <w:p>
      <w:pPr>
        <w:adjustRightInd w:val="0"/>
        <w:snapToGrid w:val="0"/>
        <w:spacing w:line="590" w:lineRule="exact"/>
        <w:ind w:firstLine="660" w:firstLineChars="200"/>
        <w:rPr>
          <w:rFonts w:ascii="宋体" w:hAnsi="宋体" w:eastAsia="方正黑体_GBK" w:cs="宋体"/>
          <w:snapToGrid w:val="0"/>
          <w:kern w:val="0"/>
          <w:sz w:val="33"/>
          <w:szCs w:val="33"/>
        </w:rPr>
      </w:pPr>
      <w:r>
        <w:rPr>
          <w:rFonts w:hint="eastAsia" w:ascii="宋体" w:hAnsi="宋体" w:eastAsia="方正黑体_GBK" w:cs="宋体"/>
          <w:snapToGrid w:val="0"/>
          <w:kern w:val="0"/>
          <w:sz w:val="33"/>
          <w:szCs w:val="33"/>
        </w:rPr>
        <w:t>二、绩效自评工作情况</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（一）自评工作组织领导</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成立自评工作领导小组，由分管领导担任自评工作小组组长、由机关党总支书记、办公室主任担任自评工作小组副组长，由办公室分管财务副主任、会计、出纳担任成员，本着客观、真实、准确的原则开展项目自评。</w:t>
      </w:r>
    </w:p>
    <w:p>
      <w:pPr>
        <w:adjustRightInd w:val="0"/>
        <w:snapToGrid w:val="0"/>
        <w:spacing w:line="590" w:lineRule="exact"/>
        <w:ind w:firstLine="663" w:firstLineChars="200"/>
        <w:rPr>
          <w:rFonts w:ascii="宋体" w:hAnsi="宋体" w:eastAsia="方正楷体_GBK"/>
          <w:b/>
          <w:snapToGrid w:val="0"/>
          <w:kern w:val="0"/>
          <w:sz w:val="33"/>
          <w:szCs w:val="33"/>
        </w:rPr>
      </w:pPr>
      <w:r>
        <w:rPr>
          <w:rFonts w:hint="eastAsia" w:ascii="宋体" w:hAnsi="宋体" w:eastAsia="方正楷体_GBK" w:cs="宋体"/>
          <w:b/>
          <w:snapToGrid w:val="0"/>
          <w:kern w:val="0"/>
          <w:sz w:val="33"/>
          <w:szCs w:val="33"/>
        </w:rPr>
        <w:t>（二）自评方式、方法及重点</w:t>
      </w:r>
    </w:p>
    <w:p>
      <w:pPr>
        <w:adjustRightInd w:val="0"/>
        <w:snapToGrid w:val="0"/>
        <w:spacing w:line="590" w:lineRule="exact"/>
        <w:ind w:firstLine="663" w:firstLineChars="200"/>
        <w:rPr>
          <w:rFonts w:ascii="宋体" w:hAnsi="宋体" w:eastAsia="方正仿宋_GBK"/>
          <w:snapToGrid w:val="0"/>
          <w:kern w:val="0"/>
          <w:sz w:val="33"/>
          <w:szCs w:val="33"/>
        </w:rPr>
      </w:pPr>
      <w:r>
        <w:rPr>
          <w:rFonts w:hint="eastAsia" w:ascii="宋体" w:hAnsi="宋体" w:eastAsia="方正仿宋_GBK" w:cs="宋体"/>
          <w:b/>
          <w:snapToGrid w:val="0"/>
          <w:kern w:val="0"/>
          <w:sz w:val="33"/>
          <w:szCs w:val="33"/>
        </w:rPr>
        <w:t>1．绩效评价标准及方法</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办公室收集资料，掌握项目立项决策、项目资金落实、项目实施管理、财务管理全过程，收集项目完成情况与年初绩效目标开展对比，对项目绩效差异通过因素分析，分析内、外部因素，并提出改进措施及建议。</w:t>
      </w:r>
    </w:p>
    <w:p>
      <w:pPr>
        <w:pStyle w:val="7"/>
        <w:widowControl w:val="0"/>
        <w:adjustRightInd w:val="0"/>
        <w:snapToGrid w:val="0"/>
        <w:spacing w:line="590" w:lineRule="exact"/>
        <w:ind w:firstLine="660"/>
        <w:jc w:val="both"/>
        <w:rPr>
          <w:rFonts w:ascii="宋体" w:hAnsi="宋体" w:eastAsia="方正仿宋_GBK" w:cs="宋体"/>
          <w:b/>
          <w:snapToGrid w:val="0"/>
          <w:color w:val="auto"/>
          <w:kern w:val="0"/>
          <w:sz w:val="33"/>
          <w:szCs w:val="33"/>
        </w:rPr>
      </w:pPr>
      <w:r>
        <w:rPr>
          <w:rFonts w:hint="eastAsia" w:ascii="宋体" w:hAnsi="宋体" w:eastAsia="方正仿宋_GBK" w:cs="宋体"/>
          <w:b/>
          <w:snapToGrid w:val="0"/>
          <w:color w:val="auto"/>
          <w:kern w:val="0"/>
          <w:sz w:val="33"/>
          <w:szCs w:val="33"/>
        </w:rPr>
        <w:t>2．绩效评价指标体系及重点</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结合该项目特点、评价重点，按照《资阳市雁江区财政局关于开展2022年度财政支出绩效自评工作的通知》附件7“2022年度雁江区项目支出绩效自评计分表”，该项目绩效评价指标分为“投入”、“过程”、“产出”、“效益”四大类。指标数据来源于政府文件、项目资料、访谈等。</w:t>
      </w:r>
    </w:p>
    <w:p>
      <w:pPr>
        <w:adjustRightInd w:val="0"/>
        <w:snapToGrid w:val="0"/>
        <w:spacing w:line="590" w:lineRule="exact"/>
        <w:ind w:firstLine="660" w:firstLineChars="200"/>
        <w:rPr>
          <w:rFonts w:ascii="宋体" w:hAnsi="宋体" w:eastAsia="方正仿宋_GBK"/>
          <w:snapToGrid w:val="0"/>
          <w:spacing w:val="-6"/>
          <w:kern w:val="0"/>
          <w:sz w:val="33"/>
          <w:szCs w:val="33"/>
        </w:rPr>
      </w:pPr>
      <w:r>
        <w:rPr>
          <w:rFonts w:hint="eastAsia" w:ascii="宋体" w:hAnsi="宋体" w:eastAsia="方正仿宋_GBK"/>
          <w:snapToGrid w:val="0"/>
          <w:kern w:val="0"/>
          <w:sz w:val="33"/>
          <w:szCs w:val="33"/>
        </w:rPr>
        <w:t>“投入”</w:t>
      </w:r>
      <w:r>
        <w:rPr>
          <w:rFonts w:hint="eastAsia" w:ascii="宋体" w:hAnsi="宋体" w:eastAsia="方正仿宋_GBK"/>
          <w:snapToGrid w:val="0"/>
          <w:spacing w:val="-6"/>
          <w:kern w:val="0"/>
          <w:sz w:val="33"/>
          <w:szCs w:val="33"/>
        </w:rPr>
        <w:t>指标关注重点：项目立项是否规范性、绩效目标是否合理性、需求是否紧迫性、绩效指标是否细化、量化可衡量。</w:t>
      </w:r>
    </w:p>
    <w:p>
      <w:pPr>
        <w:pStyle w:val="2"/>
        <w:adjustRightInd w:val="0"/>
        <w:snapToGrid w:val="0"/>
        <w:spacing w:before="93" w:line="590" w:lineRule="exact"/>
        <w:ind w:firstLine="660" w:firstLineChars="200"/>
        <w:rPr>
          <w:rFonts w:ascii="宋体" w:hAnsi="宋体" w:eastAsia="方正仿宋_GBK"/>
          <w:snapToGrid w:val="0"/>
          <w:sz w:val="33"/>
          <w:szCs w:val="33"/>
        </w:rPr>
      </w:pPr>
      <w:r>
        <w:rPr>
          <w:rFonts w:hint="eastAsia" w:ascii="宋体" w:hAnsi="宋体" w:eastAsia="方正仿宋_GBK"/>
          <w:snapToGrid w:val="0"/>
          <w:sz w:val="33"/>
          <w:szCs w:val="33"/>
        </w:rPr>
        <w:t>“过程”指标关注重点：制度执行是否有效性、资金使用是否合规性、财务监控是否有效性。</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“产出”指标关注重点：采购相关设施、设备是否按计划完成；相关质量是否达标；项目实施是否按计划完成；成本控制是否有效。</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“效益”指标关注重点：相关制度健全性，群众满意度。</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三、评价结论</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总体而言，本项目实施符合</w:t>
      </w:r>
      <w:r>
        <w:rPr>
          <w:rFonts w:hint="eastAsia" w:ascii="宋体" w:hAnsi="宋体" w:eastAsia="方正仿宋_GBK"/>
          <w:snapToGrid w:val="0"/>
          <w:kern w:val="0"/>
          <w:sz w:val="33"/>
          <w:szCs w:val="33"/>
          <w:lang w:eastAsia="zh-CN"/>
        </w:rPr>
        <w:t>党委、政府</w:t>
      </w:r>
      <w:r>
        <w:rPr>
          <w:rFonts w:hint="eastAsia" w:ascii="宋体" w:hAnsi="宋体" w:eastAsia="方正仿宋_GBK"/>
          <w:snapToGrid w:val="0"/>
          <w:kern w:val="0"/>
          <w:sz w:val="33"/>
          <w:szCs w:val="33"/>
        </w:rPr>
        <w:t>决策，与部门职能密切相关，立项依据充分，项目实施及管理制度健全、执行有效，自评得分94分，等级为优。</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四、绩效分析</w:t>
      </w:r>
    </w:p>
    <w:p>
      <w:pPr>
        <w:adjustRightInd w:val="0"/>
        <w:snapToGrid w:val="0"/>
        <w:spacing w:line="590" w:lineRule="exact"/>
        <w:ind w:firstLine="660" w:firstLineChars="200"/>
        <w:rPr>
          <w:rFonts w:ascii="宋体" w:hAnsi="宋体" w:eastAsia="方正仿宋_GBK" w:cs="宋体"/>
          <w:snapToGrid w:val="0"/>
          <w:kern w:val="0"/>
          <w:sz w:val="33"/>
          <w:szCs w:val="33"/>
        </w:rPr>
      </w:pPr>
      <w:r>
        <w:rPr>
          <w:rFonts w:hint="eastAsia" w:ascii="宋体" w:hAnsi="宋体" w:eastAsia="方正仿宋_GBK"/>
          <w:snapToGrid w:val="0"/>
          <w:kern w:val="0"/>
          <w:sz w:val="33"/>
          <w:szCs w:val="33"/>
        </w:rPr>
        <w:t>2022年人大代表之家、代表联络站工作经费项目</w:t>
      </w:r>
      <w:r>
        <w:rPr>
          <w:rFonts w:hint="eastAsia" w:ascii="宋体" w:hAnsi="宋体" w:eastAsia="方正仿宋_GBK" w:cs="宋体"/>
          <w:snapToGrid w:val="0"/>
          <w:kern w:val="0"/>
          <w:sz w:val="33"/>
          <w:szCs w:val="33"/>
        </w:rPr>
        <w:t>实施情况总体较好，从投入、过程、产出、效果指标来看，经济效益指标不适用扣5分，资金到位率扣1分。</w:t>
      </w:r>
    </w:p>
    <w:p>
      <w:pPr>
        <w:adjustRightInd w:val="0"/>
        <w:snapToGrid w:val="0"/>
        <w:spacing w:line="590" w:lineRule="exact"/>
        <w:ind w:firstLine="660" w:firstLineChars="200"/>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五、主要经验及做法、存在的问题和建议</w:t>
      </w: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snapToGrid w:val="0"/>
          <w:kern w:val="0"/>
          <w:sz w:val="33"/>
          <w:szCs w:val="33"/>
        </w:rPr>
        <w:t>无</w:t>
      </w:r>
    </w:p>
    <w:p>
      <w:pPr>
        <w:adjustRightInd w:val="0"/>
        <w:snapToGrid w:val="0"/>
        <w:spacing w:line="590" w:lineRule="exact"/>
        <w:ind w:firstLine="660" w:firstLineChars="200"/>
        <w:rPr>
          <w:rFonts w:ascii="宋体" w:hAnsi="宋体" w:eastAsia="方正仿宋_GBK" w:cs="宋体"/>
          <w:snapToGrid w:val="0"/>
          <w:kern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r>
        <w:rPr>
          <w:rFonts w:hint="eastAsia" w:ascii="宋体" w:hAnsi="宋体" w:eastAsia="方正仿宋_GBK" w:cs="宋体"/>
          <w:snapToGrid w:val="0"/>
          <w:kern w:val="0"/>
          <w:sz w:val="33"/>
          <w:szCs w:val="33"/>
        </w:rPr>
        <w:t>附件：4-1．2022年度雁江区项目支出绩效自评计分表</w:t>
      </w:r>
    </w:p>
    <w:p>
      <w:pPr>
        <w:adjustRightInd w:val="0"/>
        <w:snapToGrid w:val="0"/>
        <w:spacing w:line="590" w:lineRule="exact"/>
        <w:ind w:firstLine="660" w:firstLineChars="200"/>
        <w:rPr>
          <w:rFonts w:ascii="宋体" w:hAnsi="宋体" w:eastAsia="方正仿宋_GBK"/>
          <w:snapToGrid w:val="0"/>
          <w:spacing w:val="-10"/>
          <w:kern w:val="0"/>
          <w:sz w:val="33"/>
          <w:szCs w:val="33"/>
        </w:rPr>
      </w:pPr>
      <w:r>
        <w:rPr>
          <w:rFonts w:hint="eastAsia" w:ascii="宋体" w:hAnsi="宋体" w:eastAsia="方正仿宋_GBK" w:cs="宋体"/>
          <w:snapToGrid w:val="0"/>
          <w:kern w:val="0"/>
          <w:sz w:val="33"/>
          <w:szCs w:val="33"/>
        </w:rPr>
        <w:t xml:space="preserve">      4-2．2022</w:t>
      </w:r>
      <w:r>
        <w:rPr>
          <w:rFonts w:hint="eastAsia" w:ascii="宋体" w:hAnsi="宋体" w:eastAsia="方正仿宋_GBK" w:cs="宋体"/>
          <w:snapToGrid w:val="0"/>
          <w:spacing w:val="-10"/>
          <w:kern w:val="0"/>
          <w:sz w:val="33"/>
          <w:szCs w:val="33"/>
        </w:rPr>
        <w:t>年度雁江区项目支出绩效目标完成情况表</w:t>
      </w:r>
    </w:p>
    <w:p>
      <w:pPr>
        <w:adjustRightInd w:val="0"/>
        <w:snapToGrid w:val="0"/>
        <w:spacing w:line="590" w:lineRule="exact"/>
        <w:ind w:firstLine="660" w:firstLineChars="200"/>
        <w:rPr>
          <w:rFonts w:ascii="宋体" w:hAnsi="宋体" w:eastAsia="方正仿宋_GBK"/>
          <w:snapToGrid w:val="0"/>
          <w:kern w:val="0"/>
          <w:sz w:val="33"/>
          <w:szCs w:val="33"/>
        </w:rPr>
      </w:pPr>
    </w:p>
    <w:p>
      <w:pPr>
        <w:adjustRightInd w:val="0"/>
        <w:snapToGrid w:val="0"/>
        <w:spacing w:line="590" w:lineRule="exact"/>
        <w:ind w:firstLine="660" w:firstLineChars="200"/>
        <w:rPr>
          <w:rFonts w:ascii="宋体" w:hAnsi="宋体" w:eastAsia="方正仿宋_GBK" w:cs="宋体"/>
          <w:snapToGrid w:val="0"/>
          <w:kern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p>
    <w:p>
      <w:pPr>
        <w:pStyle w:val="2"/>
        <w:adjustRightInd w:val="0"/>
        <w:snapToGrid w:val="0"/>
        <w:spacing w:before="93" w:line="590" w:lineRule="exact"/>
        <w:ind w:firstLine="660" w:firstLineChars="200"/>
        <w:rPr>
          <w:rFonts w:ascii="宋体" w:hAnsi="宋体" w:eastAsia="方正仿宋_GBK"/>
          <w:snapToGrid w:val="0"/>
          <w:sz w:val="33"/>
          <w:szCs w:val="33"/>
        </w:rPr>
      </w:pPr>
    </w:p>
    <w:p>
      <w:pPr>
        <w:adjustRightInd w:val="0"/>
        <w:snapToGrid w:val="0"/>
        <w:spacing w:line="590" w:lineRule="exact"/>
        <w:ind w:firstLine="660" w:firstLineChars="200"/>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黑体_GBK" w:cs="宋体"/>
          <w:snapToGrid w:val="0"/>
          <w:kern w:val="0"/>
          <w:sz w:val="33"/>
          <w:szCs w:val="33"/>
        </w:rPr>
      </w:pPr>
    </w:p>
    <w:p>
      <w:pPr>
        <w:adjustRightInd w:val="0"/>
        <w:snapToGrid w:val="0"/>
        <w:spacing w:line="590" w:lineRule="exact"/>
        <w:rPr>
          <w:rFonts w:ascii="宋体" w:hAnsi="宋体" w:eastAsia="方正黑体_GBK"/>
          <w:snapToGrid w:val="0"/>
          <w:kern w:val="0"/>
          <w:sz w:val="33"/>
          <w:szCs w:val="33"/>
        </w:rPr>
      </w:pPr>
      <w:bookmarkStart w:id="126" w:name="_GoBack"/>
      <w:r>
        <w:rPr>
          <w:rFonts w:hint="eastAsia" w:ascii="宋体" w:hAnsi="宋体" w:eastAsia="方正黑体_GBK" w:cs="宋体"/>
          <w:snapToGrid w:val="0"/>
          <w:kern w:val="0"/>
          <w:sz w:val="33"/>
          <w:szCs w:val="33"/>
        </w:rPr>
        <w:t>附件4-1</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cs="宋体"/>
          <w:b/>
          <w:snapToGrid w:val="0"/>
          <w:kern w:val="0"/>
          <w:sz w:val="33"/>
          <w:szCs w:val="33"/>
        </w:rPr>
      </w:pPr>
      <w:r>
        <w:rPr>
          <w:rFonts w:hint="eastAsia" w:ascii="宋体" w:hAnsi="宋体" w:eastAsia="方正楷体_GBK" w:cs="宋体"/>
          <w:b/>
          <w:snapToGrid w:val="0"/>
          <w:kern w:val="0"/>
          <w:sz w:val="33"/>
          <w:szCs w:val="33"/>
        </w:rPr>
        <w:t>（人大代表之家、代表联络站工作经费）</w:t>
      </w:r>
    </w:p>
    <w:p>
      <w:pPr>
        <w:adjustRightInd w:val="0"/>
        <w:snapToGrid w:val="0"/>
        <w:spacing w:line="400" w:lineRule="exact"/>
        <w:rPr>
          <w:rFonts w:ascii="宋体" w:hAnsi="宋体" w:eastAsia="方正黑体_GBK" w:cs="宋体"/>
          <w:snapToGrid w:val="0"/>
          <w:kern w:val="0"/>
          <w:sz w:val="24"/>
        </w:rPr>
      </w:pPr>
      <w:r>
        <w:rPr>
          <w:rFonts w:hint="eastAsia" w:ascii="宋体" w:hAnsi="宋体" w:eastAsia="方正黑体_GBK" w:cs="宋体"/>
          <w:snapToGrid w:val="0"/>
          <w:kern w:val="0"/>
          <w:sz w:val="24"/>
        </w:rPr>
        <w:t>预算单位名称：资阳市雁江区人民代表大会常务委员会办公室</w:t>
      </w:r>
    </w:p>
    <w:p>
      <w:pPr>
        <w:adjustRightInd w:val="0"/>
        <w:snapToGrid w:val="0"/>
        <w:spacing w:line="400" w:lineRule="exact"/>
        <w:rPr>
          <w:rFonts w:ascii="宋体" w:hAnsi="宋体" w:eastAsia="方正黑体_GBK"/>
          <w:snapToGrid w:val="0"/>
          <w:kern w:val="0"/>
          <w:sz w:val="24"/>
        </w:rPr>
      </w:pPr>
      <w:r>
        <w:rPr>
          <w:rFonts w:hint="eastAsia" w:ascii="宋体" w:hAnsi="宋体" w:eastAsia="方正黑体_GBK" w:cs="宋体"/>
          <w:snapToGrid w:val="0"/>
          <w:kern w:val="0"/>
          <w:sz w:val="24"/>
        </w:rPr>
        <w:t>预算单位编码：</w:t>
      </w:r>
      <w:r>
        <w:rPr>
          <w:rFonts w:hint="eastAsia" w:ascii="宋体" w:hAnsi="宋体" w:eastAsia="方正黑体_GBK" w:cs="楷体"/>
          <w:snapToGrid w:val="0"/>
          <w:kern w:val="0"/>
          <w:sz w:val="24"/>
        </w:rPr>
        <w:t xml:space="preserve">110001    </w:t>
      </w:r>
      <w:r>
        <w:rPr>
          <w:rFonts w:hint="eastAsia" w:ascii="宋体" w:hAnsi="宋体" w:eastAsia="方正黑体_GBK" w:cs="宋体"/>
          <w:snapToGrid w:val="0"/>
          <w:kern w:val="0"/>
          <w:sz w:val="24"/>
        </w:rPr>
        <w:t>自评等级：优</w:t>
      </w:r>
    </w:p>
    <w:tbl>
      <w:tblPr>
        <w:tblStyle w:val="22"/>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8" w:type="dxa"/>
        </w:tblCellMar>
      </w:tblPr>
      <w:tblGrid>
        <w:gridCol w:w="868"/>
        <w:gridCol w:w="863"/>
        <w:gridCol w:w="839"/>
        <w:gridCol w:w="1761"/>
        <w:gridCol w:w="3615"/>
        <w:gridCol w:w="697"/>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8" w:hRule="atLeast"/>
          <w:tblHeader/>
          <w:jc w:val="center"/>
        </w:trPr>
        <w:tc>
          <w:tcPr>
            <w:tcW w:w="868" w:type="dxa"/>
            <w:tcMar>
              <w:left w:w="45" w:type="dxa"/>
              <w:right w:w="45" w:type="dxa"/>
            </w:tcMar>
            <w:vAlign w:val="center"/>
          </w:tcPr>
          <w:p>
            <w:pPr>
              <w:adjustRightInd w:val="0"/>
              <w:snapToGrid w:val="0"/>
              <w:spacing w:line="280" w:lineRule="exact"/>
              <w:jc w:val="center"/>
              <w:rPr>
                <w:rFonts w:ascii="宋体" w:hAnsi="宋体" w:cs="宋体"/>
                <w:b/>
                <w:snapToGrid w:val="0"/>
                <w:kern w:val="0"/>
                <w:szCs w:val="21"/>
              </w:rPr>
            </w:pPr>
            <w:r>
              <w:rPr>
                <w:rFonts w:hint="eastAsia" w:ascii="宋体" w:hAnsi="宋体" w:cs="宋体"/>
                <w:b/>
                <w:snapToGrid w:val="0"/>
                <w:kern w:val="0"/>
                <w:szCs w:val="21"/>
              </w:rPr>
              <w:t>一级</w:t>
            </w:r>
          </w:p>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指标</w:t>
            </w:r>
          </w:p>
        </w:tc>
        <w:tc>
          <w:tcPr>
            <w:tcW w:w="863" w:type="dxa"/>
            <w:tcMar>
              <w:left w:w="45" w:type="dxa"/>
              <w:right w:w="45" w:type="dxa"/>
            </w:tcMar>
            <w:vAlign w:val="center"/>
          </w:tcPr>
          <w:p>
            <w:pPr>
              <w:adjustRightInd w:val="0"/>
              <w:snapToGrid w:val="0"/>
              <w:spacing w:line="280" w:lineRule="exact"/>
              <w:jc w:val="center"/>
              <w:rPr>
                <w:rFonts w:ascii="宋体" w:hAnsi="宋体" w:cs="宋体"/>
                <w:b/>
                <w:snapToGrid w:val="0"/>
                <w:kern w:val="0"/>
                <w:szCs w:val="21"/>
              </w:rPr>
            </w:pPr>
            <w:r>
              <w:rPr>
                <w:rFonts w:hint="eastAsia" w:ascii="宋体" w:hAnsi="宋体" w:cs="宋体"/>
                <w:b/>
                <w:snapToGrid w:val="0"/>
                <w:kern w:val="0"/>
                <w:szCs w:val="21"/>
              </w:rPr>
              <w:t>二级</w:t>
            </w:r>
          </w:p>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指标</w:t>
            </w:r>
          </w:p>
        </w:tc>
        <w:tc>
          <w:tcPr>
            <w:tcW w:w="839" w:type="dxa"/>
            <w:tcMar>
              <w:left w:w="45" w:type="dxa"/>
              <w:right w:w="45" w:type="dxa"/>
            </w:tcMar>
            <w:vAlign w:val="center"/>
          </w:tcPr>
          <w:p>
            <w:pPr>
              <w:adjustRightInd w:val="0"/>
              <w:snapToGrid w:val="0"/>
              <w:spacing w:line="280" w:lineRule="exact"/>
              <w:jc w:val="center"/>
              <w:rPr>
                <w:rFonts w:ascii="宋体" w:hAnsi="宋体" w:cs="宋体"/>
                <w:b/>
                <w:snapToGrid w:val="0"/>
                <w:kern w:val="0"/>
                <w:szCs w:val="21"/>
              </w:rPr>
            </w:pPr>
            <w:r>
              <w:rPr>
                <w:rFonts w:hint="eastAsia" w:ascii="宋体" w:hAnsi="宋体" w:cs="宋体"/>
                <w:b/>
                <w:snapToGrid w:val="0"/>
                <w:kern w:val="0"/>
                <w:szCs w:val="21"/>
              </w:rPr>
              <w:t>三级</w:t>
            </w:r>
          </w:p>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指标</w:t>
            </w:r>
          </w:p>
        </w:tc>
        <w:tc>
          <w:tcPr>
            <w:tcW w:w="1761" w:type="dxa"/>
            <w:tcMar>
              <w:left w:w="45" w:type="dxa"/>
              <w:right w:w="45" w:type="dxa"/>
            </w:tcMar>
            <w:vAlign w:val="center"/>
          </w:tcPr>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指标解释</w:t>
            </w:r>
          </w:p>
        </w:tc>
        <w:tc>
          <w:tcPr>
            <w:tcW w:w="3615" w:type="dxa"/>
            <w:tcMar>
              <w:left w:w="45" w:type="dxa"/>
              <w:right w:w="45" w:type="dxa"/>
            </w:tcMar>
            <w:vAlign w:val="center"/>
          </w:tcPr>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指标说明（评价计分标准）</w:t>
            </w:r>
          </w:p>
        </w:tc>
        <w:tc>
          <w:tcPr>
            <w:tcW w:w="697" w:type="dxa"/>
            <w:tcMar>
              <w:left w:w="45" w:type="dxa"/>
              <w:right w:w="45" w:type="dxa"/>
            </w:tcMar>
            <w:vAlign w:val="center"/>
          </w:tcPr>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自评分数</w:t>
            </w:r>
          </w:p>
        </w:tc>
        <w:tc>
          <w:tcPr>
            <w:tcW w:w="1303" w:type="dxa"/>
            <w:tcMar>
              <w:left w:w="45" w:type="dxa"/>
              <w:right w:w="45" w:type="dxa"/>
            </w:tcMar>
            <w:vAlign w:val="center"/>
          </w:tcPr>
          <w:p>
            <w:pPr>
              <w:adjustRightInd w:val="0"/>
              <w:snapToGrid w:val="0"/>
              <w:spacing w:line="280" w:lineRule="exact"/>
              <w:jc w:val="center"/>
              <w:rPr>
                <w:rFonts w:ascii="宋体" w:hAnsi="宋体" w:cs="宋体"/>
                <w:b/>
                <w:snapToGrid w:val="0"/>
                <w:kern w:val="0"/>
                <w:szCs w:val="21"/>
              </w:rPr>
            </w:pPr>
            <w:r>
              <w:rPr>
                <w:rFonts w:hint="eastAsia" w:ascii="宋体" w:hAnsi="宋体" w:cs="宋体"/>
                <w:b/>
                <w:snapToGrid w:val="0"/>
                <w:kern w:val="0"/>
                <w:szCs w:val="21"/>
              </w:rPr>
              <w:t>自评依据</w:t>
            </w:r>
          </w:p>
          <w:p>
            <w:pPr>
              <w:adjustRightInd w:val="0"/>
              <w:snapToGrid w:val="0"/>
              <w:spacing w:line="280" w:lineRule="exact"/>
              <w:jc w:val="center"/>
              <w:rPr>
                <w:rFonts w:ascii="宋体" w:hAnsi="宋体"/>
                <w:b/>
                <w:snapToGrid w:val="0"/>
                <w:kern w:val="0"/>
                <w:szCs w:val="21"/>
              </w:rPr>
            </w:pPr>
            <w:r>
              <w:rPr>
                <w:rFonts w:hint="eastAsia" w:ascii="宋体" w:hAnsi="宋体" w:cs="宋体"/>
                <w:b/>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113" w:hRule="atLeast"/>
          <w:jc w:val="center"/>
        </w:trPr>
        <w:tc>
          <w:tcPr>
            <w:tcW w:w="868" w:type="dxa"/>
            <w:vMerge w:val="restart"/>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cs="宋体"/>
                <w:snapToGrid w:val="0"/>
                <w:kern w:val="0"/>
                <w:szCs w:val="21"/>
              </w:rPr>
              <w:t>投入（ 分）</w:t>
            </w:r>
          </w:p>
        </w:tc>
        <w:tc>
          <w:tcPr>
            <w:tcW w:w="863" w:type="dxa"/>
            <w:vMerge w:val="restart"/>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立项</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（15分）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项目立项规范性（5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项目的申请、设立过程是否符合相关要求，用以反映和考核项目立项的规范情况。</w:t>
            </w:r>
          </w:p>
        </w:tc>
        <w:tc>
          <w:tcPr>
            <w:tcW w:w="3615"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①项目是否按照规定的程序申请设立；（1分）</w:t>
            </w:r>
          </w:p>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②所提交的文件、材料是否符合相关要求；（2分）</w:t>
            </w:r>
          </w:p>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③事前是否已经过必要的可行性研究、专家论证、风险评估、集体决策等。（2 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项目申请</w:t>
            </w:r>
            <w:r>
              <w:rPr>
                <w:rFonts w:hint="eastAsia" w:ascii="宋体" w:hAnsi="宋体"/>
                <w:snapToGrid w:val="0"/>
                <w:kern w:val="0"/>
                <w:szCs w:val="21"/>
              </w:rPr>
              <w:t>、</w:t>
            </w:r>
            <w:r>
              <w:rPr>
                <w:rFonts w:hint="eastAsia" w:ascii="宋体" w:hAnsi="宋体" w:cs="宋体"/>
                <w:snapToGrid w:val="0"/>
                <w:kern w:val="0"/>
                <w:szCs w:val="21"/>
              </w:rPr>
              <w:t>设立过程符合相关要求</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533"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绩效目标合理</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性（4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项目所设定的绩效目标是否依据充分，是否符合客观实际，用以反映和考核项目绩效目标与项目实施的相符情况。</w:t>
            </w:r>
          </w:p>
        </w:tc>
        <w:tc>
          <w:tcPr>
            <w:tcW w:w="3615"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①是否符合国家相关法律法规、国民经济发展规划和</w:t>
            </w:r>
            <w:r>
              <w:rPr>
                <w:rFonts w:hint="eastAsia" w:ascii="宋体" w:hAnsi="宋体" w:cs="宋体"/>
                <w:snapToGrid w:val="0"/>
                <w:kern w:val="0"/>
                <w:szCs w:val="21"/>
                <w:lang w:eastAsia="zh-CN"/>
              </w:rPr>
              <w:t>党委、政府</w:t>
            </w:r>
            <w:r>
              <w:rPr>
                <w:rFonts w:hint="eastAsia" w:ascii="宋体" w:hAnsi="宋体" w:cs="宋体"/>
                <w:snapToGrid w:val="0"/>
                <w:kern w:val="0"/>
                <w:szCs w:val="21"/>
              </w:rPr>
              <w:t>决策；（1分） ②是否与项目实施单位或委托单位职责密切相关；（1分）</w:t>
            </w:r>
          </w:p>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③项目是否为促进事业发展所必需；（1分）</w:t>
            </w:r>
          </w:p>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④项目预期产出效益和效果是否符合正常的业绩水平。（1分）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依据充分</w:t>
            </w:r>
            <w:r>
              <w:rPr>
                <w:rFonts w:hint="eastAsia" w:ascii="宋体" w:hAnsi="宋体"/>
                <w:snapToGrid w:val="0"/>
                <w:kern w:val="0"/>
                <w:szCs w:val="21"/>
              </w:rPr>
              <w:t>，</w:t>
            </w:r>
            <w:r>
              <w:rPr>
                <w:rFonts w:hint="eastAsia" w:ascii="宋体" w:hAnsi="宋体" w:cs="宋体"/>
                <w:snapToGrid w:val="0"/>
                <w:kern w:val="0"/>
                <w:szCs w:val="21"/>
              </w:rPr>
              <w:t>符合客观实际</w:t>
            </w:r>
            <w:r>
              <w:rPr>
                <w:rFonts w:hint="eastAsia" w:ascii="宋体" w:hAnsi="宋体"/>
                <w:snapToGrid w:val="0"/>
                <w:kern w:val="0"/>
                <w:szCs w:val="21"/>
              </w:rPr>
              <w:t>，</w:t>
            </w:r>
            <w:r>
              <w:rPr>
                <w:rFonts w:hint="eastAsia" w:ascii="宋体" w:hAnsi="宋体" w:cs="宋体"/>
                <w:snapToGrid w:val="0"/>
                <w:kern w:val="0"/>
                <w:szCs w:val="21"/>
              </w:rPr>
              <w:t>符合国家相关法律法规</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393"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绩效指标明确性（6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依据绩效目标设定的绩效指标是否清晰、细化、可衡量等，用以反映和考核项目绩效目标的明细化情况。</w:t>
            </w:r>
          </w:p>
        </w:tc>
        <w:tc>
          <w:tcPr>
            <w:tcW w:w="3615"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①是否将项目绩效目标细化分解为具体的绩效指标；（2分） ②是否通过清晰、可衡量的指标值予以体现；（1分）</w:t>
            </w:r>
          </w:p>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③是否与项目年度任务数或计划数相对应；（1分）</w:t>
            </w:r>
          </w:p>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④是否与预算确定的项目投资额或资金量相匹配。（2分）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绩效指标清晰</w:t>
            </w:r>
            <w:r>
              <w:rPr>
                <w:rFonts w:hint="eastAsia" w:ascii="宋体" w:hAnsi="宋体"/>
                <w:snapToGrid w:val="0"/>
                <w:kern w:val="0"/>
                <w:szCs w:val="21"/>
              </w:rPr>
              <w:t>、</w:t>
            </w:r>
            <w:r>
              <w:rPr>
                <w:rFonts w:hint="eastAsia" w:ascii="宋体" w:hAnsi="宋体" w:cs="宋体"/>
                <w:snapToGrid w:val="0"/>
                <w:kern w:val="0"/>
                <w:szCs w:val="21"/>
              </w:rPr>
              <w:t>细化</w:t>
            </w:r>
            <w:r>
              <w:rPr>
                <w:rFonts w:hint="eastAsia" w:ascii="宋体" w:hAnsi="宋体"/>
                <w:snapToGrid w:val="0"/>
                <w:kern w:val="0"/>
                <w:szCs w:val="21"/>
              </w:rPr>
              <w:t>、</w:t>
            </w:r>
            <w:r>
              <w:rPr>
                <w:rFonts w:hint="eastAsia" w:ascii="宋体" w:hAnsi="宋体" w:cs="宋体"/>
                <w:snapToGrid w:val="0"/>
                <w:kern w:val="0"/>
                <w:szCs w:val="21"/>
              </w:rPr>
              <w:t>可衡量</w:t>
            </w:r>
            <w:r>
              <w:rPr>
                <w:rFonts w:hint="eastAsia" w:ascii="宋体" w:hAnsi="宋体"/>
                <w:snapToGrid w:val="0"/>
                <w:kern w:val="0"/>
                <w:szCs w:val="21"/>
              </w:rPr>
              <w:t>。</w:t>
            </w:r>
            <w:r>
              <w:rPr>
                <w:rFonts w:hint="eastAsia" w:ascii="宋体" w:hAnsi="宋体" w:cs="宋体"/>
                <w:snapToGrid w:val="0"/>
                <w:kern w:val="0"/>
                <w:szCs w:val="21"/>
              </w:rPr>
              <w:t>与预算确定的项目投资额或资金量相匹配</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422"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落实</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资金到位率（5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实际到位资金与计划投入资金的比率，用以反映和考核资金落实情况对项目实施的总体保障程度。</w:t>
            </w:r>
          </w:p>
        </w:tc>
        <w:tc>
          <w:tcPr>
            <w:tcW w:w="3615"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资金到位率=（实际到位资金/计划投入资金）×100%。（达到目标值得5分，每少一个百分点扣1分，扣完为止）实际到位资金：一定时期（本年度或项目期）内实际落实到具体项目的资金。计划投入资金：一定时期（本年度或项目期）内计划投入到具体项目的资金。</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实际到位资金63.3万，计划投入资金76.75万。资金到位率82.48%。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cantSplit/>
          <w:trHeight w:val="1134" w:hRule="atLeast"/>
          <w:jc w:val="center"/>
        </w:trPr>
        <w:tc>
          <w:tcPr>
            <w:tcW w:w="868" w:type="dxa"/>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cs="宋体"/>
                <w:snapToGrid w:val="0"/>
                <w:kern w:val="0"/>
                <w:szCs w:val="21"/>
              </w:rPr>
              <w:t>投入（ 分）</w:t>
            </w:r>
          </w:p>
        </w:tc>
        <w:tc>
          <w:tcPr>
            <w:tcW w:w="863" w:type="dxa"/>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落实</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到位及时率（5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及时到位资金与应到位资金的比率，用以反映和考核项目资金落实的及时性程度。</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到位及时率=（及时到位资金/应到位资金）×100%。（达到目标值得5分，每少一个百分点扣1分，扣完为止）及时到位资金：截至规定时点实际落实到具体项目的资金。应到位资金：按照合同或项目进度要求截至规定时点应落实到具体项目的资金。</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从全年来看，资金全部到位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96" w:hRule="atLeast"/>
          <w:jc w:val="center"/>
        </w:trPr>
        <w:tc>
          <w:tcPr>
            <w:tcW w:w="868" w:type="dxa"/>
            <w:vMerge w:val="restart"/>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cs="宋体"/>
                <w:snapToGrid w:val="0"/>
                <w:kern w:val="0"/>
                <w:szCs w:val="21"/>
              </w:rPr>
              <w:t>过程（ 分）</w:t>
            </w:r>
          </w:p>
        </w:tc>
        <w:tc>
          <w:tcPr>
            <w:tcW w:w="863" w:type="dxa"/>
            <w:vMerge w:val="restart"/>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管理</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（13分）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管理制度健全</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性（4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项目实施单位的业务管理制度是否健全，用以反映和考核业务管理制度对项目顺利实施的保障情况。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①是否已制定或具有相应的业务管理制度；（2分）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②业务管理制度是否合法、合规、完整。（2分）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已制定相应业务管理制度</w:t>
            </w:r>
            <w:r>
              <w:rPr>
                <w:rFonts w:hint="eastAsia" w:ascii="宋体" w:hAnsi="宋体"/>
                <w:snapToGrid w:val="0"/>
                <w:kern w:val="0"/>
                <w:szCs w:val="21"/>
              </w:rPr>
              <w:t>，</w:t>
            </w:r>
            <w:r>
              <w:rPr>
                <w:rFonts w:hint="eastAsia" w:ascii="宋体" w:hAnsi="宋体" w:cs="宋体"/>
                <w:snapToGrid w:val="0"/>
                <w:kern w:val="0"/>
                <w:szCs w:val="21"/>
              </w:rPr>
              <w:t>制度合法</w:t>
            </w:r>
            <w:r>
              <w:rPr>
                <w:rFonts w:hint="eastAsia" w:ascii="宋体" w:hAnsi="宋体"/>
                <w:snapToGrid w:val="0"/>
                <w:kern w:val="0"/>
                <w:szCs w:val="21"/>
              </w:rPr>
              <w:t>、</w:t>
            </w:r>
            <w:r>
              <w:rPr>
                <w:rFonts w:hint="eastAsia" w:ascii="宋体" w:hAnsi="宋体" w:cs="宋体"/>
                <w:snapToGrid w:val="0"/>
                <w:kern w:val="0"/>
                <w:szCs w:val="21"/>
              </w:rPr>
              <w:t>合规</w:t>
            </w: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085"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制度执行有效性（6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项目实施是否符合相关业务管理规定，用以反映和考核业务管理制度的有效执行情况。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①是否遵守相关法律法规和业务管理规定；（1分）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②项目调整及支出调整手续是否完备；（1分）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③项目合同书、验收报告、技术鉴定等资料是否齐全并及时归档；（2分） ④项目实施的人员条件、场地设备、信息支撑等是否落实到位。（2分）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遵守相关法律法规和业务管理规定。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55"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项目质量可控性（3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项目实施单位是否为达到项目质量要求而采取了必需的措施，用以反映和考核项目实施单位对项目质量的控制情况。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①是否已制定或具有相应的项目质量要求或标准；（1分） ②是否采取了相应的项目质量检查、验收等必需的控制措施或手段。（2分）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已制定相应的项目质量要求。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96"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restart"/>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管理</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（12分）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管理制度健全性（3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项目实施单位的财务制度是否健全，用以反映和考核财务管理制度对资金规范、安全运行的保障情况。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①是否已制定或具有相应的项目资金管理办法；（2分） ②项目资金管理办法是否符合相关财务会计制度的规定。（1分）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3分</w:t>
            </w:r>
          </w:p>
        </w:tc>
        <w:tc>
          <w:tcPr>
            <w:tcW w:w="1303" w:type="dxa"/>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已制定相应的项目资金管理办法。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127"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资金使用合规</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性（7 分）</w:t>
            </w:r>
          </w:p>
        </w:tc>
        <w:tc>
          <w:tcPr>
            <w:tcW w:w="1761"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项目资金使用是否符合相关的财务管理制度规定，用以反映和考核项目资金的规范运行情况。</w:t>
            </w:r>
          </w:p>
        </w:tc>
        <w:tc>
          <w:tcPr>
            <w:tcW w:w="3615" w:type="dxa"/>
            <w:tcMar>
              <w:left w:w="45" w:type="dxa"/>
              <w:right w:w="45" w:type="dxa"/>
            </w:tcMar>
            <w:vAlign w:val="center"/>
          </w:tcPr>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①是否符合国家财经法规和财务管理制度以及有关专项资金管理办法的规定；（1分）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②资金的拨付是否有完整的审批程序和手续；（2分）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③项目的重大开支是否经过评估认证；</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④是否符合项目预算批复或合同规定的用途；（1分）</w:t>
            </w:r>
          </w:p>
          <w:p>
            <w:pPr>
              <w:adjustRightInd w:val="0"/>
              <w:snapToGrid w:val="0"/>
              <w:spacing w:line="270" w:lineRule="exact"/>
              <w:rPr>
                <w:rFonts w:ascii="宋体" w:hAnsi="宋体"/>
                <w:snapToGrid w:val="0"/>
                <w:kern w:val="0"/>
                <w:szCs w:val="21"/>
              </w:rPr>
            </w:pPr>
            <w:r>
              <w:rPr>
                <w:rFonts w:hint="eastAsia" w:ascii="宋体" w:hAnsi="宋体" w:cs="宋体"/>
                <w:snapToGrid w:val="0"/>
                <w:kern w:val="0"/>
                <w:szCs w:val="21"/>
              </w:rPr>
              <w:t>⑤是否存在截留、挤占、挪用、虚列支出等情况。（2分）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项目资金使用符合相关财务管理制度。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cantSplit/>
          <w:trHeight w:val="2673" w:hRule="atLeast"/>
          <w:jc w:val="center"/>
        </w:trPr>
        <w:tc>
          <w:tcPr>
            <w:tcW w:w="868" w:type="dxa"/>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cs="宋体"/>
                <w:snapToGrid w:val="0"/>
                <w:kern w:val="0"/>
                <w:szCs w:val="21"/>
              </w:rPr>
              <w:t>过程（ 分）</w:t>
            </w:r>
          </w:p>
        </w:tc>
        <w:tc>
          <w:tcPr>
            <w:tcW w:w="863" w:type="dxa"/>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管理</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（12分）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财务监控有效性（2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项目实施单位是否为保障资金的安全、规范运行而采取了必要的监控措施，用以反映和考核项目实施单位对资金运行的控制情况。</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①是否已制定或具有相应的监控机制；（1分）</w:t>
            </w:r>
          </w:p>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②是否采取了相应的财务检查等必要的监控措施或手段。（1分）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已制定相应的监控机制。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337" w:hRule="atLeast"/>
          <w:jc w:val="center"/>
        </w:trPr>
        <w:tc>
          <w:tcPr>
            <w:tcW w:w="868" w:type="dxa"/>
            <w:vMerge w:val="restart"/>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cs="宋体"/>
                <w:snapToGrid w:val="0"/>
                <w:kern w:val="0"/>
                <w:szCs w:val="21"/>
              </w:rPr>
              <w:t>产出（ 分）</w:t>
            </w:r>
          </w:p>
        </w:tc>
        <w:tc>
          <w:tcPr>
            <w:tcW w:w="863" w:type="dxa"/>
            <w:vMerge w:val="restart"/>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产出</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（20分）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实际完成率（4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项目实施的实际产出数与计划产出数的比率，用以反映和考核项目产出数量目标的实现程度。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实际完成率=（实际产出数/计划产出数）×100%。（得分=实际完成率*4分）实际产出数：一定时期（本年度或项目期）内项目实际产出的产品或提供的服务数量。计划产出数：项目绩效目标确定的在一定时期（本年度或项目期）内计划产出的产品或提供的服务数量。</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w:t>
            </w:r>
            <w:r>
              <w:rPr>
                <w:rFonts w:hint="eastAsia" w:ascii="宋体" w:hAnsi="宋体" w:cs="宋体"/>
                <w:snapToGrid w:val="0"/>
                <w:kern w:val="0"/>
                <w:szCs w:val="21"/>
              </w:rPr>
              <w:t>际产出数等于计划产出数，实际完成率100%。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099"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完成及时率（6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项目实际提前完成时间与计划完成时间的比率，用以反映和考核项目产出时效目标的实现程度。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完成及时率=[（计划完成时间-实际完成时间）/计划完成时间]×100%。（1--4季度各得1.5分）实际完成时间：项目实施单位完成该项目实际所耗用的时间。计划完成时间：按照项目实施计划或相关规定完成该项目所需的时间。</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687"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质量达标率（5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项目完成的质量达标产出数与实际产出数的比率，用以反映和考核项目产出质量目标的实现程度。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质量达标率=（质量达标产出数/实际产出数）×100%。（得分=达标率*5分）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实际完成工作数中全部达到部门绩效目标要求的工作任务数量。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2408" w:hRule="atLeast"/>
          <w:jc w:val="center"/>
        </w:trPr>
        <w:tc>
          <w:tcPr>
            <w:tcW w:w="868" w:type="dxa"/>
            <w:vMerge w:val="continue"/>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成本节约率（5 分）</w:t>
            </w:r>
          </w:p>
        </w:tc>
        <w:tc>
          <w:tcPr>
            <w:tcW w:w="1761"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完成项目计划工作目标的实际节约成本与计划成本的比率，用以反映和考核项目的成本节约程度。</w:t>
            </w:r>
          </w:p>
        </w:tc>
        <w:tc>
          <w:tcPr>
            <w:tcW w:w="3615" w:type="dxa"/>
            <w:tcMar>
              <w:left w:w="45" w:type="dxa"/>
              <w:right w:w="45" w:type="dxa"/>
            </w:tcMar>
            <w:vAlign w:val="center"/>
          </w:tcPr>
          <w:p>
            <w:pPr>
              <w:adjustRightInd w:val="0"/>
              <w:snapToGrid w:val="0"/>
              <w:spacing w:line="320" w:lineRule="exact"/>
              <w:rPr>
                <w:rFonts w:ascii="宋体" w:hAnsi="宋体"/>
                <w:snapToGrid w:val="0"/>
                <w:kern w:val="0"/>
                <w:szCs w:val="21"/>
              </w:rPr>
            </w:pPr>
            <w:r>
              <w:rPr>
                <w:rFonts w:hint="eastAsia" w:ascii="宋体" w:hAnsi="宋体" w:cs="宋体"/>
                <w:snapToGrid w:val="0"/>
                <w:kern w:val="0"/>
                <w:szCs w:val="21"/>
              </w:rPr>
              <w:t>成本节约率=[（计划成本-实际成本）/ 计划成本]×100%。（节约的计5分，增加的按比例扣分）实际成本：项目实施单位如期、保质、保量完成既定工作目标实际所耗费的支出。计划成本：项目实施单位为完成工作目标计划安排的支出，一般以项目预算为参考。</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厉行节约。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9" w:hRule="atLeast"/>
          <w:jc w:val="center"/>
        </w:trPr>
        <w:tc>
          <w:tcPr>
            <w:tcW w:w="868" w:type="dxa"/>
            <w:vMerge w:val="restart"/>
            <w:tcMar>
              <w:left w:w="45" w:type="dxa"/>
              <w:right w:w="45" w:type="dxa"/>
            </w:tcMar>
            <w:textDirection w:val="tbRlV"/>
            <w:vAlign w:val="center"/>
          </w:tcPr>
          <w:p>
            <w:pPr>
              <w:adjustRightInd w:val="0"/>
              <w:snapToGrid w:val="0"/>
              <w:spacing w:line="280" w:lineRule="exact"/>
              <w:ind w:left="113" w:right="113"/>
              <w:jc w:val="center"/>
              <w:rPr>
                <w:rFonts w:ascii="宋体" w:hAnsi="宋体"/>
                <w:snapToGrid w:val="0"/>
                <w:kern w:val="0"/>
                <w:szCs w:val="21"/>
              </w:rPr>
            </w:pPr>
            <w:r>
              <w:rPr>
                <w:rFonts w:hint="eastAsia" w:ascii="宋体" w:hAnsi="宋体" w:cs="宋体"/>
                <w:snapToGrid w:val="0"/>
                <w:kern w:val="0"/>
                <w:szCs w:val="21"/>
              </w:rPr>
              <w:t>效果（ 分）</w:t>
            </w:r>
          </w:p>
        </w:tc>
        <w:tc>
          <w:tcPr>
            <w:tcW w:w="863" w:type="dxa"/>
            <w:vMerge w:val="restart"/>
            <w:tcMar>
              <w:left w:w="45" w:type="dxa"/>
              <w:right w:w="45" w:type="dxa"/>
            </w:tcMar>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（30分）</w:t>
            </w: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经济效</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益（5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项目实施对经济发展所带来的直接或间接影响情况。</w:t>
            </w:r>
          </w:p>
        </w:tc>
        <w:tc>
          <w:tcPr>
            <w:tcW w:w="3615" w:type="dxa"/>
            <w:vMerge w:val="restart"/>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本项目不存在经济效益。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8" w:hRule="atLeast"/>
          <w:jc w:val="center"/>
        </w:trPr>
        <w:tc>
          <w:tcPr>
            <w:tcW w:w="868"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社会效益（5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项目实施对社会发展所带来的直接或间接影响情况。</w:t>
            </w:r>
          </w:p>
        </w:tc>
        <w:tc>
          <w:tcPr>
            <w:tcW w:w="3615" w:type="dxa"/>
            <w:vMerge w:val="continue"/>
            <w:tcMar>
              <w:left w:w="45" w:type="dxa"/>
              <w:right w:w="45" w:type="dxa"/>
            </w:tcMar>
            <w:vAlign w:val="center"/>
          </w:tcPr>
          <w:p>
            <w:pPr>
              <w:adjustRightInd w:val="0"/>
              <w:snapToGrid w:val="0"/>
              <w:spacing w:line="280" w:lineRule="exact"/>
              <w:rPr>
                <w:rFonts w:ascii="宋体" w:hAnsi="宋体"/>
                <w:snapToGrid w:val="0"/>
                <w:kern w:val="0"/>
                <w:szCs w:val="21"/>
              </w:rPr>
            </w:pP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对社会发展有积极作用。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6" w:hRule="atLeast"/>
          <w:jc w:val="center"/>
        </w:trPr>
        <w:tc>
          <w:tcPr>
            <w:tcW w:w="868"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生态效益（5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项目实施对生态环境所带来的直接或间接影响情况。</w:t>
            </w:r>
          </w:p>
        </w:tc>
        <w:tc>
          <w:tcPr>
            <w:tcW w:w="3615" w:type="dxa"/>
            <w:vMerge w:val="continue"/>
            <w:tcMar>
              <w:left w:w="45" w:type="dxa"/>
              <w:right w:w="45" w:type="dxa"/>
            </w:tcMar>
            <w:vAlign w:val="center"/>
          </w:tcPr>
          <w:p>
            <w:pPr>
              <w:adjustRightInd w:val="0"/>
              <w:snapToGrid w:val="0"/>
              <w:spacing w:line="280" w:lineRule="exact"/>
              <w:rPr>
                <w:rFonts w:ascii="宋体" w:hAnsi="宋体"/>
                <w:snapToGrid w:val="0"/>
                <w:kern w:val="0"/>
                <w:szCs w:val="21"/>
              </w:rPr>
            </w:pP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绿色发展，环境污染低。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788" w:hRule="atLeast"/>
          <w:jc w:val="center"/>
        </w:trPr>
        <w:tc>
          <w:tcPr>
            <w:tcW w:w="868"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可持续影响</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项目后续运行及成效发挥的可持续影响情况。</w:t>
            </w:r>
          </w:p>
        </w:tc>
        <w:tc>
          <w:tcPr>
            <w:tcW w:w="3615" w:type="dxa"/>
            <w:tcMar>
              <w:left w:w="45" w:type="dxa"/>
              <w:right w:w="45" w:type="dxa"/>
            </w:tcMar>
            <w:vAlign w:val="center"/>
          </w:tcPr>
          <w:p>
            <w:pPr>
              <w:adjustRightInd w:val="0"/>
              <w:snapToGrid w:val="0"/>
              <w:spacing w:line="280" w:lineRule="exact"/>
              <w:rPr>
                <w:rFonts w:ascii="宋体" w:hAnsi="宋体"/>
                <w:snapToGrid w:val="0"/>
                <w:kern w:val="0"/>
                <w:szCs w:val="21"/>
              </w:rPr>
            </w:pP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1885" w:hRule="atLeast"/>
          <w:jc w:val="center"/>
        </w:trPr>
        <w:tc>
          <w:tcPr>
            <w:tcW w:w="868"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63" w:type="dxa"/>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839"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社会公</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众或服务对象满意度</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 分）</w:t>
            </w:r>
          </w:p>
        </w:tc>
        <w:tc>
          <w:tcPr>
            <w:tcW w:w="1761"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社会公众或服务对象对项目实施效果的满意程度。</w:t>
            </w:r>
          </w:p>
        </w:tc>
        <w:tc>
          <w:tcPr>
            <w:tcW w:w="3615" w:type="dxa"/>
            <w:tcMar>
              <w:left w:w="45" w:type="dxa"/>
              <w:right w:w="45" w:type="dxa"/>
            </w:tcMar>
            <w:vAlign w:val="center"/>
          </w:tcPr>
          <w:p>
            <w:pPr>
              <w:adjustRightInd w:val="0"/>
              <w:snapToGrid w:val="0"/>
              <w:spacing w:line="280" w:lineRule="exact"/>
              <w:rPr>
                <w:rFonts w:ascii="宋体" w:hAnsi="宋体"/>
                <w:snapToGrid w:val="0"/>
                <w:kern w:val="0"/>
                <w:szCs w:val="21"/>
              </w:rPr>
            </w:pPr>
            <w:r>
              <w:rPr>
                <w:rFonts w:hint="eastAsia" w:ascii="宋体" w:hAnsi="宋体" w:cs="宋体"/>
                <w:snapToGrid w:val="0"/>
                <w:kern w:val="0"/>
                <w:szCs w:val="21"/>
              </w:rPr>
              <w:t>社会公众或服务对象是指因该项目实施而受到影响的部门（单位）、群体或个人。一般采取社会调查的方式。（按收到的服务对象的满意率计算得分）</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社会满意度高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8" w:type="dxa"/>
          </w:tblCellMar>
        </w:tblPrEx>
        <w:trPr>
          <w:trHeight w:val="438" w:hRule="atLeast"/>
          <w:jc w:val="center"/>
        </w:trPr>
        <w:tc>
          <w:tcPr>
            <w:tcW w:w="868" w:type="dxa"/>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078" w:type="dxa"/>
            <w:gridSpan w:val="4"/>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合计</w:t>
            </w:r>
          </w:p>
        </w:tc>
        <w:tc>
          <w:tcPr>
            <w:tcW w:w="697" w:type="dxa"/>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94分</w:t>
            </w:r>
          </w:p>
        </w:tc>
        <w:tc>
          <w:tcPr>
            <w:tcW w:w="1303" w:type="dxa"/>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adjustRightInd w:val="0"/>
        <w:snapToGrid w:val="0"/>
        <w:spacing w:line="590" w:lineRule="exact"/>
        <w:rPr>
          <w:rFonts w:ascii="宋体" w:hAnsi="宋体" w:eastAsia="方正仿宋_GBK" w:cs="宋体"/>
          <w:snapToGrid w:val="0"/>
          <w:kern w:val="0"/>
          <w:sz w:val="33"/>
          <w:szCs w:val="33"/>
        </w:rPr>
      </w:pPr>
    </w:p>
    <w:p>
      <w:pPr>
        <w:pStyle w:val="7"/>
        <w:ind w:firstLine="660"/>
        <w:rPr>
          <w:rFonts w:ascii="宋体" w:hAnsi="宋体" w:eastAsia="方正仿宋_GBK" w:cs="宋体"/>
          <w:snapToGrid w:val="0"/>
          <w:color w:val="auto"/>
          <w:kern w:val="0"/>
          <w:sz w:val="33"/>
          <w:szCs w:val="33"/>
        </w:rPr>
      </w:pPr>
    </w:p>
    <w:p>
      <w:pPr>
        <w:pStyle w:val="7"/>
        <w:ind w:firstLine="660"/>
        <w:rPr>
          <w:rFonts w:ascii="宋体" w:hAnsi="宋体" w:eastAsia="方正仿宋_GBK" w:cs="宋体"/>
          <w:snapToGrid w:val="0"/>
          <w:color w:val="auto"/>
          <w:kern w:val="0"/>
          <w:sz w:val="33"/>
          <w:szCs w:val="33"/>
        </w:rPr>
      </w:pPr>
    </w:p>
    <w:p>
      <w:pPr>
        <w:pStyle w:val="7"/>
        <w:ind w:firstLine="660"/>
        <w:rPr>
          <w:rFonts w:ascii="宋体" w:hAnsi="宋体" w:eastAsia="方正仿宋_GBK" w:cs="宋体"/>
          <w:snapToGrid w:val="0"/>
          <w:color w:val="auto"/>
          <w:kern w:val="0"/>
          <w:sz w:val="33"/>
          <w:szCs w:val="33"/>
        </w:rPr>
      </w:pPr>
    </w:p>
    <w:p>
      <w:pPr>
        <w:pStyle w:val="7"/>
        <w:ind w:firstLine="660"/>
        <w:rPr>
          <w:rFonts w:ascii="宋体" w:hAnsi="宋体" w:eastAsia="方正仿宋_GBK" w:cs="宋体"/>
          <w:snapToGrid w:val="0"/>
          <w:color w:val="auto"/>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cs="宋体"/>
          <w:snapToGrid w:val="0"/>
          <w:kern w:val="0"/>
          <w:sz w:val="33"/>
          <w:szCs w:val="33"/>
        </w:rPr>
        <w:t>附件4-2</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7" w:type="dxa"/>
          <w:bottom w:w="0" w:type="dxa"/>
          <w:right w:w="112" w:type="dxa"/>
        </w:tblCellMar>
      </w:tblPr>
      <w:tblGrid>
        <w:gridCol w:w="1219"/>
        <w:gridCol w:w="769"/>
        <w:gridCol w:w="512"/>
        <w:gridCol w:w="195"/>
        <w:gridCol w:w="885"/>
        <w:gridCol w:w="808"/>
        <w:gridCol w:w="117"/>
        <w:gridCol w:w="470"/>
        <w:gridCol w:w="1315"/>
        <w:gridCol w:w="1553"/>
        <w:gridCol w:w="1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77" w:hRule="atLeast"/>
          <w:jc w:val="center"/>
        </w:trPr>
        <w:tc>
          <w:tcPr>
            <w:tcW w:w="1219" w:type="dxa"/>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名称</w:t>
            </w:r>
          </w:p>
        </w:tc>
        <w:tc>
          <w:tcPr>
            <w:tcW w:w="8115" w:type="dxa"/>
            <w:gridSpan w:val="11"/>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人大代表之家、代表联络站工作经费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77" w:hRule="atLeast"/>
          <w:jc w:val="center"/>
        </w:trPr>
        <w:tc>
          <w:tcPr>
            <w:tcW w:w="1219" w:type="dxa"/>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类型</w:t>
            </w:r>
          </w:p>
        </w:tc>
        <w:tc>
          <w:tcPr>
            <w:tcW w:w="1476"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产业发展</w:t>
            </w:r>
          </w:p>
        </w:tc>
        <w:tc>
          <w:tcPr>
            <w:tcW w:w="169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民生保障</w:t>
            </w:r>
          </w:p>
        </w:tc>
        <w:tc>
          <w:tcPr>
            <w:tcW w:w="190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基础设施</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476"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69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90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76" w:hRule="atLeast"/>
          <w:jc w:val="center"/>
        </w:trPr>
        <w:tc>
          <w:tcPr>
            <w:tcW w:w="1219"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部门（单位）名称</w:t>
            </w:r>
          </w:p>
        </w:tc>
        <w:tc>
          <w:tcPr>
            <w:tcW w:w="5071" w:type="dxa"/>
            <w:gridSpan w:val="8"/>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资阳市雁江区人民代表大会</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常务委员会办公室</w:t>
            </w:r>
          </w:p>
        </w:tc>
        <w:tc>
          <w:tcPr>
            <w:tcW w:w="156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预算单位编码</w:t>
            </w:r>
          </w:p>
        </w:tc>
        <w:tc>
          <w:tcPr>
            <w:tcW w:w="1481"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预算执行情况</w:t>
            </w: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w:t>
            </w:r>
          </w:p>
        </w:tc>
        <w:tc>
          <w:tcPr>
            <w:tcW w:w="1080"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315"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当年结转结余额（万元）</w:t>
            </w:r>
          </w:p>
        </w:tc>
        <w:tc>
          <w:tcPr>
            <w:tcW w:w="156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结转结余率%</w:t>
            </w:r>
          </w:p>
        </w:tc>
        <w:tc>
          <w:tcPr>
            <w:tcW w:w="1481" w:type="dxa"/>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结转结余</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w:t>
            </w:r>
            <w:r>
              <w:rPr>
                <w:rFonts w:hint="eastAsia" w:ascii="宋体" w:hAnsi="宋体" w:cs="宋体"/>
                <w:snapToGrid w:val="0"/>
                <w:kern w:val="0"/>
                <w:szCs w:val="21"/>
              </w:rPr>
              <w:tab/>
            </w:r>
            <w:r>
              <w:rPr>
                <w:rFonts w:hint="eastAsia" w:ascii="宋体" w:hAnsi="宋体" w:cs="宋体"/>
                <w:snapToGrid w:val="0"/>
                <w:kern w:val="0"/>
                <w:szCs w:val="21"/>
              </w:rPr>
              <w:t>计</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76.75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63.3</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财政拨款</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76.75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63.3</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25"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其他资金</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54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财政拨款结构</w:t>
            </w: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合计</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一般公共预算安排</w:t>
            </w:r>
          </w:p>
        </w:tc>
        <w:tc>
          <w:tcPr>
            <w:tcW w:w="1315"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政府性基金预算安排</w:t>
            </w:r>
          </w:p>
        </w:tc>
        <w:tc>
          <w:tcPr>
            <w:tcW w:w="1563"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国有资本经营预算安排</w:t>
            </w:r>
          </w:p>
        </w:tc>
        <w:tc>
          <w:tcPr>
            <w:tcW w:w="1481"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76.75</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76.75</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（万元）</w:t>
            </w:r>
          </w:p>
        </w:tc>
        <w:tc>
          <w:tcPr>
            <w:tcW w:w="1080"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63.3</w:t>
            </w:r>
          </w:p>
        </w:tc>
        <w:tc>
          <w:tcPr>
            <w:tcW w:w="1395"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63.3</w:t>
            </w: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当年结转结余额（万元）</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结转结余</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率%</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6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128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结转结余变</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动率%</w:t>
            </w:r>
          </w:p>
        </w:tc>
        <w:tc>
          <w:tcPr>
            <w:tcW w:w="1080" w:type="dxa"/>
            <w:gridSpan w:val="2"/>
            <w:vAlign w:val="center"/>
          </w:tcPr>
          <w:p>
            <w:pPr>
              <w:adjustRightInd w:val="0"/>
              <w:snapToGrid w:val="0"/>
              <w:spacing w:line="280" w:lineRule="exact"/>
              <w:jc w:val="center"/>
              <w:rPr>
                <w:rFonts w:ascii="宋体" w:hAnsi="宋体"/>
                <w:snapToGrid w:val="0"/>
                <w:kern w:val="0"/>
                <w:szCs w:val="21"/>
              </w:rPr>
            </w:pPr>
          </w:p>
        </w:tc>
        <w:tc>
          <w:tcPr>
            <w:tcW w:w="1395" w:type="dxa"/>
            <w:gridSpan w:val="3"/>
            <w:vAlign w:val="center"/>
          </w:tcPr>
          <w:p>
            <w:pPr>
              <w:adjustRightInd w:val="0"/>
              <w:snapToGrid w:val="0"/>
              <w:spacing w:line="280" w:lineRule="exact"/>
              <w:jc w:val="center"/>
              <w:rPr>
                <w:rFonts w:ascii="宋体" w:hAnsi="宋体"/>
                <w:snapToGrid w:val="0"/>
                <w:kern w:val="0"/>
                <w:szCs w:val="21"/>
              </w:rPr>
            </w:pPr>
          </w:p>
        </w:tc>
        <w:tc>
          <w:tcPr>
            <w:tcW w:w="1315" w:type="dxa"/>
            <w:vAlign w:val="center"/>
          </w:tcPr>
          <w:p>
            <w:pPr>
              <w:adjustRightInd w:val="0"/>
              <w:snapToGrid w:val="0"/>
              <w:spacing w:line="280" w:lineRule="exact"/>
              <w:jc w:val="center"/>
              <w:rPr>
                <w:rFonts w:ascii="宋体" w:hAnsi="宋体"/>
                <w:snapToGrid w:val="0"/>
                <w:kern w:val="0"/>
                <w:szCs w:val="21"/>
              </w:rPr>
            </w:pPr>
          </w:p>
        </w:tc>
        <w:tc>
          <w:tcPr>
            <w:tcW w:w="1563" w:type="dxa"/>
            <w:gridSpan w:val="2"/>
            <w:vAlign w:val="center"/>
          </w:tcPr>
          <w:p>
            <w:pPr>
              <w:adjustRightInd w:val="0"/>
              <w:snapToGrid w:val="0"/>
              <w:spacing w:line="280" w:lineRule="exact"/>
              <w:jc w:val="center"/>
              <w:rPr>
                <w:rFonts w:ascii="宋体" w:hAnsi="宋体"/>
                <w:snapToGrid w:val="0"/>
                <w:kern w:val="0"/>
                <w:szCs w:val="21"/>
              </w:rPr>
            </w:pPr>
          </w:p>
        </w:tc>
        <w:tc>
          <w:tcPr>
            <w:tcW w:w="1481" w:type="dxa"/>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855"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年度总体目标</w:t>
            </w:r>
          </w:p>
        </w:tc>
        <w:tc>
          <w:tcPr>
            <w:tcW w:w="2361"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w:t>
            </w:r>
          </w:p>
        </w:tc>
        <w:tc>
          <w:tcPr>
            <w:tcW w:w="2710"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预算总体目标执行结果</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目标1：保障代表联络站建设</w:t>
            </w:r>
          </w:p>
        </w:tc>
        <w:tc>
          <w:tcPr>
            <w:tcW w:w="2710" w:type="dxa"/>
            <w:gridSpan w:val="4"/>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好</w:t>
            </w:r>
          </w:p>
        </w:tc>
        <w:tc>
          <w:tcPr>
            <w:tcW w:w="3044"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454"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2361" w:type="dxa"/>
            <w:gridSpan w:val="4"/>
            <w:vAlign w:val="center"/>
          </w:tcPr>
          <w:p>
            <w:pPr>
              <w:adjustRightInd w:val="0"/>
              <w:snapToGrid w:val="0"/>
              <w:spacing w:line="280" w:lineRule="exact"/>
              <w:jc w:val="center"/>
              <w:rPr>
                <w:rFonts w:ascii="宋体" w:hAnsi="宋体"/>
                <w:snapToGrid w:val="0"/>
                <w:kern w:val="0"/>
                <w:szCs w:val="21"/>
              </w:rPr>
            </w:pPr>
          </w:p>
        </w:tc>
        <w:tc>
          <w:tcPr>
            <w:tcW w:w="2710" w:type="dxa"/>
            <w:gridSpan w:val="4"/>
            <w:vAlign w:val="center"/>
          </w:tcPr>
          <w:p>
            <w:pPr>
              <w:adjustRightInd w:val="0"/>
              <w:snapToGrid w:val="0"/>
              <w:spacing w:line="280" w:lineRule="exact"/>
              <w:jc w:val="center"/>
              <w:rPr>
                <w:rFonts w:ascii="宋体" w:hAnsi="宋体"/>
                <w:snapToGrid w:val="0"/>
                <w:kern w:val="0"/>
                <w:szCs w:val="21"/>
              </w:rPr>
            </w:pPr>
          </w:p>
        </w:tc>
        <w:tc>
          <w:tcPr>
            <w:tcW w:w="3044" w:type="dxa"/>
            <w:gridSpan w:val="3"/>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71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年度绩效指标</w:t>
            </w:r>
          </w:p>
        </w:tc>
        <w:tc>
          <w:tcPr>
            <w:tcW w:w="769"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一级指标</w:t>
            </w: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二级指标</w:t>
            </w:r>
          </w:p>
        </w:tc>
        <w:tc>
          <w:tcPr>
            <w:tcW w:w="925"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1785" w:type="dxa"/>
            <w:gridSpan w:val="2"/>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预算指标值</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（包含数字及文字描述）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预算指标值执</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行结果（包含数字及文字描述）</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项目完成</w:t>
            </w: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乡镇街道办</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22</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站点数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指标3：</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质量指标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资金拨付准确率</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时效指标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资金拨付及时率</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100%</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成本指标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不超过预算数</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好</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78"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p>
        </w:tc>
        <w:tc>
          <w:tcPr>
            <w:tcW w:w="769" w:type="dxa"/>
            <w:vMerge w:val="restart"/>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28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925" w:type="dxa"/>
            <w:gridSpan w:val="2"/>
            <w:vAlign w:val="center"/>
          </w:tcPr>
          <w:p>
            <w:pPr>
              <w:adjustRightInd w:val="0"/>
              <w:snapToGrid w:val="0"/>
              <w:spacing w:line="280" w:lineRule="exact"/>
              <w:jc w:val="center"/>
              <w:rPr>
                <w:rFonts w:ascii="宋体" w:hAnsi="宋体"/>
                <w:snapToGrid w:val="0"/>
                <w:kern w:val="0"/>
                <w:szCs w:val="21"/>
              </w:rPr>
            </w:pP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年度绩效指标</w:t>
            </w:r>
          </w:p>
        </w:tc>
        <w:tc>
          <w:tcPr>
            <w:tcW w:w="76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项目效益</w:t>
            </w: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经济效益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社会效益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站点覆盖率</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生态效益</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restart"/>
            <w:vAlign w:val="center"/>
          </w:tcPr>
          <w:p>
            <w:pPr>
              <w:adjustRightInd w:val="0"/>
              <w:snapToGrid w:val="0"/>
              <w:spacing w:line="280" w:lineRule="exact"/>
              <w:jc w:val="center"/>
              <w:rPr>
                <w:rFonts w:ascii="宋体" w:hAnsi="宋体" w:cs="宋体"/>
                <w:snapToGrid w:val="0"/>
                <w:kern w:val="0"/>
                <w:szCs w:val="21"/>
              </w:rPr>
            </w:pPr>
            <w:r>
              <w:rPr>
                <w:rFonts w:hint="eastAsia" w:ascii="宋体" w:hAnsi="宋体" w:cs="宋体"/>
                <w:snapToGrid w:val="0"/>
                <w:kern w:val="0"/>
                <w:szCs w:val="21"/>
              </w:rPr>
              <w:t>可持续影响</w:t>
            </w:r>
          </w:p>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925" w:type="dxa"/>
            <w:gridSpan w:val="2"/>
            <w:vAlign w:val="center"/>
          </w:tcPr>
          <w:p>
            <w:pPr>
              <w:adjustRightInd w:val="0"/>
              <w:snapToGrid w:val="0"/>
              <w:spacing w:line="280" w:lineRule="exact"/>
              <w:jc w:val="center"/>
              <w:rPr>
                <w:rFonts w:ascii="宋体" w:hAnsi="宋体"/>
                <w:snapToGrid w:val="0"/>
                <w:kern w:val="0"/>
                <w:szCs w:val="21"/>
              </w:rPr>
            </w:pP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满意度指标</w:t>
            </w:r>
          </w:p>
        </w:tc>
        <w:tc>
          <w:tcPr>
            <w:tcW w:w="1592" w:type="dxa"/>
            <w:gridSpan w:val="3"/>
            <w:vMerge w:val="restart"/>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满意度指标</w:t>
            </w: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指标1：</w:t>
            </w:r>
          </w:p>
        </w:tc>
        <w:tc>
          <w:tcPr>
            <w:tcW w:w="178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群众满意度</w:t>
            </w:r>
          </w:p>
        </w:tc>
        <w:tc>
          <w:tcPr>
            <w:tcW w:w="1553" w:type="dxa"/>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≥99%</w:t>
            </w:r>
          </w:p>
        </w:tc>
        <w:tc>
          <w:tcPr>
            <w:tcW w:w="1491"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无偏差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Merge w:val="continue"/>
            <w:vAlign w:val="center"/>
          </w:tcPr>
          <w:p>
            <w:pPr>
              <w:adjustRightInd w:val="0"/>
              <w:snapToGrid w:val="0"/>
              <w:spacing w:line="280" w:lineRule="exact"/>
              <w:jc w:val="center"/>
              <w:rPr>
                <w:rFonts w:ascii="宋体" w:hAnsi="宋体"/>
                <w:snapToGrid w:val="0"/>
                <w:kern w:val="0"/>
                <w:szCs w:val="21"/>
              </w:rPr>
            </w:pPr>
          </w:p>
        </w:tc>
        <w:tc>
          <w:tcPr>
            <w:tcW w:w="925" w:type="dxa"/>
            <w:gridSpan w:val="2"/>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7" w:type="dxa"/>
            <w:bottom w:w="0" w:type="dxa"/>
            <w:right w:w="112" w:type="dxa"/>
          </w:tblCellMar>
        </w:tblPrEx>
        <w:trPr>
          <w:trHeight w:val="330" w:hRule="atLeast"/>
          <w:jc w:val="center"/>
        </w:trPr>
        <w:tc>
          <w:tcPr>
            <w:tcW w:w="1219" w:type="dxa"/>
            <w:vMerge w:val="continue"/>
            <w:vAlign w:val="center"/>
          </w:tcPr>
          <w:p>
            <w:pPr>
              <w:adjustRightInd w:val="0"/>
              <w:snapToGrid w:val="0"/>
              <w:spacing w:line="280" w:lineRule="exact"/>
              <w:jc w:val="center"/>
              <w:rPr>
                <w:rFonts w:ascii="宋体" w:hAnsi="宋体"/>
                <w:snapToGrid w:val="0"/>
                <w:kern w:val="0"/>
                <w:szCs w:val="21"/>
              </w:rPr>
            </w:pPr>
          </w:p>
        </w:tc>
        <w:tc>
          <w:tcPr>
            <w:tcW w:w="769" w:type="dxa"/>
            <w:vMerge w:val="continue"/>
            <w:vAlign w:val="center"/>
          </w:tcPr>
          <w:p>
            <w:pPr>
              <w:adjustRightInd w:val="0"/>
              <w:snapToGrid w:val="0"/>
              <w:spacing w:line="280" w:lineRule="exact"/>
              <w:jc w:val="center"/>
              <w:rPr>
                <w:rFonts w:ascii="宋体" w:hAnsi="宋体"/>
                <w:snapToGrid w:val="0"/>
                <w:kern w:val="0"/>
                <w:szCs w:val="21"/>
              </w:rPr>
            </w:pPr>
          </w:p>
        </w:tc>
        <w:tc>
          <w:tcPr>
            <w:tcW w:w="1592" w:type="dxa"/>
            <w:gridSpan w:val="3"/>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w:t>
            </w:r>
          </w:p>
        </w:tc>
        <w:tc>
          <w:tcPr>
            <w:tcW w:w="925" w:type="dxa"/>
            <w:gridSpan w:val="2"/>
            <w:vAlign w:val="center"/>
          </w:tcPr>
          <w:p>
            <w:pPr>
              <w:adjustRightInd w:val="0"/>
              <w:snapToGrid w:val="0"/>
              <w:spacing w:line="280" w:lineRule="exact"/>
              <w:jc w:val="center"/>
              <w:rPr>
                <w:rFonts w:ascii="宋体" w:hAnsi="宋体"/>
                <w:snapToGrid w:val="0"/>
                <w:kern w:val="0"/>
                <w:szCs w:val="21"/>
              </w:rPr>
            </w:pPr>
          </w:p>
        </w:tc>
        <w:tc>
          <w:tcPr>
            <w:tcW w:w="1785" w:type="dxa"/>
            <w:gridSpan w:val="2"/>
            <w:vAlign w:val="center"/>
          </w:tcPr>
          <w:p>
            <w:pPr>
              <w:adjustRightInd w:val="0"/>
              <w:snapToGrid w:val="0"/>
              <w:spacing w:line="280" w:lineRule="exact"/>
              <w:jc w:val="center"/>
              <w:rPr>
                <w:rFonts w:ascii="宋体" w:hAnsi="宋体"/>
                <w:snapToGrid w:val="0"/>
                <w:kern w:val="0"/>
                <w:szCs w:val="21"/>
              </w:rPr>
            </w:pPr>
          </w:p>
        </w:tc>
        <w:tc>
          <w:tcPr>
            <w:tcW w:w="1553" w:type="dxa"/>
            <w:vAlign w:val="center"/>
          </w:tcPr>
          <w:p>
            <w:pPr>
              <w:adjustRightInd w:val="0"/>
              <w:snapToGrid w:val="0"/>
              <w:spacing w:line="280" w:lineRule="exact"/>
              <w:jc w:val="center"/>
              <w:rPr>
                <w:rFonts w:ascii="宋体" w:hAnsi="宋体"/>
                <w:snapToGrid w:val="0"/>
                <w:kern w:val="0"/>
                <w:szCs w:val="21"/>
              </w:rPr>
            </w:pPr>
          </w:p>
        </w:tc>
        <w:tc>
          <w:tcPr>
            <w:tcW w:w="1491" w:type="dxa"/>
            <w:gridSpan w:val="2"/>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附件5</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kern w:val="0"/>
          <w:sz w:val="33"/>
          <w:szCs w:val="33"/>
        </w:rPr>
      </w:pPr>
      <w:r>
        <w:rPr>
          <w:rFonts w:hint="eastAsia" w:ascii="宋体" w:hAnsi="宋体" w:eastAsia="方正楷体_GBK"/>
          <w:b/>
          <w:bCs/>
          <w:snapToGrid w:val="0"/>
          <w:kern w:val="0"/>
          <w:sz w:val="33"/>
          <w:szCs w:val="33"/>
        </w:rPr>
        <w:t>（预算管理一体化系统会计核算培训及运维费）</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2"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625"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③事</w:t>
            </w:r>
            <w:r>
              <w:rPr>
                <w:rFonts w:hint="eastAsia" w:ascii="宋体" w:hAnsi="宋体"/>
                <w:snapToGrid w:val="0"/>
                <w:spacing w:val="-6"/>
                <w:kern w:val="0"/>
                <w:szCs w:val="21"/>
              </w:rPr>
              <w:t>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128"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114"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04"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应到</w:t>
            </w:r>
            <w:r>
              <w:rPr>
                <w:rFonts w:hint="eastAsia" w:ascii="宋体" w:hAnsi="宋体"/>
                <w:snapToGrid w:val="0"/>
                <w:spacing w:val="-6"/>
                <w:kern w:val="0"/>
                <w:szCs w:val="21"/>
              </w:rPr>
              <w:t>位资金：按照合同或项目进度要求截至规定时点应落实到具体项目的资金。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065"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66"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29"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274"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保障预算一体化系统持续高效使用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86" w:hRule="atLeast"/>
        </w:trPr>
        <w:tc>
          <w:tcPr>
            <w:tcW w:w="3945" w:type="pct"/>
            <w:gridSpan w:val="5"/>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95</w:t>
            </w:r>
          </w:p>
        </w:tc>
        <w:tc>
          <w:tcPr>
            <w:tcW w:w="731" w:type="pct"/>
            <w:noWrap/>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附件6</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196"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548"/>
        <w:gridCol w:w="468"/>
        <w:gridCol w:w="295"/>
        <w:gridCol w:w="319"/>
        <w:gridCol w:w="504"/>
        <w:gridCol w:w="286"/>
        <w:gridCol w:w="864"/>
        <w:gridCol w:w="220"/>
        <w:gridCol w:w="934"/>
        <w:gridCol w:w="1003"/>
        <w:gridCol w:w="642"/>
        <w:gridCol w:w="1748"/>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0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488"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预算管理一体化系统会计核算培训及运维费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0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8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0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08"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8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0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0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43"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0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59"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0.35</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13" w:hRule="atLeast"/>
        </w:trPr>
        <w:tc>
          <w:tcPr>
            <w:tcW w:w="50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0.35</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24" w:hRule="atLeast"/>
        </w:trPr>
        <w:tc>
          <w:tcPr>
            <w:tcW w:w="50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20"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目标1：一体化系统正常使用</w:t>
            </w:r>
          </w:p>
        </w:tc>
        <w:tc>
          <w:tcPr>
            <w:tcW w:w="1320"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正常使用</w:t>
            </w: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0"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0"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0"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0"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0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4"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指标1：培训次数</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大于等于2次</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大于等于2次</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指标1：培训合格率</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指标1：经费到位及时性</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指标1：运维成本</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3500</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3500</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4"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指标1：运转和使用率</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90%</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90%</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指标1：内控机制完善性</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snapToGrid w:val="0"/>
                <w:kern w:val="0"/>
                <w:szCs w:val="21"/>
                <w:lang w:eastAsia="zh-CN"/>
              </w:rPr>
              <w:t>服务</w:t>
            </w:r>
            <w:r>
              <w:rPr>
                <w:rFonts w:hint="eastAsia" w:ascii="宋体" w:hAnsi="宋体"/>
                <w:snapToGrid w:val="0"/>
                <w:kern w:val="0"/>
                <w:szCs w:val="21"/>
              </w:rPr>
              <w:t>对象</w:t>
            </w:r>
          </w:p>
        </w:tc>
        <w:tc>
          <w:tcPr>
            <w:tcW w:w="621"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90%</w:t>
            </w: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满意度90%</w:t>
            </w: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附件7</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spacing w:val="-10"/>
          <w:kern w:val="0"/>
          <w:sz w:val="33"/>
          <w:szCs w:val="33"/>
        </w:rPr>
      </w:pPr>
      <w:r>
        <w:rPr>
          <w:rFonts w:hint="eastAsia" w:ascii="宋体" w:hAnsi="宋体" w:eastAsia="方正楷体_GBK"/>
          <w:b/>
          <w:bCs/>
          <w:snapToGrid w:val="0"/>
          <w:spacing w:val="-10"/>
          <w:kern w:val="0"/>
          <w:sz w:val="33"/>
          <w:szCs w:val="33"/>
        </w:rPr>
        <w:t>（全国、省、市人大代表到雁江开展质询、视察、调研工作经费）</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2"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09"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③事前是否已经过必要的可行性研究、专家论证、风险评估、集体决策等。（2分）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4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15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应</w:t>
            </w:r>
            <w:r>
              <w:rPr>
                <w:rFonts w:hint="eastAsia" w:ascii="宋体" w:hAnsi="宋体"/>
                <w:snapToGrid w:val="0"/>
                <w:spacing w:val="-6"/>
                <w:kern w:val="0"/>
                <w:szCs w:val="21"/>
              </w:rPr>
              <w:t>到位资金：按照合同或项目进度要求截至规定时点应落实到具体项目的资金。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205"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853"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29"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218"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86" w:hRule="atLeast"/>
        </w:trPr>
        <w:tc>
          <w:tcPr>
            <w:tcW w:w="3945" w:type="pct"/>
            <w:gridSpan w:val="5"/>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95</w:t>
            </w:r>
          </w:p>
        </w:tc>
        <w:tc>
          <w:tcPr>
            <w:tcW w:w="731" w:type="pct"/>
            <w:noWrap/>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附件8</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160"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547"/>
        <w:gridCol w:w="466"/>
        <w:gridCol w:w="296"/>
        <w:gridCol w:w="317"/>
        <w:gridCol w:w="508"/>
        <w:gridCol w:w="284"/>
        <w:gridCol w:w="867"/>
        <w:gridCol w:w="217"/>
        <w:gridCol w:w="936"/>
        <w:gridCol w:w="1002"/>
        <w:gridCol w:w="645"/>
        <w:gridCol w:w="1749"/>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75"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518"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全国、省、市人大代表到雁江开展质询、视察、调研工作经费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7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8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2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08"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8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2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75"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60"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4"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20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2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9"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24" w:hRule="atLeast"/>
        </w:trPr>
        <w:tc>
          <w:tcPr>
            <w:tcW w:w="47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3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29"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目标1：保障调研正常进行</w:t>
            </w:r>
          </w:p>
        </w:tc>
        <w:tc>
          <w:tcPr>
            <w:tcW w:w="1329"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顺利保障</w:t>
            </w: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9"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9"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9"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1"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9"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5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7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指标1：代表到访次数</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大于等于10次</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大于等于</w:t>
            </w:r>
            <w:r>
              <w:rPr>
                <w:rFonts w:hint="eastAsia" w:ascii="宋体" w:hAnsi="宋体"/>
                <w:snapToGrid w:val="0"/>
                <w:kern w:val="0"/>
                <w:szCs w:val="21"/>
              </w:rPr>
              <w:t>10次</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指标2：代表到访天数</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大于等于1天</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大于等于1天</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指标1：调研准确性</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指标1：代表到访及时性</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指标1：工作经费总和</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小于等于20万</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20万</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调研覆盖率</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指标1：内控机制完善性</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代表满意度</w:t>
            </w:r>
          </w:p>
        </w:tc>
        <w:tc>
          <w:tcPr>
            <w:tcW w:w="625"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90%</w:t>
            </w: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满意度90%</w:t>
            </w: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40"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bookmarkEnd w:id="126"/>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附件9</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kern w:val="0"/>
          <w:sz w:val="33"/>
          <w:szCs w:val="33"/>
        </w:rPr>
      </w:pPr>
      <w:r>
        <w:rPr>
          <w:rFonts w:hint="eastAsia" w:ascii="宋体" w:hAnsi="宋体" w:eastAsia="方正楷体_GBK"/>
          <w:b/>
          <w:bCs/>
          <w:snapToGrid w:val="0"/>
          <w:kern w:val="0"/>
          <w:sz w:val="33"/>
          <w:szCs w:val="33"/>
        </w:rPr>
        <w:t>（人大代表相关活动经费）</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 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2"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09"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③事前是否已经过必要的可行性研究、专家论证、风险评估、集体决策等。（2分）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4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15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9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016"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应到</w:t>
            </w:r>
            <w:r>
              <w:rPr>
                <w:rFonts w:hint="eastAsia" w:ascii="宋体" w:hAnsi="宋体"/>
                <w:snapToGrid w:val="0"/>
                <w:spacing w:val="-6"/>
                <w:kern w:val="0"/>
                <w:szCs w:val="21"/>
              </w:rPr>
              <w:t>位资金：按照合同或项目进度要求截至规定时点应落实到具体项目的资金。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11"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94"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35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9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86" w:hRule="atLeast"/>
        </w:trPr>
        <w:tc>
          <w:tcPr>
            <w:tcW w:w="3945" w:type="pct"/>
            <w:gridSpan w:val="5"/>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95</w:t>
            </w:r>
          </w:p>
        </w:tc>
        <w:tc>
          <w:tcPr>
            <w:tcW w:w="731" w:type="pct"/>
            <w:noWrap/>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附件10</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152"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547"/>
        <w:gridCol w:w="467"/>
        <w:gridCol w:w="296"/>
        <w:gridCol w:w="318"/>
        <w:gridCol w:w="505"/>
        <w:gridCol w:w="285"/>
        <w:gridCol w:w="865"/>
        <w:gridCol w:w="218"/>
        <w:gridCol w:w="934"/>
        <w:gridCol w:w="1004"/>
        <w:gridCol w:w="642"/>
        <w:gridCol w:w="174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6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525"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人大代表相关活动经费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68"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8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08"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8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2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6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64"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07" w:hRule="atLeast"/>
        </w:trPr>
        <w:tc>
          <w:tcPr>
            <w:tcW w:w="468"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5"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50</w:t>
            </w: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13" w:hRule="atLeast"/>
        </w:trPr>
        <w:tc>
          <w:tcPr>
            <w:tcW w:w="468"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w:t>
            </w: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1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24" w:hRule="atLeast"/>
        </w:trPr>
        <w:tc>
          <w:tcPr>
            <w:tcW w:w="468"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3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31"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目标1：提升代表履职能力</w:t>
            </w:r>
          </w:p>
        </w:tc>
        <w:tc>
          <w:tcPr>
            <w:tcW w:w="1331"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有提升</w:t>
            </w: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31"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31"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31"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33"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31"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6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68"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指标1：培训次数</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大于等于5次</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大于等于</w:t>
            </w:r>
            <w:r>
              <w:rPr>
                <w:rFonts w:hint="eastAsia" w:ascii="宋体" w:hAnsi="宋体"/>
                <w:snapToGrid w:val="0"/>
                <w:kern w:val="0"/>
                <w:szCs w:val="21"/>
              </w:rPr>
              <w:t>5次</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指标2：人大代表数量</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353</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353</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指标1：培训合格率</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指标2：培训活动内容契合度</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指标1：完成时间</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小于等于1年</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小于等于1年</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指标1：培训、视察集中活动等经费</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小于等于21.76万元</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小于等于21.76万元</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指标2：每名代表活动经费</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800元</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800元</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代表履职能力提升率</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大于等于20%</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大于等于20%</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培训制度健全性</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40"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代表满意度</w:t>
            </w:r>
          </w:p>
        </w:tc>
        <w:tc>
          <w:tcPr>
            <w:tcW w:w="626"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90%</w:t>
            </w: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满意度90%</w:t>
            </w: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6"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2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8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附件11</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kern w:val="0"/>
          <w:sz w:val="33"/>
          <w:szCs w:val="33"/>
        </w:rPr>
      </w:pPr>
      <w:r>
        <w:rPr>
          <w:rFonts w:hint="eastAsia" w:ascii="宋体" w:hAnsi="宋体" w:eastAsia="方正楷体_GBK"/>
          <w:b/>
          <w:bCs/>
          <w:snapToGrid w:val="0"/>
          <w:kern w:val="0"/>
          <w:sz w:val="33"/>
          <w:szCs w:val="33"/>
        </w:rPr>
        <w:t>（临聘人员工作经费）</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2"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09"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③事前是否已经过必要的可行性研究、专家论证、风险评估、集体决策等。（2分）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4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15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8"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应到</w:t>
            </w:r>
            <w:r>
              <w:rPr>
                <w:rFonts w:hint="eastAsia" w:ascii="宋体" w:hAnsi="宋体"/>
                <w:snapToGrid w:val="0"/>
                <w:spacing w:val="-6"/>
                <w:kern w:val="0"/>
                <w:szCs w:val="21"/>
              </w:rPr>
              <w:t>位资金：按照合同或项目进度要求截至规定时点应落实到具体项目的资金。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6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95"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966"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246"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204"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86" w:hRule="atLeast"/>
        </w:trPr>
        <w:tc>
          <w:tcPr>
            <w:tcW w:w="3945" w:type="pct"/>
            <w:gridSpan w:val="5"/>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90</w:t>
            </w:r>
          </w:p>
        </w:tc>
        <w:tc>
          <w:tcPr>
            <w:tcW w:w="731" w:type="pct"/>
            <w:noWrap/>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附件12</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214"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547"/>
        <w:gridCol w:w="469"/>
        <w:gridCol w:w="292"/>
        <w:gridCol w:w="320"/>
        <w:gridCol w:w="506"/>
        <w:gridCol w:w="282"/>
        <w:gridCol w:w="868"/>
        <w:gridCol w:w="215"/>
        <w:gridCol w:w="939"/>
        <w:gridCol w:w="1000"/>
        <w:gridCol w:w="64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470"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临聘人员工作经费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8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05"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8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05"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34"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30"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7"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4.2</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30"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4.2</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6"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30"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1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目标1：保障临聘人员工资发放</w:t>
            </w: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9"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6"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30"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指标1：发放人数</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指标1：发放准确率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指标1：发放及时率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指标1：工资发放额</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小于等于3500元</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小于等于3500元</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工资应发尽发率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100%</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制度健全性</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临聘人员满意度</w:t>
            </w:r>
          </w:p>
        </w:tc>
        <w:tc>
          <w:tcPr>
            <w:tcW w:w="619"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99%</w:t>
            </w: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满意度99%</w:t>
            </w: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0"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3"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6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附件13</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kern w:val="0"/>
          <w:sz w:val="33"/>
          <w:szCs w:val="33"/>
        </w:rPr>
      </w:pPr>
      <w:r>
        <w:rPr>
          <w:rFonts w:hint="eastAsia" w:ascii="宋体" w:hAnsi="宋体" w:eastAsia="方正楷体_GBK"/>
          <w:b/>
          <w:bCs/>
          <w:snapToGrid w:val="0"/>
          <w:kern w:val="0"/>
          <w:sz w:val="33"/>
          <w:szCs w:val="33"/>
        </w:rPr>
        <w:t>（今冬明春慰问经费）</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0"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09" w:hRule="atLeast"/>
        </w:trPr>
        <w:tc>
          <w:tcPr>
            <w:tcW w:w="351"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③事前是否已经过必要的可行性研究、专家论证、风险评估、集体决策等。（2分）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47"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152"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72"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90"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50" w:lineRule="exact"/>
              <w:rPr>
                <w:rFonts w:ascii="宋体" w:hAnsi="宋体"/>
                <w:snapToGrid w:val="0"/>
                <w:kern w:val="0"/>
                <w:szCs w:val="21"/>
              </w:rPr>
            </w:pPr>
            <w:r>
              <w:rPr>
                <w:rFonts w:hint="eastAsia" w:ascii="宋体" w:hAnsi="宋体"/>
                <w:snapToGrid w:val="0"/>
                <w:kern w:val="0"/>
                <w:szCs w:val="21"/>
              </w:rPr>
              <w:t>应</w:t>
            </w:r>
            <w:r>
              <w:rPr>
                <w:rFonts w:hint="eastAsia" w:ascii="宋体" w:hAnsi="宋体"/>
                <w:snapToGrid w:val="0"/>
                <w:spacing w:val="-6"/>
                <w:kern w:val="0"/>
                <w:szCs w:val="21"/>
              </w:rPr>
              <w:t>到位资金：按照合同或项目进度要求截至规定时点应落实到具体项目的资金</w:t>
            </w:r>
            <w:r>
              <w:rPr>
                <w:rFonts w:hint="eastAsia" w:ascii="宋体" w:hAnsi="宋体"/>
                <w:snapToGrid w:val="0"/>
                <w:kern w:val="0"/>
                <w:szCs w:val="21"/>
              </w:rPr>
              <w:t>。</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1"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758" w:hRule="atLeast"/>
        </w:trPr>
        <w:tc>
          <w:tcPr>
            <w:tcW w:w="351"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008"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441"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34"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1"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0"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0"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0"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0"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附件14</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215"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546"/>
        <w:gridCol w:w="468"/>
        <w:gridCol w:w="294"/>
        <w:gridCol w:w="319"/>
        <w:gridCol w:w="506"/>
        <w:gridCol w:w="285"/>
        <w:gridCol w:w="865"/>
        <w:gridCol w:w="217"/>
        <w:gridCol w:w="935"/>
        <w:gridCol w:w="1002"/>
        <w:gridCol w:w="645"/>
        <w:gridCol w:w="174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2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471"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今冬明春慰问经费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2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7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04"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08"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7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04"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trPr>
        <w:tc>
          <w:tcPr>
            <w:tcW w:w="52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33"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07" w:hRule="atLeast"/>
        </w:trPr>
        <w:tc>
          <w:tcPr>
            <w:tcW w:w="52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7"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1.05</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13" w:hRule="atLeast"/>
        </w:trPr>
        <w:tc>
          <w:tcPr>
            <w:tcW w:w="52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1.05</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98"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24" w:hRule="atLeast"/>
        </w:trPr>
        <w:tc>
          <w:tcPr>
            <w:tcW w:w="52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18"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8"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目标1：慰问困难群众</w:t>
            </w: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8"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8"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8"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67"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18"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5"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3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2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2"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指标1：慰问户数</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大于等于20</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大于等于</w:t>
            </w:r>
            <w:r>
              <w:rPr>
                <w:rFonts w:hint="eastAsia" w:ascii="宋体" w:hAnsi="宋体"/>
                <w:snapToGrid w:val="0"/>
                <w:kern w:val="0"/>
                <w:szCs w:val="21"/>
              </w:rPr>
              <w:t>20</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指标1：慰问准确率</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指标1：慰问及时率</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指标1：慰问标准</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300元/户</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300元/户</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慰问覆盖率</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大于等于80%</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大于等于80%</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5"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群众满意度</w:t>
            </w:r>
          </w:p>
        </w:tc>
        <w:tc>
          <w:tcPr>
            <w:tcW w:w="618"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90%</w:t>
            </w: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满意度90%</w:t>
            </w: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2"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仿宋_GBK"/>
          <w:snapToGrid w:val="0"/>
          <w:kern w:val="0"/>
          <w:sz w:val="33"/>
          <w:szCs w:val="33"/>
        </w:rPr>
      </w:pPr>
    </w:p>
    <w:p>
      <w:pPr>
        <w:pStyle w:val="2"/>
        <w:adjustRightInd w:val="0"/>
        <w:snapToGrid w:val="0"/>
        <w:spacing w:before="93" w:line="590" w:lineRule="exact"/>
        <w:rPr>
          <w:rFonts w:ascii="宋体" w:hAnsi="宋体" w:eastAsia="方正仿宋_GBK"/>
          <w:snapToGrid w:val="0"/>
          <w:sz w:val="33"/>
          <w:szCs w:val="33"/>
        </w:rPr>
      </w:pPr>
    </w:p>
    <w:p>
      <w:pPr>
        <w:pStyle w:val="2"/>
        <w:adjustRightInd w:val="0"/>
        <w:snapToGrid w:val="0"/>
        <w:spacing w:before="93" w:line="590" w:lineRule="exact"/>
        <w:rPr>
          <w:rFonts w:ascii="宋体" w:hAnsi="宋体" w:eastAsia="方正仿宋_GBK"/>
          <w:snapToGrid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附件15</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kern w:val="0"/>
          <w:sz w:val="33"/>
          <w:szCs w:val="33"/>
        </w:rPr>
      </w:pPr>
      <w:r>
        <w:rPr>
          <w:rFonts w:hint="eastAsia" w:ascii="宋体" w:hAnsi="宋体" w:eastAsia="方正楷体_GBK"/>
          <w:b/>
          <w:bCs/>
          <w:snapToGrid w:val="0"/>
          <w:kern w:val="0"/>
          <w:sz w:val="33"/>
          <w:szCs w:val="33"/>
        </w:rPr>
        <w:t>（建国初期参加革命工作生活不能自理人员困难补助）</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2"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09"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③事前是否已经过必要的可行性研究、专家论证、风险评估、集体决策等。（2分）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0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0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应到位</w:t>
            </w:r>
            <w:r>
              <w:rPr>
                <w:rFonts w:hint="eastAsia" w:ascii="宋体" w:hAnsi="宋体"/>
                <w:snapToGrid w:val="0"/>
                <w:spacing w:val="-6"/>
                <w:kern w:val="0"/>
                <w:szCs w:val="21"/>
              </w:rPr>
              <w:t>资金：按照合同或项目进度要求截至规定时点应落实到具体项目的资金。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64"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744"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06"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386"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161"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86" w:hRule="atLeast"/>
        </w:trPr>
        <w:tc>
          <w:tcPr>
            <w:tcW w:w="3945" w:type="pct"/>
            <w:gridSpan w:val="5"/>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90</w:t>
            </w:r>
          </w:p>
        </w:tc>
        <w:tc>
          <w:tcPr>
            <w:tcW w:w="731" w:type="pct"/>
            <w:noWrap/>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附件16</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182" w:type="pct"/>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546"/>
        <w:gridCol w:w="468"/>
        <w:gridCol w:w="294"/>
        <w:gridCol w:w="318"/>
        <w:gridCol w:w="506"/>
        <w:gridCol w:w="284"/>
        <w:gridCol w:w="867"/>
        <w:gridCol w:w="216"/>
        <w:gridCol w:w="936"/>
        <w:gridCol w:w="1001"/>
        <w:gridCol w:w="644"/>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497"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b/>
                <w:bCs/>
                <w:snapToGrid w:val="0"/>
                <w:kern w:val="0"/>
                <w:szCs w:val="21"/>
              </w:rPr>
              <w:t>建国初期参加革命工作生活不能自理人员困难补助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8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14"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8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14"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49"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0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1"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0.24</w:t>
            </w: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0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0.24</w:t>
            </w: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52"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4"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6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5"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0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2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23"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目标1：保障人员生活补助发放</w:t>
            </w:r>
          </w:p>
        </w:tc>
        <w:tc>
          <w:tcPr>
            <w:tcW w:w="1323"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3"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3"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3"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23"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8"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0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4"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指标1：补助困难人员数量</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指标1：补助发放准确率</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指标1：发放及时率</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指标1：发放标准</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200元/人*月</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200元/人*月</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4"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应补尽补率</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100%</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 制度健全性</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7"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困难人员满意度</w:t>
            </w:r>
          </w:p>
        </w:tc>
        <w:tc>
          <w:tcPr>
            <w:tcW w:w="622"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100%</w:t>
            </w: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满意度100%</w:t>
            </w: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4"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7"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7"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22"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1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3"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附件17</w:t>
      </w:r>
    </w:p>
    <w:p>
      <w:pPr>
        <w:adjustRightInd w:val="0"/>
        <w:snapToGrid w:val="0"/>
        <w:spacing w:beforeLines="30" w:afterLines="30" w:line="590" w:lineRule="exact"/>
        <w:jc w:val="center"/>
        <w:rPr>
          <w:rFonts w:ascii="宋体" w:hAnsi="宋体" w:eastAsia="方正小标宋_GBK"/>
          <w:bCs/>
          <w:snapToGrid w:val="0"/>
          <w:kern w:val="0"/>
          <w:sz w:val="44"/>
          <w:szCs w:val="44"/>
        </w:rPr>
      </w:pPr>
      <w:r>
        <w:rPr>
          <w:rFonts w:hint="eastAsia" w:ascii="宋体" w:hAnsi="宋体" w:eastAsia="方正小标宋_GBK"/>
          <w:bCs/>
          <w:snapToGrid w:val="0"/>
          <w:kern w:val="0"/>
          <w:sz w:val="44"/>
          <w:szCs w:val="44"/>
        </w:rPr>
        <w:t>2022年度雁江区项目支出绩效自评计分表</w:t>
      </w:r>
    </w:p>
    <w:p>
      <w:pPr>
        <w:adjustRightInd w:val="0"/>
        <w:snapToGrid w:val="0"/>
        <w:spacing w:line="590" w:lineRule="exact"/>
        <w:jc w:val="center"/>
        <w:rPr>
          <w:rFonts w:ascii="宋体" w:hAnsi="宋体" w:eastAsia="方正楷体_GBK"/>
          <w:b/>
          <w:bCs/>
          <w:snapToGrid w:val="0"/>
          <w:kern w:val="0"/>
          <w:sz w:val="33"/>
          <w:szCs w:val="33"/>
        </w:rPr>
      </w:pPr>
      <w:r>
        <w:rPr>
          <w:rFonts w:hint="eastAsia" w:ascii="宋体" w:hAnsi="宋体" w:eastAsia="方正楷体_GBK"/>
          <w:b/>
          <w:bCs/>
          <w:snapToGrid w:val="0"/>
          <w:kern w:val="0"/>
          <w:sz w:val="33"/>
          <w:szCs w:val="33"/>
        </w:rPr>
        <w:t>（预算联网监督平台运行经费）</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 xml:space="preserve">预算单位名称：资阳市雁江区人大常委会办公室     </w:t>
      </w:r>
    </w:p>
    <w:p>
      <w:pPr>
        <w:adjustRightInd w:val="0"/>
        <w:snapToGrid w:val="0"/>
        <w:spacing w:line="400" w:lineRule="exact"/>
        <w:rPr>
          <w:rFonts w:ascii="宋体" w:hAnsi="宋体" w:eastAsia="方正黑体_GBK"/>
          <w:bCs/>
          <w:snapToGrid w:val="0"/>
          <w:kern w:val="0"/>
          <w:sz w:val="24"/>
        </w:rPr>
      </w:pPr>
      <w:r>
        <w:rPr>
          <w:rFonts w:hint="eastAsia" w:ascii="宋体" w:hAnsi="宋体" w:eastAsia="方正黑体_GBK"/>
          <w:bCs/>
          <w:snapToGrid w:val="0"/>
          <w:kern w:val="0"/>
          <w:sz w:val="24"/>
        </w:rPr>
        <w:t>预算单位编码：110001   自评等级：优</w:t>
      </w:r>
    </w:p>
    <w:tbl>
      <w:tblPr>
        <w:tblStyle w:val="22"/>
        <w:tblW w:w="5457" w:type="pc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44"/>
        <w:gridCol w:w="607"/>
        <w:gridCol w:w="816"/>
        <w:gridCol w:w="1669"/>
        <w:gridCol w:w="3495"/>
        <w:gridCol w:w="594"/>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55" w:hRule="atLeast"/>
          <w:tblHeader/>
        </w:trPr>
        <w:tc>
          <w:tcPr>
            <w:tcW w:w="352"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一级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3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二级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445"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三级</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w:t>
            </w:r>
          </w:p>
        </w:tc>
        <w:tc>
          <w:tcPr>
            <w:tcW w:w="91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指标解释</w:t>
            </w:r>
          </w:p>
        </w:tc>
        <w:tc>
          <w:tcPr>
            <w:tcW w:w="1907"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指标说明（评价计分标准）</w:t>
            </w:r>
          </w:p>
        </w:tc>
        <w:tc>
          <w:tcPr>
            <w:tcW w:w="324"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分数</w:t>
            </w:r>
          </w:p>
        </w:tc>
        <w:tc>
          <w:tcPr>
            <w:tcW w:w="731" w:type="pct"/>
            <w:shd w:val="clear" w:color="auto" w:fill="FFFFFF"/>
            <w:vAlign w:val="center"/>
          </w:tcPr>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自评依据</w:t>
            </w:r>
          </w:p>
          <w:p>
            <w:pPr>
              <w:adjustRightInd w:val="0"/>
              <w:snapToGrid w:val="0"/>
              <w:spacing w:line="280" w:lineRule="exact"/>
              <w:jc w:val="center"/>
              <w:rPr>
                <w:rFonts w:ascii="宋体" w:hAnsi="宋体"/>
                <w:b/>
                <w:bCs/>
                <w:snapToGrid w:val="0"/>
                <w:kern w:val="0"/>
                <w:szCs w:val="21"/>
              </w:rPr>
            </w:pPr>
            <w:r>
              <w:rPr>
                <w:rFonts w:hint="eastAsia" w:ascii="宋体" w:hAnsi="宋体"/>
                <w:b/>
                <w:bCs/>
                <w:snapToGrid w:val="0"/>
                <w:kern w:val="0"/>
                <w:szCs w:val="21"/>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09"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投   入（25分）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立项（15分）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项目立项规范性（5分）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项目的申请、设立过程是否符合相关要求，用以反映和考核项目立项的规范情况。</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①项目是否按照规定的程序申请设立；（1分）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②所提交的文件、材料是否符合相关要求；（2分）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③事前是否已经过必要的可行性研究、专家论证、风险评估、集体决策等。（2分）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项目申请、设立符合要求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10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绩效目标合理性（4分）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项目所设定的绩效目标是否依据充分，是否符合客观实际，用以反映和考核项目绩效目标与项目实施的相符情况。</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①是否符合国家相关法律法规、国民经济发展规划和</w:t>
            </w:r>
            <w:r>
              <w:rPr>
                <w:rFonts w:hint="eastAsia" w:ascii="宋体" w:hAnsi="宋体"/>
                <w:snapToGrid w:val="0"/>
                <w:kern w:val="0"/>
                <w:szCs w:val="21"/>
                <w:lang w:eastAsia="zh-CN"/>
              </w:rPr>
              <w:t>党委、政府</w:t>
            </w:r>
            <w:r>
              <w:rPr>
                <w:rFonts w:hint="eastAsia" w:ascii="宋体" w:hAnsi="宋体"/>
                <w:snapToGrid w:val="0"/>
                <w:kern w:val="0"/>
                <w:szCs w:val="21"/>
              </w:rPr>
              <w:t>决策；（1分）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②是否与项目实施单位或委托单位职责密切相关；（1分）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③项目是否为促进事业发展所必需；（1分）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④项目预期产出效益和效果是否符合正常的业绩水平。（1分）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项目所设定的绩效目标符合客观实际，项目是促进事业发展所必需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15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绩效指标明确性（6分）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依据绩效目标设定的绩效指标是否清晰、细化、可衡量等，用以反映和考核项目绩效目标的明细化情况。</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①是否将项目绩效目标细化分解为具体的绩效指标；（2分）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②是否通过清晰、可衡量的指标值予以体现；（1分）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③是否与项目年度任务数或计划数相对应；（1分）</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④是否与预算确定的项目投资额或资金量相匹配。（2分）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已将项目绩效目标细化分解，指标值清晰、可衡量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落实（10分）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实际到位资金与计划投入资金的比率，用以反映和考核资金落实情况对项目实施的总体保障程度。</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资金到位率=（实际到位资金/计划投入资金）×100%。（达到目标值得5分，每少一个百分点扣1分，扣完为止）</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实际到位资金：一定时期（本年度或项目期）内实际落实到具体项目的资金。</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计划投入资金：一定时期（本年度或项目期）内计划投入到具体项目的资金。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8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及时到位资金与应到位资金的比率，用以反映和考核项目资金落实的及时性程度。</w:t>
            </w:r>
          </w:p>
        </w:tc>
        <w:tc>
          <w:tcPr>
            <w:tcW w:w="1907" w:type="pct"/>
            <w:shd w:val="clear" w:color="auto" w:fill="FFFFFF"/>
            <w:vAlign w:val="center"/>
          </w:tcPr>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到位及时率=（及时到位资金/应到位资金）×100%。（达到目标值得5分，每少一个百分点扣1分，扣完为止）</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及时到位资金：截至规定时点实际落实到具体项目的资金。</w:t>
            </w:r>
          </w:p>
          <w:p>
            <w:pPr>
              <w:adjustRightInd w:val="0"/>
              <w:snapToGrid w:val="0"/>
              <w:spacing w:line="248" w:lineRule="exact"/>
              <w:rPr>
                <w:rFonts w:ascii="宋体" w:hAnsi="宋体"/>
                <w:snapToGrid w:val="0"/>
                <w:kern w:val="0"/>
                <w:szCs w:val="21"/>
              </w:rPr>
            </w:pPr>
            <w:r>
              <w:rPr>
                <w:rFonts w:hint="eastAsia" w:ascii="宋体" w:hAnsi="宋体"/>
                <w:snapToGrid w:val="0"/>
                <w:kern w:val="0"/>
                <w:szCs w:val="21"/>
              </w:rPr>
              <w:t>应到</w:t>
            </w:r>
            <w:r>
              <w:rPr>
                <w:rFonts w:hint="eastAsia" w:ascii="宋体" w:hAnsi="宋体"/>
                <w:snapToGrid w:val="0"/>
                <w:spacing w:val="-6"/>
                <w:kern w:val="0"/>
                <w:szCs w:val="21"/>
              </w:rPr>
              <w:t>位资金：按照合同或项目进度要求截至规定时点应落实到具体项目的资金。</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到位及时率100%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18"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过   程（25分）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业务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管理（13分）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管理制度健全性（4分）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项目实施单位的业务管理制度是否健全，用以反映和考核业务管理制度对项目顺利实施的保障情况。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①是否已制定或具有相应的业务管理制度；（2分）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②业务管理制度是否合法、合规、完整。（2分）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制定了相关制度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1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制度执行有效性（6分）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项目实施是否符合相关业务管理规定，用以反映和考核业务管理制度的有效执行情况。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①是否遵守相关法律法规和业务管理规定；（1分）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②项目调整及支出调整手续是否完备；（1分）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③项目合同书、验收报告、技术鉴定等资料是否齐全并及时归档；（2分）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④项目实施的人员条件、场地设备、信息支撑等是否落实到位。（2分）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项目实施符合相关规定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8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项目质量可控性（3分）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项目实施单位是否为达到项目质量要求而采取了必需的措施，用以反映和考核项目实施单位对项目质量的控制情况。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①是否已制定或具有相应的项目质量要求或标准；（1分）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②是否采取了相应的项目质量检查、验收等必需的控制措施或手段。（2分）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60" w:lineRule="exact"/>
              <w:jc w:val="center"/>
              <w:rPr>
                <w:rFonts w:ascii="宋体" w:hAnsi="宋体"/>
                <w:snapToGrid w:val="0"/>
                <w:kern w:val="0"/>
                <w:szCs w:val="21"/>
              </w:rPr>
            </w:pPr>
            <w:r>
              <w:rPr>
                <w:rFonts w:hint="eastAsia" w:ascii="宋体" w:hAnsi="宋体"/>
                <w:snapToGrid w:val="0"/>
                <w:kern w:val="0"/>
                <w:szCs w:val="21"/>
              </w:rPr>
              <w:t>已制定相应的项目质量要求和标准，印发全年的重点任务清单，按照清单分月推进，年终验收考核。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33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管理（12分）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管理制度健全性（3分）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项目实施单位的财务制度是否健全，用以反映和考核财务管理制度对资金规范、安全运行的保障情况。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①是否已制定或具有相应的项目资金管理办法；（2分）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②项目资金管理办法是否符合相关财务会计制度的规定。（1分）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92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资金使用合规性（7分）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项目资金使用是否符合相关的财务管理制度规定，用以反映和考核项目资金的规范运行情况。</w:t>
            </w:r>
          </w:p>
        </w:tc>
        <w:tc>
          <w:tcPr>
            <w:tcW w:w="1907" w:type="pct"/>
            <w:shd w:val="clear" w:color="auto" w:fill="FFFFFF"/>
            <w:vAlign w:val="center"/>
          </w:tcPr>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①是否符合国家财经法规和财务管理制度以及有关专项资金管理办法的规定；（1分）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②资金的拨付是否有完整的审批程序和手续；（2分）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③项目的重大开支是否经过评估认证；（1分）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④是否符合项目预算批复或合同规定的用途；（1分）</w:t>
            </w:r>
          </w:p>
          <w:p>
            <w:pPr>
              <w:adjustRightInd w:val="0"/>
              <w:snapToGrid w:val="0"/>
              <w:spacing w:line="260" w:lineRule="exact"/>
              <w:rPr>
                <w:rFonts w:ascii="宋体" w:hAnsi="宋体"/>
                <w:snapToGrid w:val="0"/>
                <w:kern w:val="0"/>
                <w:szCs w:val="21"/>
              </w:rPr>
            </w:pPr>
            <w:r>
              <w:rPr>
                <w:rFonts w:hint="eastAsia" w:ascii="宋体" w:hAnsi="宋体"/>
                <w:snapToGrid w:val="0"/>
                <w:kern w:val="0"/>
                <w:szCs w:val="21"/>
              </w:rPr>
              <w:t>⑤是否存在截留、挤占、挪用、虚列支出等情况。（2分）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严格按照财务管理办法执行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095"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财务监控有效性（2分）</w:t>
            </w:r>
          </w:p>
        </w:tc>
        <w:tc>
          <w:tcPr>
            <w:tcW w:w="911"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项目实施单位是否为保障资金的安全、规范运行而采取了必要的监控措施，用以反映和考核项目实施单位对资金运行的控制情况。</w:t>
            </w:r>
          </w:p>
        </w:tc>
        <w:tc>
          <w:tcPr>
            <w:tcW w:w="1907" w:type="pct"/>
            <w:shd w:val="clear" w:color="auto" w:fill="FFFFFF"/>
            <w:vAlign w:val="center"/>
          </w:tcPr>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①是否已制定或具有相应的监控机制；（1分）</w:t>
            </w:r>
          </w:p>
          <w:p>
            <w:pPr>
              <w:adjustRightInd w:val="0"/>
              <w:snapToGrid w:val="0"/>
              <w:spacing w:line="270" w:lineRule="exact"/>
              <w:rPr>
                <w:rFonts w:ascii="宋体" w:hAnsi="宋体"/>
                <w:snapToGrid w:val="0"/>
                <w:kern w:val="0"/>
                <w:szCs w:val="21"/>
              </w:rPr>
            </w:pPr>
            <w:r>
              <w:rPr>
                <w:rFonts w:hint="eastAsia" w:ascii="宋体" w:hAnsi="宋体"/>
                <w:snapToGrid w:val="0"/>
                <w:kern w:val="0"/>
                <w:szCs w:val="21"/>
              </w:rPr>
              <w:t>②是否采取了相应的财务检查等必要的监控措施或手段。（1分）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2</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已制定内控管理制度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266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   出（20分）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产出（20分）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实际完成率（4分）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项目实施的实际产出数与计划产出数的比率，用以反映和考核项目产出数量目标的实现程度。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实际完成率=（实际产出数/计划产出数）×100%。（得分=实际完成率*4分）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实际产出数：一定时期（本年度或项目期）内项目实际产出的产品或提供的服务数量。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计划产出数：项目绩效目标确定的在一定时期（本年度或项目期）内计划产出的产品或提供的服务数量。</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4</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078"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完成及时率（6分）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项目实际提前完成时间与计划完成时间的比率，用以反映和考核项目产出时效目标的实现程度。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完成及时率=[（计划完成时间-实际完成时间）/计划完成时间]×100%。（1--4季度各得1.5分）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实际完成时间：项目实施单位完成该项目实际所耗用的时间。</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计划完成时间：按照项目实施计划或相关规定完成该项目所需的时间。</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6</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按时完成项目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372"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质量达标率（5分）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项目完成的质量达标产出数与实际产出数的比率，用以反映和考核项目产出质量目标的实现程度。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质量达标率=（质量达标产出数/实际产出数）×100%。（得分=达标率*5分）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质量达标产出数：一定时期（本年度或项目期）内实际达到既定质量标准的产品或服务数量。</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既定质量标准是指项目实施单位设立绩效目标时依据计划标准、行业标准、历史标准或其他标准而设定的绩效指标值。</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项目完成质量达到设定的绩效指标值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3218"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成本节约率（5分）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完成项目计划工作目标的实际节约成本与计划成本的比率，用以反映和考核项目的成本节约程度。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成本节约率=[（计划成本-实际成本）/计划成本]×100%。（节约的计5分，增加的按比例扣分）</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实际成本：项目实施单位如期、保质、保量完成既定工作目标实际所耗费的支出。</w:t>
            </w:r>
          </w:p>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计划成本：项目实施单位为完成工作目标计划安排的支出，一般以项目预算为参考。</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完成工作目标计划安排的支出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570" w:hRule="atLeast"/>
        </w:trPr>
        <w:tc>
          <w:tcPr>
            <w:tcW w:w="352" w:type="pct"/>
            <w:vMerge w:val="restart"/>
            <w:shd w:val="clear" w:color="auto" w:fill="FFFFFF"/>
            <w:noWrap/>
            <w:textDirection w:val="tbRlV"/>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   果（30分）</w:t>
            </w:r>
          </w:p>
        </w:tc>
        <w:tc>
          <w:tcPr>
            <w:tcW w:w="331" w:type="pct"/>
            <w:vMerge w:val="restar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效益（30分）</w:t>
            </w: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项目实施对经济发展所带来的直接或间接影响情况。</w:t>
            </w:r>
          </w:p>
        </w:tc>
        <w:tc>
          <w:tcPr>
            <w:tcW w:w="1907" w:type="pct"/>
            <w:vMerge w:val="restar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项目实施对社会发展所带来的直接或间接影响情况。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30"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项目实施对生态环境所带来的直接或间接影响情况。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0</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可持续影响（5分）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项目后续运行及成效发挥的可持续影响情况。</w:t>
            </w:r>
          </w:p>
        </w:tc>
        <w:tc>
          <w:tcPr>
            <w:tcW w:w="1907" w:type="pct"/>
            <w:vMerge w:val="continue"/>
            <w:vAlign w:val="center"/>
          </w:tcPr>
          <w:p>
            <w:pPr>
              <w:adjustRightInd w:val="0"/>
              <w:snapToGrid w:val="0"/>
              <w:spacing w:line="280" w:lineRule="exact"/>
              <w:rPr>
                <w:rFonts w:ascii="宋体" w:hAnsi="宋体"/>
                <w:snapToGrid w:val="0"/>
                <w:kern w:val="0"/>
                <w:szCs w:val="21"/>
              </w:rPr>
            </w:pP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w:t>
            </w:r>
          </w:p>
        </w:tc>
        <w:tc>
          <w:tcPr>
            <w:tcW w:w="731" w:type="pct"/>
            <w:noWrap/>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77" w:hRule="atLeast"/>
        </w:trPr>
        <w:tc>
          <w:tcPr>
            <w:tcW w:w="352"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331" w:type="pct"/>
            <w:vMerge w:val="continue"/>
            <w:shd w:val="clear" w:color="auto" w:fill="auto"/>
            <w:vAlign w:val="center"/>
          </w:tcPr>
          <w:p>
            <w:pPr>
              <w:adjustRightInd w:val="0"/>
              <w:snapToGrid w:val="0"/>
              <w:spacing w:line="280" w:lineRule="exact"/>
              <w:jc w:val="center"/>
              <w:rPr>
                <w:rFonts w:ascii="宋体" w:hAnsi="宋体"/>
                <w:snapToGrid w:val="0"/>
                <w:kern w:val="0"/>
                <w:szCs w:val="21"/>
              </w:rPr>
            </w:pPr>
          </w:p>
        </w:tc>
        <w:tc>
          <w:tcPr>
            <w:tcW w:w="445" w:type="pct"/>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社会公众或服务对象满意度（10分）</w:t>
            </w:r>
          </w:p>
        </w:tc>
        <w:tc>
          <w:tcPr>
            <w:tcW w:w="911"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社会公众或服务对象对项目实施效果的满意程度。</w:t>
            </w:r>
          </w:p>
        </w:tc>
        <w:tc>
          <w:tcPr>
            <w:tcW w:w="1907" w:type="pct"/>
            <w:shd w:val="clear" w:color="auto" w:fill="FFFFFF"/>
            <w:vAlign w:val="center"/>
          </w:tcPr>
          <w:p>
            <w:pPr>
              <w:adjustRightInd w:val="0"/>
              <w:snapToGrid w:val="0"/>
              <w:spacing w:line="280" w:lineRule="exact"/>
              <w:rPr>
                <w:rFonts w:ascii="宋体" w:hAnsi="宋体"/>
                <w:snapToGrid w:val="0"/>
                <w:kern w:val="0"/>
                <w:szCs w:val="21"/>
              </w:rPr>
            </w:pPr>
            <w:r>
              <w:rPr>
                <w:rFonts w:hint="eastAsia" w:ascii="宋体" w:hAnsi="宋体"/>
                <w:snapToGrid w:val="0"/>
                <w:kern w:val="0"/>
                <w:szCs w:val="21"/>
              </w:rPr>
              <w:t>社会公众或服务对象是指因该项目实施而受到影响的部门（单位）、群体或个人。一般采取社会调查的方式。（按收到的服务对象的满意率计算得分）</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w:t>
            </w:r>
          </w:p>
        </w:tc>
        <w:tc>
          <w:tcPr>
            <w:tcW w:w="731"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686" w:hRule="atLeast"/>
        </w:trPr>
        <w:tc>
          <w:tcPr>
            <w:tcW w:w="3945" w:type="pct"/>
            <w:gridSpan w:val="5"/>
            <w:shd w:val="clear" w:color="auto" w:fill="FFFFFF"/>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324" w:type="pct"/>
            <w:noWrap/>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90</w:t>
            </w:r>
          </w:p>
        </w:tc>
        <w:tc>
          <w:tcPr>
            <w:tcW w:w="731" w:type="pct"/>
            <w:noWrap/>
            <w:vAlign w:val="center"/>
          </w:tcPr>
          <w:p>
            <w:pPr>
              <w:adjustRightInd w:val="0"/>
              <w:snapToGrid w:val="0"/>
              <w:spacing w:line="280" w:lineRule="exact"/>
              <w:jc w:val="center"/>
              <w:rPr>
                <w:rFonts w:ascii="宋体" w:hAnsi="宋体"/>
                <w:snapToGrid w:val="0"/>
                <w:kern w:val="0"/>
                <w:szCs w:val="21"/>
              </w:rPr>
            </w:pPr>
          </w:p>
        </w:tc>
      </w:tr>
    </w:tbl>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仿宋_GBK"/>
          <w:snapToGrid w:val="0"/>
          <w:kern w:val="0"/>
          <w:sz w:val="33"/>
          <w:szCs w:val="33"/>
        </w:rPr>
      </w:pPr>
    </w:p>
    <w:p>
      <w:pPr>
        <w:adjustRightInd w:val="0"/>
        <w:snapToGrid w:val="0"/>
        <w:spacing w:line="590" w:lineRule="exact"/>
        <w:rPr>
          <w:rFonts w:ascii="宋体" w:hAnsi="宋体" w:eastAsia="方正黑体_GBK"/>
          <w:snapToGrid w:val="0"/>
          <w:kern w:val="0"/>
          <w:sz w:val="33"/>
          <w:szCs w:val="33"/>
        </w:rPr>
      </w:pPr>
      <w:r>
        <w:rPr>
          <w:rFonts w:hint="eastAsia" w:ascii="宋体" w:hAnsi="宋体" w:eastAsia="方正黑体_GBK"/>
          <w:snapToGrid w:val="0"/>
          <w:kern w:val="0"/>
          <w:sz w:val="33"/>
          <w:szCs w:val="33"/>
        </w:rPr>
        <w:t>附件18</w:t>
      </w:r>
    </w:p>
    <w:p>
      <w:pPr>
        <w:adjustRightInd w:val="0"/>
        <w:snapToGrid w:val="0"/>
        <w:spacing w:beforeLines="30" w:afterLines="30" w:line="590" w:lineRule="exact"/>
        <w:jc w:val="center"/>
        <w:rPr>
          <w:rFonts w:ascii="宋体" w:hAnsi="宋体" w:eastAsia="方正小标宋_GBK"/>
          <w:bCs/>
          <w:snapToGrid w:val="0"/>
          <w:spacing w:val="-10"/>
          <w:kern w:val="0"/>
          <w:sz w:val="44"/>
          <w:szCs w:val="44"/>
        </w:rPr>
      </w:pPr>
      <w:r>
        <w:rPr>
          <w:rFonts w:hint="eastAsia" w:ascii="宋体" w:hAnsi="宋体" w:eastAsia="方正小标宋_GBK"/>
          <w:bCs/>
          <w:snapToGrid w:val="0"/>
          <w:spacing w:val="-10"/>
          <w:kern w:val="0"/>
          <w:sz w:val="44"/>
          <w:szCs w:val="44"/>
        </w:rPr>
        <w:t>2022年度雁江区项目支出绩效目标完成情况表</w:t>
      </w:r>
    </w:p>
    <w:tbl>
      <w:tblPr>
        <w:tblStyle w:val="22"/>
        <w:tblW w:w="52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7"/>
        <w:gridCol w:w="467"/>
        <w:gridCol w:w="296"/>
        <w:gridCol w:w="318"/>
        <w:gridCol w:w="505"/>
        <w:gridCol w:w="287"/>
        <w:gridCol w:w="864"/>
        <w:gridCol w:w="219"/>
        <w:gridCol w:w="934"/>
        <w:gridCol w:w="1004"/>
        <w:gridCol w:w="642"/>
        <w:gridCol w:w="174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jc w:val="center"/>
        </w:trPr>
        <w:tc>
          <w:tcPr>
            <w:tcW w:w="515"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名称</w:t>
            </w:r>
          </w:p>
        </w:tc>
        <w:tc>
          <w:tcPr>
            <w:tcW w:w="4478" w:type="pct"/>
            <w:gridSpan w:val="1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b/>
                <w:bCs/>
                <w:snapToGrid w:val="0"/>
                <w:kern w:val="0"/>
                <w:szCs w:val="21"/>
              </w:rPr>
              <w:t>预算联网监督平台费用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jc w:val="center"/>
        </w:trPr>
        <w:tc>
          <w:tcPr>
            <w:tcW w:w="51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类型</w:t>
            </w:r>
          </w:p>
        </w:tc>
        <w:tc>
          <w:tcPr>
            <w:tcW w:w="58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产业发展</w:t>
            </w:r>
          </w:p>
        </w:tc>
        <w:tc>
          <w:tcPr>
            <w:tcW w:w="3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民生</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保障</w:t>
            </w:r>
          </w:p>
        </w:tc>
        <w:tc>
          <w:tcPr>
            <w:tcW w:w="160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基础设施</w:t>
            </w: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08"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580"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35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606"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270" w:hRule="atLeast"/>
          <w:jc w:val="center"/>
        </w:trPr>
        <w:tc>
          <w:tcPr>
            <w:tcW w:w="515"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部门（单位）名称</w:t>
            </w:r>
          </w:p>
        </w:tc>
        <w:tc>
          <w:tcPr>
            <w:tcW w:w="2537" w:type="pct"/>
            <w:gridSpan w:val="9"/>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资阳市雁江区人大常委会办公室</w:t>
            </w: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预算单位编码</w:t>
            </w: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07" w:hRule="atLeast"/>
          <w:jc w:val="center"/>
        </w:trPr>
        <w:tc>
          <w:tcPr>
            <w:tcW w:w="51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预算执行情况</w:t>
            </w: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预算额（万元）</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 计</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8" w:type="pct"/>
            <w:gridSpan w:val="2"/>
            <w:noWrap/>
            <w:tcMar>
              <w:left w:w="45" w:type="dxa"/>
              <w:right w:w="45" w:type="dxa"/>
            </w:tcMar>
            <w:vAlign w:val="center"/>
          </w:tcPr>
          <w:p>
            <w:pPr>
              <w:adjustRightInd w:val="0"/>
              <w:snapToGrid w:val="0"/>
              <w:spacing w:line="280" w:lineRule="exact"/>
              <w:ind w:firstLine="210" w:firstLineChars="100"/>
              <w:jc w:val="center"/>
              <w:rPr>
                <w:rFonts w:ascii="宋体" w:hAnsi="宋体"/>
                <w:snapToGrid w:val="0"/>
                <w:kern w:val="0"/>
                <w:szCs w:val="21"/>
              </w:rPr>
            </w:pPr>
            <w:r>
              <w:rPr>
                <w:rFonts w:hint="eastAsia" w:ascii="宋体" w:hAnsi="宋体"/>
                <w:snapToGrid w:val="0"/>
                <w:kern w:val="0"/>
                <w:szCs w:val="21"/>
              </w:rPr>
              <w:t>7</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tabs>
                <w:tab w:val="left" w:pos="568"/>
              </w:tabs>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54"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其他资金</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13" w:hRule="atLeast"/>
          <w:jc w:val="center"/>
        </w:trPr>
        <w:tc>
          <w:tcPr>
            <w:tcW w:w="51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财政拨款结构</w:t>
            </w: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合计</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一般公共预算安排</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政府性基金预算安排</w:t>
            </w: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国有资本经营预算安排</w:t>
            </w: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执行额</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（万元）</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7</w:t>
            </w: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当年结转结余额（万元）</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结转结余率%</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68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749"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结转结余变动率%</w:t>
            </w:r>
          </w:p>
        </w:tc>
        <w:tc>
          <w:tcPr>
            <w:tcW w:w="47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5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941"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000"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424" w:hRule="atLeast"/>
          <w:jc w:val="center"/>
        </w:trPr>
        <w:tc>
          <w:tcPr>
            <w:tcW w:w="51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年度总体目标</w:t>
            </w:r>
          </w:p>
        </w:tc>
        <w:tc>
          <w:tcPr>
            <w:tcW w:w="1220"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w:t>
            </w:r>
          </w:p>
        </w:tc>
        <w:tc>
          <w:tcPr>
            <w:tcW w:w="1317"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预算总体目标执行结果</w:t>
            </w: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39"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0"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目标1：保障系统正常运行</w:t>
            </w:r>
          </w:p>
        </w:tc>
        <w:tc>
          <w:tcPr>
            <w:tcW w:w="1317"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39"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0"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7"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39"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0"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7"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39"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0"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7"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539"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220" w:type="pct"/>
            <w:gridSpan w:val="5"/>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17" w:type="pct"/>
            <w:gridSpan w:val="4"/>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941"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15"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3" w:type="pc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一级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二级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三级</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预算指标值（包含数字及文字描述）</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预算指标值执行结果（包含数字及文字描述）</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完成</w:t>
            </w:r>
          </w:p>
        </w:tc>
        <w:tc>
          <w:tcPr>
            <w:tcW w:w="436"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数量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指标1：日常维护电脑数</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大于等于18</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大于等于18</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指标1：监督率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大于等于90%</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大于等于90%</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质量指标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指标2：电脑维护达标率</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100%</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时效</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指标1：数据上传时间</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小于等于季度</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小于等于季度</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指标1：网络费</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1200元/月</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1200元/月</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成本</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指标2：运行费</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50000元/年</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50000元/年</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restart"/>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年度绩效指标</w:t>
            </w:r>
          </w:p>
        </w:tc>
        <w:tc>
          <w:tcPr>
            <w:tcW w:w="31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项目</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效益</w:t>
            </w:r>
          </w:p>
        </w:tc>
        <w:tc>
          <w:tcPr>
            <w:tcW w:w="436"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经济效益指标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指标3：</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社会效益指标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系统正常使用天数</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cs="宋体"/>
                <w:snapToGrid w:val="0"/>
                <w:kern w:val="0"/>
                <w:szCs w:val="21"/>
              </w:rPr>
              <w:t>365</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365</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生态效益指标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可持续影响指标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 制度健全性</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好</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指标2：</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w:t>
            </w:r>
          </w:p>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w:t>
            </w:r>
          </w:p>
        </w:tc>
        <w:tc>
          <w:tcPr>
            <w:tcW w:w="436" w:type="pct"/>
            <w:gridSpan w:val="2"/>
            <w:vMerge w:val="restart"/>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满意度指标</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指标1：</w:t>
            </w:r>
            <w:r>
              <w:rPr>
                <w:rFonts w:hint="eastAsia" w:ascii="宋体" w:hAnsi="宋体" w:cs="宋体"/>
                <w:snapToGrid w:val="0"/>
                <w:kern w:val="0"/>
                <w:szCs w:val="21"/>
              </w:rPr>
              <w:t>工作人员满意度</w:t>
            </w:r>
          </w:p>
        </w:tc>
        <w:tc>
          <w:tcPr>
            <w:tcW w:w="619" w:type="pct"/>
            <w:gridSpan w:val="2"/>
            <w:noWrap/>
            <w:tcMar>
              <w:left w:w="45" w:type="dxa"/>
              <w:right w:w="45" w:type="dxa"/>
            </w:tcMar>
            <w:vAlign w:val="center"/>
          </w:tcPr>
          <w:p>
            <w:pPr>
              <w:adjustRightInd w:val="0"/>
              <w:snapToGrid w:val="0"/>
              <w:spacing w:line="280" w:lineRule="exact"/>
              <w:ind w:firstLine="420" w:firstLineChars="200"/>
              <w:jc w:val="center"/>
              <w:rPr>
                <w:rFonts w:ascii="宋体" w:hAnsi="宋体"/>
                <w:snapToGrid w:val="0"/>
                <w:kern w:val="0"/>
                <w:szCs w:val="21"/>
              </w:rPr>
            </w:pPr>
            <w:r>
              <w:rPr>
                <w:rFonts w:hint="eastAsia" w:ascii="宋体" w:hAnsi="宋体"/>
                <w:snapToGrid w:val="0"/>
                <w:kern w:val="0"/>
                <w:szCs w:val="21"/>
              </w:rPr>
              <w:t>100%</w:t>
            </w: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满意度100%</w:t>
            </w: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15"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313" w:type="pct"/>
            <w:vMerge w:val="continue"/>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436"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r>
              <w:rPr>
                <w:rFonts w:hint="eastAsia" w:ascii="宋体" w:hAnsi="宋体"/>
                <w:snapToGrid w:val="0"/>
                <w:kern w:val="0"/>
                <w:szCs w:val="21"/>
              </w:rPr>
              <w:t>…….</w:t>
            </w:r>
          </w:p>
        </w:tc>
        <w:tc>
          <w:tcPr>
            <w:tcW w:w="635"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619"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108" w:type="pct"/>
            <w:gridSpan w:val="2"/>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c>
          <w:tcPr>
            <w:tcW w:w="1374" w:type="pct"/>
            <w:gridSpan w:val="3"/>
            <w:noWrap/>
            <w:tcMar>
              <w:left w:w="45" w:type="dxa"/>
              <w:right w:w="45" w:type="dxa"/>
            </w:tcMar>
            <w:vAlign w:val="center"/>
          </w:tcPr>
          <w:p>
            <w:pPr>
              <w:adjustRightInd w:val="0"/>
              <w:snapToGrid w:val="0"/>
              <w:spacing w:line="280" w:lineRule="exact"/>
              <w:jc w:val="center"/>
              <w:rPr>
                <w:rFonts w:ascii="宋体" w:hAnsi="宋体"/>
                <w:snapToGrid w:val="0"/>
                <w:kern w:val="0"/>
                <w:szCs w:val="21"/>
              </w:rPr>
            </w:pPr>
          </w:p>
        </w:tc>
      </w:tr>
    </w:tbl>
    <w:p>
      <w:pPr>
        <w:spacing w:line="580" w:lineRule="exact"/>
        <w:rPr>
          <w:rStyle w:val="36"/>
          <w:rFonts w:ascii="黑体" w:hAnsi="黑体" w:eastAsia="黑体"/>
          <w:b w:val="0"/>
        </w:rPr>
      </w:pPr>
    </w:p>
    <w:bookmarkEnd w:id="99"/>
    <w:p>
      <w:pPr>
        <w:widowControl/>
        <w:jc w:val="left"/>
        <w:rPr>
          <w:rFonts w:ascii="黑体" w:hAnsi="黑体" w:eastAsia="黑体"/>
          <w:bCs/>
          <w:kern w:val="44"/>
          <w:sz w:val="44"/>
          <w:szCs w:val="44"/>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07F51E7"/>
    <w:multiLevelType w:val="multilevel"/>
    <w:tmpl w:val="507F51E7"/>
    <w:lvl w:ilvl="0" w:tentative="0">
      <w:start w:val="1"/>
      <w:numFmt w:val="japaneseCounting"/>
      <w:lvlText w:val="%1、"/>
      <w:lvlJc w:val="left"/>
      <w:pPr>
        <w:ind w:left="672" w:hanging="6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0A66"/>
    <w:rsid w:val="000222C6"/>
    <w:rsid w:val="0002549F"/>
    <w:rsid w:val="0002697A"/>
    <w:rsid w:val="000468DB"/>
    <w:rsid w:val="0006487A"/>
    <w:rsid w:val="00065F8F"/>
    <w:rsid w:val="00070A43"/>
    <w:rsid w:val="000768F2"/>
    <w:rsid w:val="0009184B"/>
    <w:rsid w:val="000940BF"/>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02D"/>
    <w:rsid w:val="000F644B"/>
    <w:rsid w:val="00114E9B"/>
    <w:rsid w:val="00142216"/>
    <w:rsid w:val="00144D6A"/>
    <w:rsid w:val="0014729F"/>
    <w:rsid w:val="00157BAB"/>
    <w:rsid w:val="001641E0"/>
    <w:rsid w:val="001654D1"/>
    <w:rsid w:val="00174518"/>
    <w:rsid w:val="0018106D"/>
    <w:rsid w:val="001877A7"/>
    <w:rsid w:val="00191536"/>
    <w:rsid w:val="00195D2A"/>
    <w:rsid w:val="00196687"/>
    <w:rsid w:val="001C0962"/>
    <w:rsid w:val="001D7531"/>
    <w:rsid w:val="001E737D"/>
    <w:rsid w:val="001F0592"/>
    <w:rsid w:val="001F7506"/>
    <w:rsid w:val="002006CD"/>
    <w:rsid w:val="00202B36"/>
    <w:rsid w:val="00204B7A"/>
    <w:rsid w:val="00204CDE"/>
    <w:rsid w:val="00207628"/>
    <w:rsid w:val="0021101A"/>
    <w:rsid w:val="00220536"/>
    <w:rsid w:val="00235629"/>
    <w:rsid w:val="0024712D"/>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423B"/>
    <w:rsid w:val="003546ED"/>
    <w:rsid w:val="0036561B"/>
    <w:rsid w:val="00365870"/>
    <w:rsid w:val="0037013F"/>
    <w:rsid w:val="00376FA1"/>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4533"/>
    <w:rsid w:val="00406254"/>
    <w:rsid w:val="004223DE"/>
    <w:rsid w:val="00434489"/>
    <w:rsid w:val="00437085"/>
    <w:rsid w:val="00443064"/>
    <w:rsid w:val="00443880"/>
    <w:rsid w:val="004464F4"/>
    <w:rsid w:val="00471401"/>
    <w:rsid w:val="00473F31"/>
    <w:rsid w:val="0048263A"/>
    <w:rsid w:val="00483F29"/>
    <w:rsid w:val="00487E5D"/>
    <w:rsid w:val="004A711F"/>
    <w:rsid w:val="004B199D"/>
    <w:rsid w:val="004B4690"/>
    <w:rsid w:val="004E0A2D"/>
    <w:rsid w:val="004E206B"/>
    <w:rsid w:val="004E6DF7"/>
    <w:rsid w:val="004F0FBD"/>
    <w:rsid w:val="00505A47"/>
    <w:rsid w:val="00512FDA"/>
    <w:rsid w:val="00520DA0"/>
    <w:rsid w:val="00525835"/>
    <w:rsid w:val="005664BB"/>
    <w:rsid w:val="00566FFA"/>
    <w:rsid w:val="0057481D"/>
    <w:rsid w:val="0058486E"/>
    <w:rsid w:val="00585B33"/>
    <w:rsid w:val="00586D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20C3"/>
    <w:rsid w:val="006A3141"/>
    <w:rsid w:val="006A5E34"/>
    <w:rsid w:val="006B2422"/>
    <w:rsid w:val="006B2B9A"/>
    <w:rsid w:val="006C1937"/>
    <w:rsid w:val="006F020C"/>
    <w:rsid w:val="007127B7"/>
    <w:rsid w:val="0071798E"/>
    <w:rsid w:val="007212FE"/>
    <w:rsid w:val="007416B6"/>
    <w:rsid w:val="00746F48"/>
    <w:rsid w:val="0075404D"/>
    <w:rsid w:val="0076182A"/>
    <w:rsid w:val="00767B7E"/>
    <w:rsid w:val="007770C3"/>
    <w:rsid w:val="00784D24"/>
    <w:rsid w:val="00785FBA"/>
    <w:rsid w:val="00786E4A"/>
    <w:rsid w:val="007875EB"/>
    <w:rsid w:val="00792AE8"/>
    <w:rsid w:val="0079426B"/>
    <w:rsid w:val="007D1682"/>
    <w:rsid w:val="007D312A"/>
    <w:rsid w:val="007D3F19"/>
    <w:rsid w:val="007D5AA2"/>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1137"/>
    <w:rsid w:val="008B768C"/>
    <w:rsid w:val="008C4DB1"/>
    <w:rsid w:val="008C4EAF"/>
    <w:rsid w:val="008C5176"/>
    <w:rsid w:val="008C7FD0"/>
    <w:rsid w:val="008E1DE7"/>
    <w:rsid w:val="008E5B2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16AE0"/>
    <w:rsid w:val="00A237D8"/>
    <w:rsid w:val="00A268C4"/>
    <w:rsid w:val="00A26A27"/>
    <w:rsid w:val="00A307CD"/>
    <w:rsid w:val="00A331C8"/>
    <w:rsid w:val="00A40A00"/>
    <w:rsid w:val="00A4142F"/>
    <w:rsid w:val="00A422EB"/>
    <w:rsid w:val="00A45BB7"/>
    <w:rsid w:val="00A56DF2"/>
    <w:rsid w:val="00A56E6E"/>
    <w:rsid w:val="00A63D2F"/>
    <w:rsid w:val="00A67AB5"/>
    <w:rsid w:val="00A733B2"/>
    <w:rsid w:val="00A734A9"/>
    <w:rsid w:val="00A741C2"/>
    <w:rsid w:val="00A91760"/>
    <w:rsid w:val="00A93B00"/>
    <w:rsid w:val="00A93C21"/>
    <w:rsid w:val="00AB084B"/>
    <w:rsid w:val="00AB64C9"/>
    <w:rsid w:val="00AC17E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18EE"/>
    <w:rsid w:val="00B77EA6"/>
    <w:rsid w:val="00B81598"/>
    <w:rsid w:val="00B841F1"/>
    <w:rsid w:val="00B944D6"/>
    <w:rsid w:val="00BB4DF0"/>
    <w:rsid w:val="00BC289F"/>
    <w:rsid w:val="00BC2D50"/>
    <w:rsid w:val="00BC5361"/>
    <w:rsid w:val="00BC5460"/>
    <w:rsid w:val="00BC6B50"/>
    <w:rsid w:val="00BD0E25"/>
    <w:rsid w:val="00BF1F79"/>
    <w:rsid w:val="00BF5BD6"/>
    <w:rsid w:val="00C03E31"/>
    <w:rsid w:val="00C311B7"/>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2BF0"/>
    <w:rsid w:val="00CC666F"/>
    <w:rsid w:val="00CD1E3F"/>
    <w:rsid w:val="00CD5F46"/>
    <w:rsid w:val="00CE44F6"/>
    <w:rsid w:val="00CE49DA"/>
    <w:rsid w:val="00CE7B61"/>
    <w:rsid w:val="00CF12F3"/>
    <w:rsid w:val="00D00095"/>
    <w:rsid w:val="00D114F0"/>
    <w:rsid w:val="00D20620"/>
    <w:rsid w:val="00D254F7"/>
    <w:rsid w:val="00D26091"/>
    <w:rsid w:val="00D2685C"/>
    <w:rsid w:val="00D34E7C"/>
    <w:rsid w:val="00D35489"/>
    <w:rsid w:val="00D36AFE"/>
    <w:rsid w:val="00D45A42"/>
    <w:rsid w:val="00D51276"/>
    <w:rsid w:val="00D54B0F"/>
    <w:rsid w:val="00D7035F"/>
    <w:rsid w:val="00DA634F"/>
    <w:rsid w:val="00DA65AC"/>
    <w:rsid w:val="00DB1913"/>
    <w:rsid w:val="00DC410D"/>
    <w:rsid w:val="00DC5A81"/>
    <w:rsid w:val="00DC68CA"/>
    <w:rsid w:val="00DC7CBA"/>
    <w:rsid w:val="00DD73B7"/>
    <w:rsid w:val="00DF28BC"/>
    <w:rsid w:val="00DF34B9"/>
    <w:rsid w:val="00E01053"/>
    <w:rsid w:val="00E07ACF"/>
    <w:rsid w:val="00E11B75"/>
    <w:rsid w:val="00E331A1"/>
    <w:rsid w:val="00E33202"/>
    <w:rsid w:val="00E336A9"/>
    <w:rsid w:val="00E33FE7"/>
    <w:rsid w:val="00E472B1"/>
    <w:rsid w:val="00E50624"/>
    <w:rsid w:val="00E568DF"/>
    <w:rsid w:val="00E64269"/>
    <w:rsid w:val="00E82267"/>
    <w:rsid w:val="00E853CE"/>
    <w:rsid w:val="00E867B6"/>
    <w:rsid w:val="00EA010F"/>
    <w:rsid w:val="00EA54E8"/>
    <w:rsid w:val="00ED1B63"/>
    <w:rsid w:val="00ED3C1F"/>
    <w:rsid w:val="00ED4085"/>
    <w:rsid w:val="00ED420E"/>
    <w:rsid w:val="00ED6FBE"/>
    <w:rsid w:val="00EE1CCA"/>
    <w:rsid w:val="00EE2F57"/>
    <w:rsid w:val="00EF4C34"/>
    <w:rsid w:val="00EF77C6"/>
    <w:rsid w:val="00F05438"/>
    <w:rsid w:val="00F1361C"/>
    <w:rsid w:val="00F156F0"/>
    <w:rsid w:val="00F160C7"/>
    <w:rsid w:val="00F2408F"/>
    <w:rsid w:val="00F240E9"/>
    <w:rsid w:val="00F33EE0"/>
    <w:rsid w:val="00F36D8F"/>
    <w:rsid w:val="00F36E17"/>
    <w:rsid w:val="00F4082E"/>
    <w:rsid w:val="00F417B1"/>
    <w:rsid w:val="00F45853"/>
    <w:rsid w:val="00F602DF"/>
    <w:rsid w:val="00F607C5"/>
    <w:rsid w:val="00F67CB5"/>
    <w:rsid w:val="00F754A1"/>
    <w:rsid w:val="00F81FD9"/>
    <w:rsid w:val="00F841AA"/>
    <w:rsid w:val="00F84A94"/>
    <w:rsid w:val="00F87E96"/>
    <w:rsid w:val="00FA23E8"/>
    <w:rsid w:val="00FC4521"/>
    <w:rsid w:val="00FD3CC1"/>
    <w:rsid w:val="00FF1E02"/>
    <w:rsid w:val="00FF30B4"/>
    <w:rsid w:val="015975B8"/>
    <w:rsid w:val="02143E91"/>
    <w:rsid w:val="066E0107"/>
    <w:rsid w:val="07996F6E"/>
    <w:rsid w:val="0A2032A3"/>
    <w:rsid w:val="0F98263C"/>
    <w:rsid w:val="101860EC"/>
    <w:rsid w:val="10C055FF"/>
    <w:rsid w:val="118107EC"/>
    <w:rsid w:val="13D50BC4"/>
    <w:rsid w:val="16BB723D"/>
    <w:rsid w:val="1A3B1494"/>
    <w:rsid w:val="1BE8440E"/>
    <w:rsid w:val="1D155CEE"/>
    <w:rsid w:val="1FF35744"/>
    <w:rsid w:val="23860B96"/>
    <w:rsid w:val="240371BF"/>
    <w:rsid w:val="29061FBB"/>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125744B"/>
    <w:rsid w:val="537E6D0A"/>
    <w:rsid w:val="5AF92295"/>
    <w:rsid w:val="5CD71FC4"/>
    <w:rsid w:val="60B93E0A"/>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0"/>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beforeLines="30"/>
    </w:pPr>
    <w:rPr>
      <w:rFonts w:ascii="仿宋_GB2312" w:eastAsia="仿宋_GB2312"/>
      <w:kern w:val="0"/>
      <w:sz w:val="30"/>
    </w:r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unhideWhenUsed/>
    <w:qFormat/>
    <w:uiPriority w:val="99"/>
    <w:pPr>
      <w:widowControl/>
      <w:spacing w:line="276" w:lineRule="auto"/>
      <w:ind w:firstLine="420" w:firstLineChars="200"/>
      <w:jc w:val="left"/>
    </w:pPr>
    <w:rPr>
      <w:rFonts w:ascii="Calibri" w:hAnsi="Calibri" w:eastAsia="Times New Roman" w:cs="Calibri"/>
      <w:color w:val="000000"/>
      <w:sz w:val="22"/>
      <w:szCs w:val="22"/>
    </w:rPr>
  </w:style>
  <w:style w:type="paragraph" w:styleId="8">
    <w:name w:val="Body Text Indent"/>
    <w:basedOn w:val="1"/>
    <w:qFormat/>
    <w:uiPriority w:val="99"/>
    <w:pPr>
      <w:spacing w:after="120"/>
      <w:ind w:left="200" w:leftChars="200"/>
    </w:pPr>
    <w:rPr>
      <w:rFonts w:ascii="仿宋_GB2312"/>
      <w:szCs w:val="32"/>
    </w:rPr>
  </w:style>
  <w:style w:type="paragraph" w:styleId="9">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0">
    <w:name w:val="toc 3"/>
    <w:basedOn w:val="1"/>
    <w:next w:val="1"/>
    <w:unhideWhenUsed/>
    <w:qFormat/>
    <w:uiPriority w:val="39"/>
    <w:pPr>
      <w:tabs>
        <w:tab w:val="right" w:leader="dot" w:pos="8296"/>
      </w:tabs>
      <w:ind w:left="840" w:leftChars="400"/>
    </w:pPr>
  </w:style>
  <w:style w:type="paragraph" w:styleId="11">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2">
    <w:name w:val="Balloon Text"/>
    <w:basedOn w:val="1"/>
    <w:link w:val="39"/>
    <w:semiHidden/>
    <w:unhideWhenUsed/>
    <w:qFormat/>
    <w:uiPriority w:val="99"/>
    <w:rPr>
      <w:sz w:val="18"/>
      <w:szCs w:val="18"/>
    </w:rPr>
  </w:style>
  <w:style w:type="paragraph" w:styleId="13">
    <w:name w:val="footer"/>
    <w:basedOn w:val="1"/>
    <w:link w:val="31"/>
    <w:qFormat/>
    <w:uiPriority w:val="99"/>
    <w:pPr>
      <w:tabs>
        <w:tab w:val="center" w:pos="4153"/>
        <w:tab w:val="right" w:pos="8306"/>
      </w:tabs>
      <w:snapToGrid w:val="0"/>
      <w:jc w:val="left"/>
    </w:pPr>
    <w:rPr>
      <w:rFonts w:ascii="Calibri" w:hAnsi="Calibri"/>
      <w:kern w:val="0"/>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5">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6">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7">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8">
    <w:name w:val="toc 2"/>
    <w:basedOn w:val="1"/>
    <w:next w:val="1"/>
    <w:unhideWhenUsed/>
    <w:qFormat/>
    <w:uiPriority w:val="39"/>
    <w:pPr>
      <w:tabs>
        <w:tab w:val="right" w:leader="dot" w:pos="8296"/>
      </w:tabs>
      <w:ind w:left="420" w:leftChars="200"/>
    </w:pPr>
  </w:style>
  <w:style w:type="paragraph" w:styleId="19">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0">
    <w:name w:val="Body Text 2"/>
    <w:basedOn w:val="1"/>
    <w:link w:val="43"/>
    <w:qFormat/>
    <w:uiPriority w:val="0"/>
    <w:pPr>
      <w:widowControl/>
      <w:spacing w:after="120" w:line="480" w:lineRule="auto"/>
      <w:jc w:val="left"/>
    </w:pPr>
    <w:rPr>
      <w:rFonts w:ascii="宋体" w:hAnsi="宋体" w:eastAsia="Times New Roman" w:cs="Calibri"/>
      <w:color w:val="000000"/>
      <w:sz w:val="24"/>
      <w:szCs w:val="20"/>
    </w:rPr>
  </w:style>
  <w:style w:type="paragraph" w:styleId="21">
    <w:name w:val="Body Text First Indent 2"/>
    <w:basedOn w:val="8"/>
    <w:unhideWhenUsed/>
    <w:qFormat/>
    <w:uiPriority w:val="99"/>
    <w:pPr>
      <w:ind w:firstLine="420" w:firstLineChars="200"/>
    </w:pPr>
  </w:style>
  <w:style w:type="character" w:styleId="24">
    <w:name w:val="Strong"/>
    <w:basedOn w:val="23"/>
    <w:qFormat/>
    <w:uiPriority w:val="99"/>
    <w:rPr>
      <w:b/>
    </w:rPr>
  </w:style>
  <w:style w:type="character" w:styleId="25">
    <w:name w:val="page number"/>
    <w:basedOn w:val="23"/>
    <w:qFormat/>
    <w:uiPriority w:val="0"/>
  </w:style>
  <w:style w:type="character" w:styleId="26">
    <w:name w:val="Hyperlink"/>
    <w:basedOn w:val="23"/>
    <w:unhideWhenUsed/>
    <w:qFormat/>
    <w:uiPriority w:val="99"/>
    <w:rPr>
      <w:color w:val="0000FF" w:themeColor="hyperlink"/>
      <w:u w:val="single"/>
    </w:rPr>
  </w:style>
  <w:style w:type="paragraph" w:customStyle="1" w:styleId="27">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8">
    <w:name w:val="Header Char"/>
    <w:basedOn w:val="23"/>
    <w:semiHidden/>
    <w:qFormat/>
    <w:uiPriority w:val="99"/>
    <w:rPr>
      <w:rFonts w:ascii="Times New Roman" w:hAnsi="Times New Roman"/>
      <w:sz w:val="18"/>
      <w:szCs w:val="18"/>
    </w:rPr>
  </w:style>
  <w:style w:type="character" w:customStyle="1" w:styleId="29">
    <w:name w:val="页眉 Char"/>
    <w:link w:val="14"/>
    <w:semiHidden/>
    <w:qFormat/>
    <w:locked/>
    <w:uiPriority w:val="99"/>
    <w:rPr>
      <w:sz w:val="18"/>
    </w:rPr>
  </w:style>
  <w:style w:type="character" w:customStyle="1" w:styleId="30">
    <w:name w:val="Footer Char"/>
    <w:basedOn w:val="23"/>
    <w:semiHidden/>
    <w:qFormat/>
    <w:uiPriority w:val="99"/>
    <w:rPr>
      <w:rFonts w:ascii="Times New Roman" w:hAnsi="Times New Roman"/>
      <w:sz w:val="18"/>
      <w:szCs w:val="18"/>
    </w:rPr>
  </w:style>
  <w:style w:type="character" w:customStyle="1" w:styleId="31">
    <w:name w:val="页脚 Char"/>
    <w:link w:val="13"/>
    <w:qFormat/>
    <w:locked/>
    <w:uiPriority w:val="99"/>
    <w:rPr>
      <w:sz w:val="18"/>
    </w:rPr>
  </w:style>
  <w:style w:type="character" w:customStyle="1" w:styleId="32">
    <w:name w:val="Body Text Char"/>
    <w:basedOn w:val="23"/>
    <w:semiHidden/>
    <w:qFormat/>
    <w:uiPriority w:val="99"/>
    <w:rPr>
      <w:rFonts w:ascii="Times New Roman" w:hAnsi="Times New Roman"/>
      <w:szCs w:val="24"/>
    </w:rPr>
  </w:style>
  <w:style w:type="character" w:customStyle="1" w:styleId="33">
    <w:name w:val="正文文本 Char"/>
    <w:link w:val="2"/>
    <w:qFormat/>
    <w:locked/>
    <w:uiPriority w:val="99"/>
    <w:rPr>
      <w:rFonts w:ascii="仿宋_GB2312" w:hAnsi="Times New Roman" w:eastAsia="仿宋_GB2312"/>
      <w:sz w:val="24"/>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5">
    <w:name w:val="List Paragraph"/>
    <w:basedOn w:val="1"/>
    <w:qFormat/>
    <w:uiPriority w:val="34"/>
    <w:pPr>
      <w:ind w:firstLine="420" w:firstLineChars="200"/>
    </w:pPr>
  </w:style>
  <w:style w:type="character" w:customStyle="1" w:styleId="36">
    <w:name w:val="标题 1 Char"/>
    <w:basedOn w:val="23"/>
    <w:link w:val="3"/>
    <w:qFormat/>
    <w:uiPriority w:val="0"/>
    <w:rPr>
      <w:rFonts w:ascii="Times New Roman" w:hAnsi="Times New Roman"/>
      <w:b/>
      <w:bCs/>
      <w:kern w:val="44"/>
      <w:sz w:val="44"/>
      <w:szCs w:val="44"/>
    </w:rPr>
  </w:style>
  <w:style w:type="character" w:customStyle="1" w:styleId="37">
    <w:name w:val="标题 2 Char"/>
    <w:basedOn w:val="23"/>
    <w:link w:val="4"/>
    <w:qFormat/>
    <w:uiPriority w:val="9"/>
    <w:rPr>
      <w:rFonts w:asciiTheme="majorHAnsi" w:hAnsiTheme="majorHAnsi" w:eastAsiaTheme="majorEastAsia" w:cstheme="majorBidi"/>
      <w:b/>
      <w:bCs/>
      <w:kern w:val="2"/>
      <w:sz w:val="32"/>
      <w:szCs w:val="32"/>
    </w:rPr>
  </w:style>
  <w:style w:type="paragraph" w:customStyle="1" w:styleId="3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9">
    <w:name w:val="批注框文本 Char"/>
    <w:basedOn w:val="23"/>
    <w:link w:val="12"/>
    <w:semiHidden/>
    <w:qFormat/>
    <w:uiPriority w:val="99"/>
    <w:rPr>
      <w:rFonts w:ascii="Times New Roman" w:hAnsi="Times New Roman"/>
      <w:kern w:val="2"/>
      <w:sz w:val="18"/>
      <w:szCs w:val="18"/>
    </w:rPr>
  </w:style>
  <w:style w:type="character" w:customStyle="1" w:styleId="40">
    <w:name w:val="标题 3 Char"/>
    <w:basedOn w:val="23"/>
    <w:link w:val="5"/>
    <w:qFormat/>
    <w:uiPriority w:val="9"/>
    <w:rPr>
      <w:rFonts w:ascii="Times New Roman" w:hAnsi="Times New Roman"/>
      <w:b/>
      <w:bCs/>
      <w:kern w:val="2"/>
      <w:sz w:val="32"/>
      <w:szCs w:val="32"/>
    </w:rPr>
  </w:style>
  <w:style w:type="paragraph" w:customStyle="1" w:styleId="4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2">
    <w:name w:val="四号正文"/>
    <w:basedOn w:val="1"/>
    <w:qFormat/>
    <w:uiPriority w:val="0"/>
    <w:pPr>
      <w:spacing w:line="360" w:lineRule="auto"/>
    </w:pPr>
    <w:rPr>
      <w:rFonts w:ascii="??" w:hAnsi="??"/>
      <w:color w:val="000000"/>
      <w:kern w:val="0"/>
      <w:sz w:val="28"/>
      <w:szCs w:val="21"/>
      <w:lang w:val="zh-CN"/>
    </w:rPr>
  </w:style>
  <w:style w:type="character" w:customStyle="1" w:styleId="43">
    <w:name w:val="正文文本 2 Char"/>
    <w:basedOn w:val="23"/>
    <w:link w:val="20"/>
    <w:qFormat/>
    <w:uiPriority w:val="0"/>
    <w:rPr>
      <w:rFonts w:ascii="宋体" w:hAnsi="宋体" w:eastAsia="Times New Roman" w:cs="Calibri"/>
      <w:color w:val="000000"/>
      <w:kern w:val="2"/>
      <w:sz w:val="24"/>
    </w:rPr>
  </w:style>
  <w:style w:type="paragraph" w:customStyle="1" w:styleId="44">
    <w:name w:val="列出段落1"/>
    <w:basedOn w:val="1"/>
    <w:unhideWhenUsed/>
    <w:qFormat/>
    <w:uiPriority w:val="99"/>
    <w:pPr>
      <w:widowControl/>
      <w:spacing w:line="276" w:lineRule="auto"/>
      <w:ind w:firstLine="420" w:firstLineChars="200"/>
      <w:jc w:val="left"/>
    </w:pPr>
    <w:rPr>
      <w:rFonts w:ascii="Calibri" w:hAnsi="Calibri" w:eastAsia="Times New Roman" w:cs="Calibri"/>
      <w:color w:val="000000"/>
      <w:sz w:val="22"/>
      <w:szCs w:val="22"/>
    </w:rPr>
  </w:style>
  <w:style w:type="paragraph" w:customStyle="1" w:styleId="45">
    <w:name w:val="正文-公1"/>
    <w:basedOn w:val="1"/>
    <w:qFormat/>
    <w:uiPriority w:val="0"/>
    <w:pPr>
      <w:autoSpaceDE w:val="0"/>
      <w:autoSpaceDN w:val="0"/>
      <w:ind w:firstLine="200" w:firstLineChars="200"/>
      <w:jc w:val="left"/>
    </w:pPr>
    <w:rPr>
      <w:rFonts w:ascii="宋体" w:hAnsi="宋体" w:cs="宋体"/>
      <w:color w:val="000000"/>
      <w:kern w:val="0"/>
      <w:sz w:val="22"/>
      <w:szCs w:val="22"/>
      <w:lang w:val="zh-CN"/>
    </w:rPr>
  </w:style>
  <w:style w:type="paragraph" w:customStyle="1" w:styleId="46">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AppData\Local\Temp\Temp28d4236c-df96-403d-900b-e8e725e699e1_3&#12289;&#37096;&#38376;&#20915;&#31639;&#20844;&#24320;&#36164;&#26009;.zip\2022&#24180;&#37096;&#38376;&#20915;&#31639;&#20844;&#24320;&#25968;&#2545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AppData\Local\Temp\Temp28d4236c-df96-403d-900b-e8e725e699e1_3&#12289;&#37096;&#38376;&#20915;&#31639;&#20844;&#24320;&#36164;&#26009;.zip\2022&#24180;&#37096;&#38376;&#20915;&#31639;&#20844;&#24320;&#25968;&#25454;.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AppData\Local\Temp\Temp28d4236c-df96-403d-900b-e8e725e699e1_3&#12289;&#37096;&#38376;&#20915;&#31639;&#20844;&#24320;&#36164;&#26009;.zip\2022&#24180;&#37096;&#38376;&#20915;&#31639;&#20844;&#24320;&#25968;&#25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endParaRPr lang="zh-CN" altLang="en-US"/>
          </a:p>
        </c:rich>
      </c:tx>
      <c:layout/>
      <c:overlay val="0"/>
    </c:title>
    <c:autoTitleDeleted val="0"/>
    <c:plotArea>
      <c:layout/>
      <c:barChart>
        <c:barDir val="col"/>
        <c:grouping val="stacked"/>
        <c:varyColors val="0"/>
        <c:ser>
          <c:idx val="0"/>
          <c:order val="0"/>
          <c:tx>
            <c:strRef>
              <c:f>Sheet1!$B$1</c:f>
              <c:strCache>
                <c:ptCount val="1"/>
                <c:pt idx="0">
                  <c:v>列1</c:v>
                </c:pt>
              </c:strCache>
            </c:strRef>
          </c:tx>
          <c:invertIfNegative val="0"/>
          <c:dLbls>
            <c:delete val="1"/>
          </c:dLbls>
          <c:cat>
            <c:strRef>
              <c:f>Sheet1!$A$2:$A$3</c:f>
              <c:strCache>
                <c:ptCount val="2"/>
                <c:pt idx="0">
                  <c:v>2021年</c:v>
                </c:pt>
                <c:pt idx="1">
                  <c:v>2022年</c:v>
                </c:pt>
              </c:strCache>
            </c:strRef>
          </c:cat>
          <c:val>
            <c:numRef>
              <c:f>Sheet1!$B$2:$B$3</c:f>
              <c:numCache>
                <c:formatCode>General</c:formatCode>
                <c:ptCount val="2"/>
                <c:pt idx="0">
                  <c:v>1739.75</c:v>
                </c:pt>
                <c:pt idx="1">
                  <c:v>1257.54</c:v>
                </c:pt>
              </c:numCache>
            </c:numRef>
          </c:val>
        </c:ser>
        <c:ser>
          <c:idx val="1"/>
          <c:order val="1"/>
          <c:tx>
            <c:strRef>
              <c:f>Sheet1!$C$1</c:f>
              <c:strCache>
                <c:ptCount val="1"/>
                <c:pt idx="0">
                  <c:v>列2</c:v>
                </c:pt>
              </c:strCache>
            </c:strRef>
          </c:tx>
          <c:invertIfNegative val="0"/>
          <c:dLbls>
            <c:delete val="1"/>
          </c:dLbls>
          <c:cat>
            <c:strRef>
              <c:f>Sheet1!$A$2:$A$3</c:f>
              <c:strCache>
                <c:ptCount val="2"/>
                <c:pt idx="0">
                  <c:v>2021年</c:v>
                </c:pt>
                <c:pt idx="1">
                  <c:v>2022年</c:v>
                </c:pt>
              </c:strCache>
            </c:strRef>
          </c:cat>
          <c:val>
            <c:numRef>
              <c:f>Sheet1!$C$2:$C$3</c:f>
              <c:numCache>
                <c:formatCode>General</c:formatCode>
                <c:ptCount val="2"/>
                <c:pt idx="0">
                  <c:v>2.4</c:v>
                </c:pt>
                <c:pt idx="1">
                  <c:v>4.4</c:v>
                </c:pt>
              </c:numCache>
            </c:numRef>
          </c:val>
        </c:ser>
        <c:dLbls>
          <c:showLegendKey val="0"/>
          <c:showVal val="0"/>
          <c:showCatName val="0"/>
          <c:showSerName val="0"/>
          <c:showPercent val="0"/>
          <c:showBubbleSize val="0"/>
        </c:dLbls>
        <c:gapWidth val="150"/>
        <c:overlap val="100"/>
        <c:axId val="355183616"/>
        <c:axId val="430802816"/>
      </c:barChart>
      <c:catAx>
        <c:axId val="3551836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0802816"/>
        <c:crosses val="autoZero"/>
        <c:auto val="1"/>
        <c:lblAlgn val="ctr"/>
        <c:lblOffset val="100"/>
        <c:noMultiLvlLbl val="0"/>
      </c:catAx>
      <c:valAx>
        <c:axId val="430802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51836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收入决算结构图</a:t>
            </a:r>
            <a:endParaRPr lang="zh-CN" altLang="en-US"/>
          </a:p>
        </c:rich>
      </c:tx>
      <c:layout/>
      <c:overlay val="0"/>
    </c:title>
    <c:autoTitleDeleted val="0"/>
    <c:plotArea>
      <c:layout/>
      <c:pieChart>
        <c:varyColors val="1"/>
        <c:ser>
          <c:idx val="0"/>
          <c:order val="0"/>
          <c:tx>
            <c:strRef>
              <c:f>Sheet1!$C$6</c:f>
              <c:strCache>
                <c:ptCount val="1"/>
                <c:pt idx="0">
                  <c:v>公务用车购置及运行维护费</c:v>
                </c:pt>
              </c:strCache>
            </c:strRef>
          </c:tx>
          <c:explosion val="0"/>
          <c:dPt>
            <c:idx val="0"/>
            <c:bubble3D val="0"/>
          </c:dPt>
          <c:dLbls>
            <c:delete val="1"/>
          </c:dLbls>
          <c:val>
            <c:numRef>
              <c:f>Sheet1!$D$6</c:f>
              <c:numCache>
                <c:formatCode>General</c:formatCode>
                <c:ptCount val="1"/>
                <c:pt idx="0">
                  <c:v>4.98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2022</a:t>
            </a:r>
            <a:r>
              <a:rPr lang="zh-CN" altLang="en-US"/>
              <a:t>年决算支出结构图</a:t>
            </a:r>
            <a:endParaRPr lang="zh-CN" altLang="en-US"/>
          </a:p>
        </c:rich>
      </c:tx>
      <c:layout>
        <c:manualLayout>
          <c:xMode val="edge"/>
          <c:yMode val="edge"/>
          <c:x val="0.162416666666667"/>
          <c:y val="0.0277777777777779"/>
        </c:manualLayout>
      </c:layout>
      <c:overlay val="0"/>
    </c:title>
    <c:autoTitleDeleted val="0"/>
    <c:plotArea>
      <c:layout/>
      <c:pieChart>
        <c:varyColors val="1"/>
        <c:ser>
          <c:idx val="0"/>
          <c:order val="0"/>
          <c:explosion val="0"/>
          <c:dPt>
            <c:idx val="0"/>
            <c:bubble3D val="0"/>
          </c:dPt>
          <c:dPt>
            <c:idx val="1"/>
            <c:bubble3D val="0"/>
          </c:dPt>
          <c:dLbls>
            <c:delete val="1"/>
          </c:dLbls>
          <c:cat>
            <c:strRef>
              <c:f>Sheet1!$C$6:$C$7</c:f>
              <c:strCache>
                <c:ptCount val="2"/>
                <c:pt idx="0">
                  <c:v>公务用车购置及运行维护费</c:v>
                </c:pt>
                <c:pt idx="1">
                  <c:v>公务接待费</c:v>
                </c:pt>
              </c:strCache>
            </c:strRef>
          </c:cat>
          <c:val>
            <c:numRef>
              <c:f>Sheet1!$D$6:$D$7</c:f>
              <c:numCache>
                <c:formatCode>General</c:formatCode>
                <c:ptCount val="2"/>
                <c:pt idx="0">
                  <c:v>4.98</c:v>
                </c:pt>
                <c:pt idx="1">
                  <c:v>1.04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a:t>
            </a:r>
            <a:endParaRPr lang="en-US" altLang="zh-CN"/>
          </a:p>
        </c:rich>
      </c:tx>
      <c:layout/>
      <c:overlay val="0"/>
    </c:title>
    <c:autoTitleDeleted val="0"/>
    <c:plotArea>
      <c:layout/>
      <c:barChart>
        <c:barDir val="col"/>
        <c:grouping val="stacked"/>
        <c:varyColors val="0"/>
        <c:ser>
          <c:idx val="0"/>
          <c:order val="0"/>
          <c:tx>
            <c:strRef>
              <c:f>Sheet1!$B$1</c:f>
              <c:strCache>
                <c:ptCount val="1"/>
                <c:pt idx="0">
                  <c:v>列1</c:v>
                </c:pt>
              </c:strCache>
            </c:strRef>
          </c:tx>
          <c:invertIfNegative val="0"/>
          <c:dLbls>
            <c:delete val="1"/>
          </c:dLbls>
          <c:cat>
            <c:strRef>
              <c:f>Sheet1!$A$2:$A$3</c:f>
              <c:strCache>
                <c:ptCount val="2"/>
                <c:pt idx="0">
                  <c:v>2021年</c:v>
                </c:pt>
                <c:pt idx="1">
                  <c:v>2022年</c:v>
                </c:pt>
              </c:strCache>
            </c:strRef>
          </c:cat>
          <c:val>
            <c:numRef>
              <c:f>Sheet1!$B$2:$B$3</c:f>
              <c:numCache>
                <c:formatCode>General</c:formatCode>
                <c:ptCount val="2"/>
                <c:pt idx="0">
                  <c:v>1739.75</c:v>
                </c:pt>
                <c:pt idx="1">
                  <c:v>1257.54</c:v>
                </c:pt>
              </c:numCache>
            </c:numRef>
          </c:val>
        </c:ser>
        <c:dLbls>
          <c:showLegendKey val="0"/>
          <c:showVal val="0"/>
          <c:showCatName val="0"/>
          <c:showSerName val="0"/>
          <c:showPercent val="0"/>
          <c:showBubbleSize val="0"/>
        </c:dLbls>
        <c:gapWidth val="150"/>
        <c:overlap val="100"/>
        <c:axId val="451016960"/>
        <c:axId val="451027712"/>
      </c:barChart>
      <c:catAx>
        <c:axId val="4510169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027712"/>
        <c:crosses val="autoZero"/>
        <c:auto val="1"/>
        <c:lblAlgn val="ctr"/>
        <c:lblOffset val="100"/>
        <c:noMultiLvlLbl val="0"/>
      </c:catAx>
      <c:valAx>
        <c:axId val="4510277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0169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一般公共预算财政拨款支出决算变动情况</a:t>
            </a:r>
            <a:endParaRPr lang="en-US" altLang="zh-CN"/>
          </a:p>
        </c:rich>
      </c:tx>
      <c:layout/>
      <c:overlay val="0"/>
    </c:title>
    <c:autoTitleDeleted val="0"/>
    <c:plotArea>
      <c:layout/>
      <c:barChart>
        <c:barDir val="col"/>
        <c:grouping val="stacked"/>
        <c:varyColors val="0"/>
        <c:ser>
          <c:idx val="0"/>
          <c:order val="0"/>
          <c:tx>
            <c:strRef>
              <c:f>Sheet1!$B$1</c:f>
              <c:strCache>
                <c:ptCount val="1"/>
                <c:pt idx="0">
                  <c:v>列1</c:v>
                </c:pt>
              </c:strCache>
            </c:strRef>
          </c:tx>
          <c:invertIfNegative val="0"/>
          <c:dLbls>
            <c:delete val="1"/>
          </c:dLbls>
          <c:cat>
            <c:strRef>
              <c:f>Sheet1!$A$2:$A$3</c:f>
              <c:strCache>
                <c:ptCount val="2"/>
                <c:pt idx="0">
                  <c:v>2021年</c:v>
                </c:pt>
                <c:pt idx="1">
                  <c:v>2022年</c:v>
                </c:pt>
              </c:strCache>
            </c:strRef>
          </c:cat>
          <c:val>
            <c:numRef>
              <c:f>Sheet1!$B$2:$B$3</c:f>
              <c:numCache>
                <c:formatCode>General</c:formatCode>
                <c:ptCount val="2"/>
                <c:pt idx="0">
                  <c:v>1739.75</c:v>
                </c:pt>
                <c:pt idx="1">
                  <c:v>1257.54</c:v>
                </c:pt>
              </c:numCache>
            </c:numRef>
          </c:val>
        </c:ser>
        <c:dLbls>
          <c:showLegendKey val="0"/>
          <c:showVal val="0"/>
          <c:showCatName val="0"/>
          <c:showSerName val="0"/>
          <c:showPercent val="0"/>
          <c:showBubbleSize val="0"/>
        </c:dLbls>
        <c:gapWidth val="150"/>
        <c:overlap val="100"/>
        <c:axId val="451175552"/>
        <c:axId val="451315584"/>
      </c:barChart>
      <c:catAx>
        <c:axId val="4511755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315584"/>
        <c:crosses val="autoZero"/>
        <c:auto val="1"/>
        <c:lblAlgn val="ctr"/>
        <c:lblOffset val="100"/>
        <c:noMultiLvlLbl val="0"/>
      </c:catAx>
      <c:valAx>
        <c:axId val="451315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1755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一般公共预算财政拨款支出决算结构</a:t>
            </a:r>
            <a:endParaRPr lang="zh-CN" altLang="en-US"/>
          </a:p>
        </c:rich>
      </c:tx>
      <c:layout/>
      <c:overlay val="0"/>
    </c:title>
    <c:autoTitleDeleted val="0"/>
    <c:plotArea>
      <c:layout/>
      <c:pieChart>
        <c:varyColors val="1"/>
        <c:ser>
          <c:idx val="0"/>
          <c:order val="0"/>
          <c:tx>
            <c:strRef>
              <c:f>'Sheet1'!$B$1</c:f>
              <c:strCache>
                <c:ptCount val="1"/>
                <c:pt idx="0">
                  <c:v>总额</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970.26</c:v>
                </c:pt>
                <c:pt idx="1">
                  <c:v>188.18</c:v>
                </c:pt>
                <c:pt idx="2">
                  <c:v>37.7</c:v>
                </c:pt>
                <c:pt idx="3">
                  <c:v>61.4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“三公”经费财政拨款支出结构</a:t>
            </a:r>
            <a:endParaRPr lang="zh-CN" altLang="en-US"/>
          </a:p>
        </c:rich>
      </c:tx>
      <c:layout/>
      <c:overlay val="0"/>
    </c:title>
    <c:autoTitleDeleted val="0"/>
    <c:plotArea>
      <c:layout/>
      <c:pieChart>
        <c:varyColors val="1"/>
        <c:ser>
          <c:idx val="0"/>
          <c:order val="0"/>
          <c:explosion val="0"/>
          <c:dPt>
            <c:idx val="0"/>
            <c:bubble3D val="0"/>
          </c:dPt>
          <c:dPt>
            <c:idx val="1"/>
            <c:bubble3D val="0"/>
          </c:dPt>
          <c:dLbls>
            <c:delete val="1"/>
          </c:dLbls>
          <c:cat>
            <c:strRef>
              <c:f>Sheet1!$C$6:$C$7</c:f>
              <c:strCache>
                <c:ptCount val="2"/>
                <c:pt idx="0">
                  <c:v>公务用车购置及运行维护费</c:v>
                </c:pt>
                <c:pt idx="1">
                  <c:v>公务接待费</c:v>
                </c:pt>
              </c:strCache>
            </c:strRef>
          </c:cat>
          <c:val>
            <c:numRef>
              <c:f>Sheet1!$D$6:$D$7</c:f>
              <c:numCache>
                <c:formatCode>General</c:formatCode>
                <c:ptCount val="2"/>
                <c:pt idx="0">
                  <c:v>4.98</c:v>
                </c:pt>
                <c:pt idx="1">
                  <c:v>1.04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EEC1E-F61E-49EE-B2DA-B2537D754A25}">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100</Pages>
  <Words>9044</Words>
  <Characters>51557</Characters>
  <Lines>429</Lines>
  <Paragraphs>120</Paragraphs>
  <TotalTime>5</TotalTime>
  <ScaleCrop>false</ScaleCrop>
  <LinksUpToDate>false</LinksUpToDate>
  <CharactersWithSpaces>60481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2023-08-30T02:16:00Z</dcterms:created>
  <dc:creator>曹颖</dc:creator>
  <cp:lastModifiedBy>隔壁小王</cp:lastModifiedBy>
  <cp:lastPrinted>2023-07-31T02:35:00Z</cp:lastPrinted>
  <dcterms:modified xsi:type="dcterms:W3CDTF">2023-08-31T01:48:51Z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478B5D39AEC34DE09DC930D441F289FF</vt:lpwstr>
  </property>
</Properties>
</file>