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left"/>
        <w:outlineLvl w:val="0"/>
        <w:rPr>
          <w:rFonts w:ascii="方正小标宋简体" w:hAnsi="宋体" w:eastAsia="方正小标宋简体"/>
          <w:szCs w:val="21"/>
        </w:rPr>
      </w:pPr>
      <w:bookmarkStart w:id="0" w:name="_Toc15306267"/>
    </w:p>
    <w:p>
      <w:pPr>
        <w:spacing w:line="600" w:lineRule="exact"/>
        <w:jc w:val="center"/>
        <w:outlineLvl w:val="0"/>
        <w:rPr>
          <w:rFonts w:ascii="方正小标宋简体" w:hAnsi="宋体" w:eastAsia="方正小标宋简体"/>
          <w:sz w:val="72"/>
          <w:szCs w:val="72"/>
        </w:rPr>
      </w:pPr>
    </w:p>
    <w:p>
      <w:pPr>
        <w:spacing w:line="600" w:lineRule="exact"/>
        <w:jc w:val="center"/>
        <w:outlineLvl w:val="0"/>
        <w:rPr>
          <w:rFonts w:ascii="方正小标宋简体" w:hAnsi="宋体" w:eastAsia="方正小标宋简体"/>
          <w:sz w:val="72"/>
          <w:szCs w:val="72"/>
        </w:rPr>
      </w:pPr>
    </w:p>
    <w:bookmarkEnd w:id="0"/>
    <w:p>
      <w:pPr>
        <w:adjustRightInd w:val="0"/>
        <w:snapToGrid w:val="0"/>
        <w:spacing w:line="360" w:lineRule="auto"/>
        <w:jc w:val="center"/>
        <w:outlineLvl w:val="0"/>
        <w:rPr>
          <w:rFonts w:ascii="方正小标宋_GBK" w:hAnsi="方正小标宋_GBK" w:eastAsia="方正小标宋_GBK" w:cs="方正小标宋_GBK"/>
          <w:color w:val="000000"/>
          <w:sz w:val="72"/>
          <w:szCs w:val="72"/>
        </w:rPr>
      </w:pPr>
      <w:bookmarkStart w:id="1" w:name="_Toc15377425"/>
      <w:bookmarkStart w:id="2" w:name="_Toc15377193"/>
      <w:bookmarkStart w:id="3" w:name="_Toc15396597"/>
      <w:bookmarkStart w:id="4" w:name="_Toc15378441"/>
      <w:bookmarkStart w:id="5" w:name="_Toc15396475"/>
      <w:r>
        <w:rPr>
          <w:rFonts w:hint="eastAsia" w:ascii="方正小标宋_GBK" w:hAnsi="方正小标宋_GBK" w:eastAsia="方正小标宋_GBK" w:cs="方正小标宋_GBK"/>
          <w:color w:val="000000"/>
          <w:sz w:val="72"/>
          <w:szCs w:val="72"/>
        </w:rPr>
        <w:t>2022年度</w:t>
      </w:r>
      <w:bookmarkEnd w:id="1"/>
      <w:bookmarkEnd w:id="2"/>
      <w:bookmarkEnd w:id="3"/>
      <w:bookmarkEnd w:id="4"/>
      <w:bookmarkEnd w:id="5"/>
    </w:p>
    <w:p>
      <w:pPr>
        <w:widowControl/>
        <w:jc w:val="center"/>
        <w:rPr>
          <w:rFonts w:ascii="方正小标宋_GBK" w:hAnsi="方正小标宋_GBK" w:eastAsia="方正小标宋_GBK" w:cs="方正小标宋_GBK"/>
          <w:sz w:val="44"/>
          <w:szCs w:val="44"/>
        </w:rPr>
      </w:pPr>
      <w:bookmarkStart w:id="6" w:name="_Toc15377194"/>
      <w:bookmarkStart w:id="7" w:name="_Toc15377426"/>
      <w:bookmarkStart w:id="8" w:name="_Toc15396476"/>
      <w:bookmarkStart w:id="9" w:name="_Toc15378442"/>
      <w:bookmarkStart w:id="10" w:name="_Toc15396598"/>
      <w:r>
        <w:rPr>
          <w:rFonts w:hint="eastAsia" w:ascii="方正小标宋_GBK" w:hAnsi="方正小标宋_GBK" w:eastAsia="方正小标宋_GBK" w:cs="方正小标宋_GBK"/>
          <w:sz w:val="44"/>
          <w:szCs w:val="44"/>
        </w:rPr>
        <w:t>资</w:t>
      </w:r>
      <w:bookmarkEnd w:id="6"/>
      <w:bookmarkEnd w:id="7"/>
      <w:bookmarkEnd w:id="8"/>
      <w:bookmarkEnd w:id="9"/>
      <w:bookmarkEnd w:id="10"/>
      <w:bookmarkStart w:id="11" w:name="_Toc15306268"/>
      <w:r>
        <w:rPr>
          <w:rFonts w:hint="eastAsia" w:ascii="方正小标宋_GBK" w:hAnsi="方正小标宋_GBK" w:eastAsia="方正小标宋_GBK" w:cs="方正小标宋_GBK"/>
          <w:sz w:val="44"/>
          <w:szCs w:val="44"/>
        </w:rPr>
        <w:t>阳市雁江区宝莲社区卫生服务中心决算</w:t>
      </w:r>
      <w:bookmarkEnd w:id="11"/>
    </w:p>
    <w:p>
      <w:pPr>
        <w:widowControl/>
        <w:jc w:val="center"/>
        <w:rPr>
          <w:rFonts w:ascii="方正小标宋_GBK" w:hAnsi="方正小标宋_GBK" w:eastAsia="方正小标宋_GBK" w:cs="方正小标宋_GBK"/>
          <w:sz w:val="52"/>
          <w:szCs w:val="52"/>
        </w:rPr>
      </w:pPr>
      <w:r>
        <w:rPr>
          <w:rFonts w:hint="eastAsia" w:ascii="方正小标宋_GBK" w:hAnsi="方正小标宋_GBK" w:eastAsia="方正小标宋_GBK" w:cs="方正小标宋_GBK"/>
          <w:sz w:val="44"/>
          <w:szCs w:val="44"/>
        </w:rPr>
        <w:t>公开说明</w:t>
      </w:r>
    </w:p>
    <w:p>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pPr>
        <w:widowControl/>
        <w:jc w:val="center"/>
        <w:rPr>
          <w:rFonts w:ascii="黑体" w:hAnsi="黑体" w:eastAsia="黑体" w:cstheme="minorBidi"/>
          <w:sz w:val="28"/>
          <w:szCs w:val="28"/>
        </w:rPr>
      </w:pPr>
    </w:p>
    <w:p>
      <w:pPr>
        <w:pStyle w:val="10"/>
      </w:pPr>
      <w:r>
        <w:rPr>
          <w:rFonts w:hint="eastAsia"/>
        </w:rPr>
        <w:t>公开时间：2023年8 月31 日</w:t>
      </w:r>
    </w:p>
    <w:p/>
    <w:p>
      <w:pPr>
        <w:pStyle w:val="10"/>
        <w:adjustRightInd w:val="0"/>
        <w:snapToGrid w:val="0"/>
        <w:spacing w:before="0" w:line="440" w:lineRule="exact"/>
        <w:jc w:val="left"/>
        <w:rPr>
          <w:rFonts w:cstheme="minorBidi"/>
          <w:sz w:val="24"/>
          <w:szCs w:val="24"/>
        </w:rPr>
      </w:pPr>
      <w:r>
        <w:rPr>
          <w:rFonts w:hint="eastAsia"/>
          <w:sz w:val="24"/>
        </w:rPr>
        <w:t>第一部分</w:t>
      </w:r>
      <w:r>
        <w:rPr>
          <w:sz w:val="24"/>
        </w:rPr>
        <w:t xml:space="preserve"> </w:t>
      </w:r>
      <w:r>
        <w:rPr>
          <w:rFonts w:hint="eastAsia"/>
          <w:sz w:val="24"/>
        </w:rPr>
        <w:t>单位概况</w:t>
      </w:r>
    </w:p>
    <w:p>
      <w:pPr>
        <w:pStyle w:val="11"/>
        <w:adjustRightInd w:val="0"/>
        <w:snapToGrid w:val="0"/>
        <w:spacing w:line="440" w:lineRule="exact"/>
        <w:jc w:val="left"/>
        <w:rPr>
          <w:sz w:val="24"/>
        </w:rPr>
      </w:pPr>
      <w:r>
        <w:rPr>
          <w:rFonts w:hint="eastAsia"/>
          <w:sz w:val="24"/>
        </w:rPr>
        <w:t>一、主要职责</w:t>
      </w:r>
    </w:p>
    <w:p>
      <w:pPr>
        <w:pStyle w:val="11"/>
        <w:adjustRightInd w:val="0"/>
        <w:snapToGrid w:val="0"/>
        <w:spacing w:line="440" w:lineRule="exact"/>
        <w:jc w:val="left"/>
      </w:pPr>
      <w:r>
        <w:rPr>
          <w:rFonts w:hint="eastAsia"/>
          <w:sz w:val="24"/>
        </w:rPr>
        <w:t>二、机构设置</w:t>
      </w:r>
    </w:p>
    <w:p>
      <w:pPr>
        <w:pStyle w:val="10"/>
        <w:adjustRightInd w:val="0"/>
        <w:snapToGrid w:val="0"/>
        <w:spacing w:before="0" w:line="440" w:lineRule="exact"/>
        <w:jc w:val="left"/>
        <w:rPr>
          <w:sz w:val="24"/>
          <w:szCs w:val="24"/>
        </w:rPr>
      </w:pPr>
      <w:r>
        <w:rPr>
          <w:rFonts w:hint="eastAsia"/>
          <w:sz w:val="24"/>
        </w:rPr>
        <w:t>第二部分 2022年度单位决算情况说明</w:t>
      </w:r>
    </w:p>
    <w:p>
      <w:pPr>
        <w:pStyle w:val="11"/>
        <w:adjustRightInd w:val="0"/>
        <w:snapToGrid w:val="0"/>
        <w:spacing w:line="440" w:lineRule="exact"/>
        <w:jc w:val="left"/>
        <w:rPr>
          <w:rFonts w:ascii="仿宋" w:hAnsi="仿宋" w:eastAsia="仿宋" w:cstheme="minorBidi"/>
          <w:sz w:val="24"/>
        </w:rPr>
      </w:pPr>
      <w:r>
        <w:rPr>
          <w:rFonts w:hint="eastAsia"/>
          <w:sz w:val="24"/>
        </w:rPr>
        <w:t>一、收入支出决算总体情况说明</w:t>
      </w:r>
    </w:p>
    <w:p>
      <w:pPr>
        <w:pStyle w:val="11"/>
        <w:adjustRightInd w:val="0"/>
        <w:snapToGrid w:val="0"/>
        <w:spacing w:line="440" w:lineRule="exact"/>
        <w:jc w:val="left"/>
        <w:rPr>
          <w:rFonts w:ascii="仿宋" w:hAnsi="仿宋" w:eastAsia="仿宋" w:cstheme="minorBidi"/>
          <w:sz w:val="24"/>
        </w:rPr>
      </w:pPr>
      <w:r>
        <w:rPr>
          <w:rFonts w:hint="eastAsia"/>
          <w:sz w:val="24"/>
        </w:rPr>
        <w:t>二、收入决算情况说明</w:t>
      </w:r>
    </w:p>
    <w:p>
      <w:pPr>
        <w:pStyle w:val="11"/>
        <w:adjustRightInd w:val="0"/>
        <w:snapToGrid w:val="0"/>
        <w:spacing w:line="440" w:lineRule="exact"/>
        <w:jc w:val="left"/>
        <w:rPr>
          <w:rFonts w:ascii="仿宋" w:hAnsi="仿宋" w:eastAsia="仿宋" w:cstheme="minorBidi"/>
          <w:sz w:val="24"/>
        </w:rPr>
      </w:pPr>
      <w:r>
        <w:rPr>
          <w:rFonts w:hint="eastAsia"/>
          <w:sz w:val="24"/>
        </w:rPr>
        <w:t>三、支出决算情况说明</w:t>
      </w:r>
    </w:p>
    <w:p>
      <w:pPr>
        <w:pStyle w:val="11"/>
        <w:adjustRightInd w:val="0"/>
        <w:snapToGrid w:val="0"/>
        <w:spacing w:line="440" w:lineRule="exact"/>
        <w:jc w:val="left"/>
        <w:rPr>
          <w:rFonts w:ascii="仿宋" w:hAnsi="仿宋" w:eastAsia="仿宋" w:cstheme="minorBidi"/>
          <w:sz w:val="24"/>
        </w:rPr>
      </w:pPr>
      <w:r>
        <w:rPr>
          <w:rFonts w:hint="eastAsia"/>
          <w:sz w:val="24"/>
        </w:rPr>
        <w:t>四、财政拨款收入支出决算总体情况说明</w:t>
      </w:r>
    </w:p>
    <w:p>
      <w:pPr>
        <w:pStyle w:val="11"/>
        <w:adjustRightInd w:val="0"/>
        <w:snapToGrid w:val="0"/>
        <w:spacing w:line="440" w:lineRule="exact"/>
        <w:jc w:val="left"/>
        <w:rPr>
          <w:rFonts w:ascii="仿宋" w:hAnsi="仿宋" w:eastAsia="仿宋" w:cstheme="minorBidi"/>
          <w:sz w:val="24"/>
        </w:rPr>
      </w:pPr>
      <w:r>
        <w:rPr>
          <w:rFonts w:hint="eastAsia"/>
          <w:sz w:val="24"/>
        </w:rPr>
        <w:t>五、一般公共预算财政拨款支出决算情况说明</w:t>
      </w:r>
    </w:p>
    <w:p>
      <w:pPr>
        <w:pStyle w:val="11"/>
        <w:adjustRightInd w:val="0"/>
        <w:snapToGrid w:val="0"/>
        <w:spacing w:line="440" w:lineRule="exact"/>
        <w:jc w:val="left"/>
        <w:rPr>
          <w:rFonts w:ascii="仿宋" w:hAnsi="仿宋" w:eastAsia="仿宋" w:cstheme="minorBidi"/>
          <w:sz w:val="24"/>
        </w:rPr>
      </w:pPr>
      <w:r>
        <w:rPr>
          <w:rFonts w:hint="eastAsia"/>
          <w:sz w:val="24"/>
        </w:rPr>
        <w:t>六、一般公共预算财政拨款基本支出决算情况说明</w:t>
      </w:r>
    </w:p>
    <w:p>
      <w:pPr>
        <w:pStyle w:val="11"/>
        <w:adjustRightInd w:val="0"/>
        <w:snapToGrid w:val="0"/>
        <w:spacing w:line="440" w:lineRule="exact"/>
        <w:jc w:val="left"/>
        <w:rPr>
          <w:rFonts w:ascii="仿宋" w:hAnsi="仿宋" w:eastAsia="仿宋" w:cstheme="minorBidi"/>
          <w:sz w:val="24"/>
        </w:rPr>
      </w:pPr>
      <w:r>
        <w:rPr>
          <w:rFonts w:hint="eastAsia"/>
          <w:sz w:val="24"/>
        </w:rPr>
        <w:t>七、财政拨款“三公”经费支出决算情况说明</w:t>
      </w:r>
    </w:p>
    <w:p>
      <w:pPr>
        <w:pStyle w:val="11"/>
        <w:adjustRightInd w:val="0"/>
        <w:snapToGrid w:val="0"/>
        <w:spacing w:line="440" w:lineRule="exact"/>
        <w:jc w:val="left"/>
        <w:rPr>
          <w:rFonts w:ascii="仿宋" w:hAnsi="仿宋" w:eastAsia="仿宋" w:cstheme="minorBidi"/>
          <w:sz w:val="24"/>
        </w:rPr>
      </w:pPr>
      <w:r>
        <w:rPr>
          <w:rFonts w:hint="eastAsia"/>
          <w:sz w:val="24"/>
        </w:rPr>
        <w:t>八、政府性基金预算支出决算情况说明</w:t>
      </w:r>
    </w:p>
    <w:p>
      <w:pPr>
        <w:pStyle w:val="11"/>
        <w:adjustRightInd w:val="0"/>
        <w:snapToGrid w:val="0"/>
        <w:spacing w:line="440" w:lineRule="exact"/>
        <w:jc w:val="left"/>
        <w:rPr>
          <w:sz w:val="24"/>
        </w:rPr>
      </w:pPr>
      <w:r>
        <w:rPr>
          <w:rFonts w:hint="eastAsia"/>
          <w:sz w:val="24"/>
        </w:rPr>
        <w:t>九、国有资本经营预算支出决算情况说明</w:t>
      </w:r>
    </w:p>
    <w:p>
      <w:pPr>
        <w:pStyle w:val="11"/>
        <w:adjustRightInd w:val="0"/>
        <w:snapToGrid w:val="0"/>
        <w:spacing w:line="440" w:lineRule="exact"/>
        <w:jc w:val="left"/>
        <w:rPr>
          <w:sz w:val="24"/>
        </w:rPr>
      </w:pPr>
      <w:r>
        <w:rPr>
          <w:rFonts w:hint="eastAsia"/>
          <w:sz w:val="24"/>
        </w:rPr>
        <w:t>十、其他重要事项的情况说明</w:t>
      </w:r>
    </w:p>
    <w:p>
      <w:pPr>
        <w:pStyle w:val="10"/>
        <w:adjustRightInd w:val="0"/>
        <w:snapToGrid w:val="0"/>
        <w:spacing w:before="0" w:line="440" w:lineRule="exact"/>
        <w:jc w:val="left"/>
        <w:rPr>
          <w:rFonts w:cstheme="minorBidi"/>
          <w:sz w:val="24"/>
          <w:szCs w:val="24"/>
        </w:rPr>
      </w:pPr>
      <w:r>
        <w:rPr>
          <w:rFonts w:hint="eastAsia"/>
          <w:sz w:val="24"/>
        </w:rPr>
        <w:t>第三部分</w:t>
      </w:r>
      <w:r>
        <w:rPr>
          <w:sz w:val="24"/>
        </w:rPr>
        <w:t xml:space="preserve"> </w:t>
      </w:r>
      <w:r>
        <w:rPr>
          <w:rFonts w:hint="eastAsia"/>
          <w:sz w:val="24"/>
        </w:rPr>
        <w:t>名词解释</w:t>
      </w:r>
    </w:p>
    <w:p>
      <w:pPr>
        <w:pStyle w:val="10"/>
        <w:adjustRightInd w:val="0"/>
        <w:snapToGrid w:val="0"/>
        <w:spacing w:before="0" w:line="440" w:lineRule="exact"/>
        <w:jc w:val="left"/>
        <w:rPr>
          <w:rFonts w:cstheme="minorBidi"/>
          <w:sz w:val="24"/>
          <w:szCs w:val="24"/>
        </w:rPr>
      </w:pPr>
      <w:r>
        <w:rPr>
          <w:rFonts w:hint="eastAsia"/>
          <w:sz w:val="24"/>
        </w:rPr>
        <w:t>第四部分</w:t>
      </w:r>
      <w:r>
        <w:rPr>
          <w:sz w:val="24"/>
        </w:rPr>
        <w:t xml:space="preserve"> </w:t>
      </w:r>
      <w:r>
        <w:rPr>
          <w:rFonts w:hint="eastAsia"/>
          <w:sz w:val="24"/>
        </w:rPr>
        <w:t>附件</w:t>
      </w:r>
    </w:p>
    <w:p>
      <w:pPr>
        <w:pStyle w:val="10"/>
        <w:adjustRightInd w:val="0"/>
        <w:snapToGrid w:val="0"/>
        <w:spacing w:before="0" w:line="440" w:lineRule="exact"/>
        <w:jc w:val="left"/>
        <w:rPr>
          <w:rFonts w:cstheme="minorBidi"/>
          <w:sz w:val="24"/>
          <w:szCs w:val="24"/>
        </w:rPr>
      </w:pPr>
      <w:r>
        <w:rPr>
          <w:rFonts w:hint="eastAsia"/>
          <w:sz w:val="24"/>
        </w:rPr>
        <w:t>第五部分</w:t>
      </w:r>
      <w:r>
        <w:rPr>
          <w:sz w:val="24"/>
        </w:rPr>
        <w:t xml:space="preserve"> </w:t>
      </w:r>
      <w:r>
        <w:rPr>
          <w:rFonts w:hint="eastAsia"/>
          <w:sz w:val="24"/>
        </w:rPr>
        <w:t>附表</w:t>
      </w:r>
    </w:p>
    <w:p>
      <w:pPr>
        <w:pStyle w:val="11"/>
        <w:adjustRightInd w:val="0"/>
        <w:snapToGrid w:val="0"/>
        <w:spacing w:line="440" w:lineRule="exact"/>
        <w:jc w:val="left"/>
        <w:rPr>
          <w:sz w:val="24"/>
        </w:rPr>
      </w:pPr>
      <w:r>
        <w:rPr>
          <w:rFonts w:hint="eastAsia"/>
          <w:sz w:val="24"/>
        </w:rPr>
        <w:t>一、收入支出决算总表</w:t>
      </w:r>
    </w:p>
    <w:p>
      <w:pPr>
        <w:pStyle w:val="11"/>
        <w:adjustRightInd w:val="0"/>
        <w:snapToGrid w:val="0"/>
        <w:spacing w:line="440" w:lineRule="exact"/>
        <w:jc w:val="left"/>
        <w:rPr>
          <w:sz w:val="24"/>
        </w:rPr>
      </w:pPr>
      <w:r>
        <w:rPr>
          <w:rFonts w:hint="eastAsia"/>
          <w:sz w:val="24"/>
        </w:rPr>
        <w:t>二、收入决算表</w:t>
      </w:r>
    </w:p>
    <w:p>
      <w:pPr>
        <w:pStyle w:val="11"/>
        <w:adjustRightInd w:val="0"/>
        <w:snapToGrid w:val="0"/>
        <w:spacing w:line="440" w:lineRule="exact"/>
        <w:jc w:val="left"/>
        <w:rPr>
          <w:sz w:val="24"/>
        </w:rPr>
      </w:pPr>
      <w:r>
        <w:rPr>
          <w:rFonts w:hint="eastAsia"/>
          <w:sz w:val="24"/>
        </w:rPr>
        <w:t>三、支出决算表</w:t>
      </w:r>
    </w:p>
    <w:p>
      <w:pPr>
        <w:pStyle w:val="11"/>
        <w:adjustRightInd w:val="0"/>
        <w:snapToGrid w:val="0"/>
        <w:spacing w:line="440" w:lineRule="exact"/>
        <w:jc w:val="left"/>
        <w:rPr>
          <w:sz w:val="24"/>
        </w:rPr>
      </w:pPr>
      <w:r>
        <w:rPr>
          <w:rFonts w:hint="eastAsia"/>
          <w:sz w:val="24"/>
        </w:rPr>
        <w:t>四、财政拨款收入支出决算总表</w:t>
      </w:r>
    </w:p>
    <w:p>
      <w:pPr>
        <w:pStyle w:val="11"/>
        <w:adjustRightInd w:val="0"/>
        <w:snapToGrid w:val="0"/>
        <w:spacing w:line="440" w:lineRule="exact"/>
        <w:jc w:val="left"/>
        <w:rPr>
          <w:sz w:val="24"/>
        </w:rPr>
      </w:pPr>
      <w:r>
        <w:rPr>
          <w:rFonts w:hint="eastAsia"/>
          <w:sz w:val="24"/>
        </w:rPr>
        <w:t>五、财政拨款支出决算明细表</w:t>
      </w:r>
    </w:p>
    <w:p>
      <w:pPr>
        <w:pStyle w:val="11"/>
        <w:adjustRightInd w:val="0"/>
        <w:snapToGrid w:val="0"/>
        <w:spacing w:line="440" w:lineRule="exact"/>
        <w:jc w:val="left"/>
        <w:rPr>
          <w:sz w:val="24"/>
        </w:rPr>
      </w:pPr>
      <w:r>
        <w:rPr>
          <w:rFonts w:hint="eastAsia"/>
          <w:sz w:val="24"/>
        </w:rPr>
        <w:t>六、一般公共预算财政拨款支出决算表</w:t>
      </w:r>
    </w:p>
    <w:p>
      <w:pPr>
        <w:pStyle w:val="11"/>
        <w:adjustRightInd w:val="0"/>
        <w:snapToGrid w:val="0"/>
        <w:spacing w:line="440" w:lineRule="exact"/>
        <w:jc w:val="left"/>
        <w:rPr>
          <w:sz w:val="24"/>
        </w:rPr>
      </w:pPr>
      <w:r>
        <w:rPr>
          <w:rFonts w:hint="eastAsia"/>
          <w:sz w:val="24"/>
        </w:rPr>
        <w:t>七、一般公共预算财政拨款支出决算明细表</w:t>
      </w:r>
    </w:p>
    <w:p>
      <w:pPr>
        <w:pStyle w:val="11"/>
        <w:adjustRightInd w:val="0"/>
        <w:snapToGrid w:val="0"/>
        <w:spacing w:line="440" w:lineRule="exact"/>
        <w:jc w:val="left"/>
        <w:rPr>
          <w:sz w:val="24"/>
        </w:rPr>
      </w:pPr>
      <w:r>
        <w:rPr>
          <w:rFonts w:hint="eastAsia"/>
          <w:sz w:val="24"/>
        </w:rPr>
        <w:t>八、一般公共预算财政拨款基本支出决算明细表</w:t>
      </w:r>
    </w:p>
    <w:p>
      <w:pPr>
        <w:pStyle w:val="11"/>
        <w:adjustRightInd w:val="0"/>
        <w:snapToGrid w:val="0"/>
        <w:spacing w:line="440" w:lineRule="exact"/>
        <w:jc w:val="left"/>
        <w:rPr>
          <w:sz w:val="24"/>
        </w:rPr>
      </w:pPr>
      <w:r>
        <w:rPr>
          <w:rFonts w:hint="eastAsia"/>
          <w:sz w:val="24"/>
        </w:rPr>
        <w:t>九、一般公共预算财政拨款项目支出决算表</w:t>
      </w:r>
    </w:p>
    <w:p>
      <w:pPr>
        <w:pStyle w:val="11"/>
        <w:adjustRightInd w:val="0"/>
        <w:snapToGrid w:val="0"/>
        <w:spacing w:line="440" w:lineRule="exact"/>
        <w:jc w:val="left"/>
        <w:rPr>
          <w:sz w:val="24"/>
        </w:rPr>
      </w:pPr>
      <w:r>
        <w:rPr>
          <w:rFonts w:hint="eastAsia"/>
          <w:sz w:val="24"/>
        </w:rPr>
        <w:t>十、政府性基金预算财政拨款收入支出决算表</w:t>
      </w:r>
    </w:p>
    <w:p>
      <w:pPr>
        <w:pStyle w:val="11"/>
        <w:adjustRightInd w:val="0"/>
        <w:snapToGrid w:val="0"/>
        <w:spacing w:line="440" w:lineRule="exact"/>
        <w:jc w:val="left"/>
        <w:rPr>
          <w:sz w:val="24"/>
        </w:rPr>
      </w:pPr>
      <w:r>
        <w:rPr>
          <w:rFonts w:hint="eastAsia"/>
          <w:sz w:val="24"/>
        </w:rPr>
        <w:t>十一、国有资本经营预算财政拨款收入支出决算表</w:t>
      </w:r>
    </w:p>
    <w:p>
      <w:pPr>
        <w:pStyle w:val="11"/>
        <w:adjustRightInd w:val="0"/>
        <w:snapToGrid w:val="0"/>
        <w:spacing w:line="440" w:lineRule="exact"/>
        <w:jc w:val="left"/>
        <w:rPr>
          <w:sz w:val="24"/>
        </w:rPr>
      </w:pPr>
      <w:r>
        <w:rPr>
          <w:rFonts w:hint="eastAsia"/>
          <w:sz w:val="24"/>
        </w:rPr>
        <w:t>十二、国有资本经营预算财政拨款支出决算表</w:t>
      </w:r>
    </w:p>
    <w:p>
      <w:pPr>
        <w:pStyle w:val="11"/>
        <w:adjustRightInd w:val="0"/>
        <w:snapToGrid w:val="0"/>
        <w:spacing w:line="440" w:lineRule="exact"/>
        <w:jc w:val="left"/>
        <w:rPr>
          <w:sz w:val="24"/>
        </w:rPr>
      </w:pPr>
      <w:r>
        <w:rPr>
          <w:rFonts w:hint="eastAsia"/>
          <w:sz w:val="24"/>
        </w:rPr>
        <w:t>十三、财政拨款“三公”经费支出决算表</w:t>
      </w:r>
    </w:p>
    <w:p>
      <w:pPr>
        <w:widowControl/>
        <w:adjustRightInd w:val="0"/>
        <w:snapToGrid w:val="0"/>
        <w:spacing w:line="440" w:lineRule="exact"/>
        <w:ind w:firstLine="1320" w:firstLineChars="550"/>
        <w:jc w:val="left"/>
        <w:rPr>
          <w:rFonts w:ascii="仿宋" w:hAnsi="仿宋" w:eastAsia="仿宋"/>
          <w:sz w:val="24"/>
        </w:rPr>
      </w:pPr>
      <w:r>
        <w:rPr>
          <w:rFonts w:ascii="仿宋" w:hAnsi="仿宋" w:eastAsia="仿宋"/>
          <w:sz w:val="24"/>
        </w:rPr>
        <w:t>(注：</w:t>
      </w:r>
      <w:r>
        <w:rPr>
          <w:rFonts w:hint="eastAsia" w:ascii="仿宋" w:hAnsi="仿宋" w:eastAsia="仿宋"/>
          <w:sz w:val="24"/>
        </w:rPr>
        <w:t>请单位根据实际注明页码</w:t>
      </w:r>
      <w:r>
        <w:rPr>
          <w:rFonts w:ascii="仿宋" w:hAnsi="仿宋" w:eastAsia="仿宋"/>
          <w:sz w:val="24"/>
        </w:rPr>
        <w:t>)</w:t>
      </w:r>
    </w:p>
    <w:p>
      <w:pPr>
        <w:widowControl/>
        <w:spacing w:line="440" w:lineRule="exact"/>
        <w:jc w:val="left"/>
        <w:rPr>
          <w:rFonts w:ascii="仿宋" w:hAnsi="仿宋" w:eastAsia="仿宋"/>
          <w:bCs/>
          <w:kern w:val="44"/>
          <w:sz w:val="24"/>
        </w:rPr>
      </w:pPr>
      <w:bookmarkStart w:id="12" w:name="_Toc15377196"/>
      <w:bookmarkStart w:id="13" w:name="_Toc15396599"/>
      <w:r>
        <w:rPr>
          <w:rFonts w:ascii="仿宋" w:hAnsi="仿宋" w:eastAsia="仿宋"/>
          <w:b/>
          <w:sz w:val="24"/>
        </w:rPr>
        <w:br w:type="page"/>
      </w:r>
    </w:p>
    <w:p>
      <w:pPr>
        <w:pStyle w:val="3"/>
        <w:jc w:val="center"/>
        <w:rPr>
          <w:rStyle w:val="18"/>
          <w:rFonts w:ascii="黑体" w:hAnsi="黑体" w:eastAsia="黑体"/>
          <w:b/>
          <w:bCs w:val="0"/>
        </w:rPr>
      </w:pPr>
      <w:r>
        <w:rPr>
          <w:rFonts w:hint="eastAsia" w:ascii="黑体" w:hAnsi="黑体" w:eastAsia="黑体"/>
          <w:b w:val="0"/>
        </w:rPr>
        <w:t>第一部分 单位</w:t>
      </w:r>
      <w:r>
        <w:rPr>
          <w:rStyle w:val="18"/>
          <w:rFonts w:hint="eastAsia" w:ascii="黑体" w:hAnsi="黑体" w:eastAsia="黑体"/>
          <w:b w:val="0"/>
          <w:bCs w:val="0"/>
        </w:rPr>
        <w:t>概况</w:t>
      </w:r>
      <w:bookmarkEnd w:id="12"/>
      <w:bookmarkEnd w:id="13"/>
    </w:p>
    <w:p>
      <w:pPr>
        <w:widowControl/>
        <w:jc w:val="left"/>
        <w:rPr>
          <w:rFonts w:ascii="黑体" w:eastAsia="黑体"/>
          <w:sz w:val="32"/>
          <w:szCs w:val="32"/>
        </w:rPr>
      </w:pPr>
    </w:p>
    <w:p>
      <w:pPr>
        <w:pStyle w:val="4"/>
        <w:numPr>
          <w:ilvl w:val="0"/>
          <w:numId w:val="1"/>
        </w:numPr>
        <w:rPr>
          <w:rStyle w:val="19"/>
          <w:rFonts w:ascii="黑体" w:hAnsi="黑体" w:eastAsia="黑体"/>
          <w:b w:val="0"/>
          <w:bCs w:val="0"/>
        </w:rPr>
      </w:pPr>
      <w:bookmarkStart w:id="14" w:name="_Toc15396600"/>
      <w:bookmarkStart w:id="15" w:name="_Toc15377197"/>
      <w:r>
        <w:rPr>
          <w:rStyle w:val="19"/>
          <w:rFonts w:hint="eastAsia" w:ascii="黑体" w:hAnsi="黑体" w:eastAsia="黑体"/>
          <w:b w:val="0"/>
          <w:bCs w:val="0"/>
        </w:rPr>
        <w:t>主要职责</w:t>
      </w:r>
    </w:p>
    <w:p>
      <w:pPr>
        <w:rPr>
          <w:rFonts w:hAnsi="Calibri" w:eastAsia="方正仿宋简体"/>
          <w:bCs/>
          <w:color w:val="000000"/>
          <w:kern w:val="0"/>
          <w:sz w:val="32"/>
          <w:szCs w:val="32"/>
        </w:rPr>
      </w:pPr>
      <w:r>
        <w:rPr>
          <w:rFonts w:hAnsi="Calibri" w:eastAsia="方正仿宋简体"/>
          <w:bCs/>
          <w:color w:val="000000"/>
          <w:kern w:val="0"/>
          <w:sz w:val="32"/>
          <w:szCs w:val="32"/>
        </w:rPr>
        <w:t>（一）、社区预防：社区卫生诊断，传染病疫情报告和监测，预防接种，结核病、艾滋病等重大传染病预防，常见传染病防治，地方病、寄生虫病防治，健康档案管理，爱国卫生指导等。</w:t>
      </w:r>
      <w:r>
        <w:rPr>
          <w:rFonts w:hAnsi="Calibri" w:eastAsia="方正仿宋简体"/>
          <w:bCs/>
          <w:color w:val="000000"/>
          <w:kern w:val="0"/>
          <w:sz w:val="32"/>
          <w:szCs w:val="32"/>
        </w:rPr>
        <w:br w:type="textWrapping"/>
      </w:r>
      <w:r>
        <w:rPr>
          <w:rFonts w:hAnsi="Calibri" w:eastAsia="方正仿宋简体"/>
          <w:bCs/>
          <w:color w:val="000000"/>
          <w:kern w:val="0"/>
          <w:sz w:val="32"/>
          <w:szCs w:val="32"/>
        </w:rPr>
        <w:t>（二）、妇女保健，儿童保健，老年保健等。</w:t>
      </w:r>
      <w:r>
        <w:rPr>
          <w:rFonts w:hAnsi="Calibri" w:eastAsia="方正仿宋简体"/>
          <w:bCs/>
          <w:color w:val="000000"/>
          <w:kern w:val="0"/>
          <w:sz w:val="32"/>
          <w:szCs w:val="32"/>
        </w:rPr>
        <w:br w:type="textWrapping"/>
      </w:r>
      <w:r>
        <w:rPr>
          <w:rFonts w:hAnsi="Calibri" w:eastAsia="方正仿宋简体"/>
          <w:bCs/>
          <w:color w:val="000000"/>
          <w:kern w:val="0"/>
          <w:sz w:val="32"/>
          <w:szCs w:val="32"/>
        </w:rPr>
        <w:t>（三）、社区医疗：一般常见病、多发病的诊疗，社区现场救护 ，慢性病筛查和重点慢性病病例管理，精神病患者管理，转诊服务等。</w:t>
      </w:r>
      <w:r>
        <w:rPr>
          <w:rFonts w:hAnsi="Calibri" w:eastAsia="方正仿宋简体"/>
          <w:bCs/>
          <w:color w:val="000000"/>
          <w:kern w:val="0"/>
          <w:sz w:val="32"/>
          <w:szCs w:val="32"/>
        </w:rPr>
        <w:br w:type="textWrapping"/>
      </w:r>
      <w:r>
        <w:rPr>
          <w:rFonts w:hAnsi="Calibri" w:eastAsia="方正仿宋简体"/>
          <w:bCs/>
          <w:color w:val="000000"/>
          <w:kern w:val="0"/>
          <w:sz w:val="32"/>
          <w:szCs w:val="32"/>
        </w:rPr>
        <w:t>（四）、社区康复：残疾康复，疾病恢复期康复，家庭和社区康复训练指导等。</w:t>
      </w:r>
      <w:r>
        <w:rPr>
          <w:rFonts w:hAnsi="Calibri" w:eastAsia="方正仿宋简体"/>
          <w:bCs/>
          <w:color w:val="000000"/>
          <w:kern w:val="0"/>
          <w:sz w:val="32"/>
          <w:szCs w:val="32"/>
        </w:rPr>
        <w:br w:type="textWrapping"/>
      </w:r>
      <w:r>
        <w:rPr>
          <w:rFonts w:hAnsi="Calibri" w:eastAsia="方正仿宋简体"/>
          <w:bCs/>
          <w:color w:val="000000"/>
          <w:kern w:val="0"/>
          <w:sz w:val="32"/>
          <w:szCs w:val="32"/>
        </w:rPr>
        <w:t>（五）、社区健康教育：卫生知识普及，个体和群体的健康管理，重点人群与重点场所健康教育，宣传健康行为和生活方式等。</w:t>
      </w:r>
      <w:r>
        <w:rPr>
          <w:rFonts w:hAnsi="Calibri" w:eastAsia="方正仿宋简体"/>
          <w:bCs/>
          <w:color w:val="000000"/>
          <w:kern w:val="0"/>
          <w:sz w:val="32"/>
          <w:szCs w:val="32"/>
        </w:rPr>
        <w:br w:type="textWrapping"/>
      </w:r>
      <w:r>
        <w:rPr>
          <w:rFonts w:hAnsi="Calibri" w:eastAsia="方正仿宋简体"/>
          <w:bCs/>
          <w:color w:val="000000"/>
          <w:kern w:val="0"/>
          <w:sz w:val="32"/>
          <w:szCs w:val="32"/>
        </w:rPr>
        <w:t>（六）、社区计划生育：计划生育建设服务与咨询指导，发放避孕药具等。</w:t>
      </w:r>
    </w:p>
    <w:p>
      <w:pPr>
        <w:pStyle w:val="4"/>
        <w:rPr>
          <w:rFonts w:ascii="黑体" w:hAnsi="黑体" w:eastAsia="黑体"/>
          <w:b w:val="0"/>
        </w:rPr>
      </w:pPr>
      <w:r>
        <w:rPr>
          <w:rFonts w:hint="eastAsia" w:ascii="黑体" w:hAnsi="黑体" w:eastAsia="黑体"/>
          <w:b w:val="0"/>
        </w:rPr>
        <w:t>二、机构设置</w:t>
      </w:r>
    </w:p>
    <w:p>
      <w:pPr>
        <w:ind w:firstLine="800" w:firstLineChars="250"/>
        <w:rPr>
          <w:rFonts w:hAnsi="Calibri" w:eastAsia="方正仿宋简体"/>
          <w:bCs/>
          <w:color w:val="000000"/>
          <w:kern w:val="0"/>
          <w:sz w:val="32"/>
          <w:szCs w:val="32"/>
        </w:rPr>
      </w:pPr>
      <w:r>
        <w:rPr>
          <w:rFonts w:hint="eastAsia" w:hAnsi="Calibri" w:eastAsia="方正仿宋简体"/>
          <w:bCs/>
          <w:color w:val="000000"/>
          <w:kern w:val="0"/>
          <w:sz w:val="32"/>
          <w:szCs w:val="32"/>
        </w:rPr>
        <w:t>资阳市雁江区宝莲社区卫生服务中心下属二级预算单位</w:t>
      </w:r>
      <w:r>
        <w:rPr>
          <w:rFonts w:hAnsi="Calibri" w:eastAsia="方正仿宋简体"/>
          <w:bCs/>
          <w:color w:val="000000"/>
          <w:kern w:val="0"/>
          <w:sz w:val="32"/>
          <w:szCs w:val="32"/>
        </w:rPr>
        <w:t>0</w:t>
      </w:r>
      <w:r>
        <w:rPr>
          <w:rFonts w:hint="eastAsia" w:hAnsi="Calibri" w:eastAsia="方正仿宋简体"/>
          <w:bCs/>
          <w:color w:val="000000"/>
          <w:kern w:val="0"/>
          <w:sz w:val="32"/>
          <w:szCs w:val="32"/>
        </w:rPr>
        <w:t>个，其中行政单位</w:t>
      </w:r>
      <w:r>
        <w:rPr>
          <w:rFonts w:hAnsi="Calibri" w:eastAsia="方正仿宋简体"/>
          <w:bCs/>
          <w:color w:val="000000"/>
          <w:kern w:val="0"/>
          <w:sz w:val="32"/>
          <w:szCs w:val="32"/>
        </w:rPr>
        <w:t>0</w:t>
      </w:r>
      <w:r>
        <w:rPr>
          <w:rFonts w:hint="eastAsia" w:hAnsi="Calibri" w:eastAsia="方正仿宋简体"/>
          <w:bCs/>
          <w:color w:val="000000"/>
          <w:kern w:val="0"/>
          <w:sz w:val="32"/>
          <w:szCs w:val="32"/>
        </w:rPr>
        <w:t>个，参照公务员法管理的事业单位</w:t>
      </w:r>
      <w:r>
        <w:rPr>
          <w:rFonts w:hAnsi="Calibri" w:eastAsia="方正仿宋简体"/>
          <w:bCs/>
          <w:color w:val="000000"/>
          <w:kern w:val="0"/>
          <w:sz w:val="32"/>
          <w:szCs w:val="32"/>
        </w:rPr>
        <w:t>0</w:t>
      </w:r>
      <w:r>
        <w:rPr>
          <w:rFonts w:hint="eastAsia" w:hAnsi="Calibri" w:eastAsia="方正仿宋简体"/>
          <w:bCs/>
          <w:color w:val="000000"/>
          <w:kern w:val="0"/>
          <w:sz w:val="32"/>
          <w:szCs w:val="32"/>
        </w:rPr>
        <w:t>个，其他事业单位</w:t>
      </w:r>
      <w:r>
        <w:rPr>
          <w:rFonts w:hAnsi="Calibri" w:eastAsia="方正仿宋简体"/>
          <w:bCs/>
          <w:color w:val="000000"/>
          <w:kern w:val="0"/>
          <w:sz w:val="32"/>
          <w:szCs w:val="32"/>
        </w:rPr>
        <w:t>0</w:t>
      </w:r>
      <w:r>
        <w:rPr>
          <w:rFonts w:hint="eastAsia" w:hAnsi="Calibri" w:eastAsia="方正仿宋简体"/>
          <w:bCs/>
          <w:color w:val="000000"/>
          <w:kern w:val="0"/>
          <w:sz w:val="32"/>
          <w:szCs w:val="32"/>
        </w:rPr>
        <w:t>个。</w:t>
      </w:r>
    </w:p>
    <w:p/>
    <w:bookmarkEnd w:id="14"/>
    <w:bookmarkEnd w:id="15"/>
    <w:p>
      <w:pPr>
        <w:widowControl/>
        <w:jc w:val="left"/>
        <w:rPr>
          <w:rFonts w:ascii="仿宋" w:hAnsi="仿宋" w:eastAsia="仿宋"/>
          <w:kern w:val="0"/>
          <w:sz w:val="32"/>
          <w:szCs w:val="32"/>
        </w:rPr>
      </w:pPr>
      <w:r>
        <w:rPr>
          <w:rFonts w:ascii="仿宋" w:hAnsi="仿宋" w:eastAsia="仿宋"/>
          <w:sz w:val="32"/>
          <w:szCs w:val="32"/>
        </w:rPr>
        <w:br w:type="page"/>
      </w:r>
    </w:p>
    <w:p>
      <w:pPr>
        <w:pStyle w:val="3"/>
        <w:ind w:right="440"/>
        <w:jc w:val="center"/>
        <w:rPr>
          <w:rStyle w:val="18"/>
          <w:rFonts w:ascii="黑体" w:hAnsi="黑体" w:eastAsia="黑体"/>
          <w:b w:val="0"/>
          <w:bCs/>
        </w:rPr>
      </w:pPr>
      <w:bookmarkStart w:id="16" w:name="_Toc15377204"/>
      <w:bookmarkStart w:id="17" w:name="_Toc15396602"/>
      <w:r>
        <w:rPr>
          <w:rFonts w:hint="eastAsia" w:ascii="黑体" w:hAnsi="黑体" w:eastAsia="黑体"/>
          <w:b w:val="0"/>
        </w:rPr>
        <w:t>第二部分 2022年度</w:t>
      </w:r>
      <w:r>
        <w:rPr>
          <w:rStyle w:val="18"/>
          <w:rFonts w:hint="eastAsia" w:ascii="黑体" w:hAnsi="黑体" w:eastAsia="黑体"/>
          <w:b w:val="0"/>
          <w:bCs/>
        </w:rPr>
        <w:t>单位决算情况说明</w:t>
      </w:r>
      <w:bookmarkEnd w:id="16"/>
      <w:bookmarkEnd w:id="17"/>
    </w:p>
    <w:p/>
    <w:p>
      <w:pPr>
        <w:pStyle w:val="28"/>
        <w:numPr>
          <w:ilvl w:val="0"/>
          <w:numId w:val="2"/>
        </w:numPr>
        <w:spacing w:line="600" w:lineRule="exact"/>
        <w:ind w:firstLineChars="0"/>
        <w:outlineLvl w:val="1"/>
        <w:rPr>
          <w:rStyle w:val="19"/>
          <w:rFonts w:ascii="黑体" w:hAnsi="黑体" w:eastAsia="黑体"/>
          <w:b w:val="0"/>
        </w:rPr>
      </w:pPr>
      <w:bookmarkStart w:id="18" w:name="_Toc15396603"/>
      <w:bookmarkStart w:id="19" w:name="_Toc15377205"/>
      <w:r>
        <w:rPr>
          <w:rFonts w:hint="eastAsia" w:ascii="黑体" w:hAnsi="黑体" w:eastAsia="黑体"/>
          <w:sz w:val="32"/>
          <w:szCs w:val="32"/>
        </w:rPr>
        <w:t>收</w:t>
      </w:r>
      <w:r>
        <w:rPr>
          <w:rStyle w:val="19"/>
          <w:rFonts w:hint="eastAsia" w:ascii="黑体" w:hAnsi="黑体" w:eastAsia="黑体"/>
          <w:b w:val="0"/>
        </w:rPr>
        <w:t>入支出决算总体情况说明</w:t>
      </w:r>
      <w:bookmarkEnd w:id="18"/>
      <w:bookmarkEnd w:id="19"/>
    </w:p>
    <w:p>
      <w:pPr>
        <w:spacing w:line="600" w:lineRule="exact"/>
        <w:ind w:left="640" w:leftChars="305" w:firstLine="320" w:firstLineChars="100"/>
        <w:rPr>
          <w:rFonts w:ascii="仿宋" w:hAnsi="仿宋" w:eastAsia="仿宋"/>
          <w:sz w:val="32"/>
          <w:szCs w:val="32"/>
        </w:rPr>
      </w:pPr>
      <w:r>
        <w:rPr>
          <w:rFonts w:hint="eastAsia" w:eastAsia="方正仿宋简体"/>
          <w:bCs/>
          <w:color w:val="000000"/>
          <w:kern w:val="0"/>
          <w:sz w:val="32"/>
          <w:szCs w:val="32"/>
        </w:rPr>
        <w:t>2022年度收、支总计</w:t>
      </w:r>
      <w:r>
        <w:rPr>
          <w:rFonts w:eastAsia="方正仿宋简体"/>
          <w:bCs/>
          <w:color w:val="000000"/>
          <w:kern w:val="0"/>
          <w:sz w:val="32"/>
          <w:szCs w:val="32"/>
        </w:rPr>
        <w:t>794.46</w:t>
      </w:r>
      <w:r>
        <w:rPr>
          <w:rFonts w:hint="eastAsia" w:eastAsia="方正仿宋简体"/>
          <w:bCs/>
          <w:color w:val="000000"/>
          <w:kern w:val="0"/>
          <w:sz w:val="32"/>
          <w:szCs w:val="32"/>
        </w:rPr>
        <w:t>万元。与2021年相比，收、支总计增加</w:t>
      </w:r>
      <w:r>
        <w:rPr>
          <w:rFonts w:eastAsia="方正仿宋简体"/>
          <w:bCs/>
          <w:color w:val="000000"/>
          <w:kern w:val="0"/>
          <w:sz w:val="32"/>
          <w:szCs w:val="32"/>
        </w:rPr>
        <w:t>794.46</w:t>
      </w:r>
      <w:r>
        <w:rPr>
          <w:rFonts w:hint="eastAsia" w:eastAsia="方正仿宋简体"/>
          <w:bCs/>
          <w:color w:val="000000"/>
          <w:kern w:val="0"/>
          <w:sz w:val="32"/>
          <w:szCs w:val="32"/>
        </w:rPr>
        <w:t>万元，增长</w:t>
      </w:r>
      <w:r>
        <w:rPr>
          <w:rFonts w:eastAsia="方正仿宋简体"/>
          <w:bCs/>
          <w:color w:val="000000"/>
          <w:kern w:val="0"/>
          <w:sz w:val="32"/>
          <w:szCs w:val="32"/>
        </w:rPr>
        <w:t>100%</w:t>
      </w:r>
      <w:r>
        <w:rPr>
          <w:rFonts w:hint="eastAsia" w:eastAsia="方正仿宋简体"/>
          <w:bCs/>
          <w:color w:val="000000"/>
          <w:kern w:val="0"/>
          <w:sz w:val="32"/>
          <w:szCs w:val="32"/>
        </w:rPr>
        <w:t>。主要变动原因是单位成立于2</w:t>
      </w:r>
      <w:r>
        <w:rPr>
          <w:rFonts w:eastAsia="方正仿宋简体"/>
          <w:bCs/>
          <w:color w:val="000000"/>
          <w:kern w:val="0"/>
          <w:sz w:val="32"/>
          <w:szCs w:val="32"/>
        </w:rPr>
        <w:t>022</w:t>
      </w:r>
      <w:r>
        <w:rPr>
          <w:rFonts w:hint="eastAsia" w:eastAsia="方正仿宋简体"/>
          <w:bCs/>
          <w:color w:val="000000"/>
          <w:kern w:val="0"/>
          <w:sz w:val="32"/>
          <w:szCs w:val="32"/>
        </w:rPr>
        <w:t>年，2</w:t>
      </w:r>
      <w:r>
        <w:rPr>
          <w:rFonts w:eastAsia="方正仿宋简体"/>
          <w:bCs/>
          <w:color w:val="000000"/>
          <w:kern w:val="0"/>
          <w:sz w:val="32"/>
          <w:szCs w:val="32"/>
        </w:rPr>
        <w:t>021</w:t>
      </w:r>
      <w:r>
        <w:rPr>
          <w:rFonts w:hint="eastAsia" w:eastAsia="方正仿宋简体"/>
          <w:bCs/>
          <w:color w:val="000000"/>
          <w:kern w:val="0"/>
          <w:sz w:val="32"/>
          <w:szCs w:val="32"/>
        </w:rPr>
        <w:t>年无数据</w:t>
      </w:r>
      <w:r>
        <w:rPr>
          <w:rFonts w:hint="eastAsia" w:ascii="仿宋" w:hAnsi="仿宋" w:eastAsia="仿宋"/>
          <w:sz w:val="32"/>
          <w:szCs w:val="32"/>
        </w:rPr>
        <w:t>。</w:t>
      </w:r>
    </w:p>
    <w:p>
      <w:pPr>
        <w:pStyle w:val="2"/>
        <w:spacing w:before="93"/>
      </w:pPr>
      <w:r>
        <w:drawing>
          <wp:inline distT="0" distB="0" distL="0" distR="0">
            <wp:extent cx="5486400" cy="2676525"/>
            <wp:effectExtent l="0" t="0" r="19050" b="952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pacing w:line="600" w:lineRule="exact"/>
        <w:ind w:firstLine="640" w:firstLineChars="200"/>
        <w:jc w:val="left"/>
        <w:rPr>
          <w:rFonts w:ascii="仿宋_GB2312" w:eastAsia="仿宋_GB2312"/>
          <w:sz w:val="32"/>
          <w:szCs w:val="32"/>
        </w:rPr>
      </w:pPr>
    </w:p>
    <w:p>
      <w:pPr>
        <w:pStyle w:val="28"/>
        <w:numPr>
          <w:ilvl w:val="0"/>
          <w:numId w:val="2"/>
        </w:numPr>
        <w:spacing w:line="600" w:lineRule="exact"/>
        <w:ind w:firstLineChars="0"/>
        <w:outlineLvl w:val="1"/>
        <w:rPr>
          <w:rStyle w:val="19"/>
          <w:rFonts w:ascii="黑体" w:hAnsi="黑体" w:eastAsia="黑体"/>
          <w:b w:val="0"/>
        </w:rPr>
      </w:pPr>
      <w:bookmarkStart w:id="20" w:name="_Toc15396604"/>
      <w:bookmarkStart w:id="21" w:name="_Toc15377206"/>
      <w:r>
        <w:rPr>
          <w:rFonts w:hint="eastAsia" w:ascii="黑体" w:hAnsi="黑体" w:eastAsia="黑体"/>
          <w:sz w:val="32"/>
          <w:szCs w:val="32"/>
        </w:rPr>
        <w:t>收</w:t>
      </w:r>
      <w:r>
        <w:rPr>
          <w:rStyle w:val="19"/>
          <w:rFonts w:hint="eastAsia" w:ascii="黑体" w:hAnsi="黑体" w:eastAsia="黑体"/>
          <w:b w:val="0"/>
        </w:rPr>
        <w:t>入决算情况说明</w:t>
      </w:r>
      <w:bookmarkEnd w:id="20"/>
      <w:bookmarkEnd w:id="21"/>
    </w:p>
    <w:p>
      <w:pPr>
        <w:spacing w:line="600" w:lineRule="exact"/>
        <w:ind w:left="640" w:leftChars="305" w:firstLine="320" w:firstLineChars="100"/>
        <w:outlineLvl w:val="1"/>
        <w:rPr>
          <w:rFonts w:eastAsia="方正仿宋简体"/>
          <w:bCs/>
          <w:color w:val="000000"/>
          <w:kern w:val="0"/>
          <w:sz w:val="32"/>
          <w:szCs w:val="32"/>
        </w:rPr>
      </w:pPr>
      <w:r>
        <w:rPr>
          <w:rFonts w:eastAsia="方正仿宋简体"/>
          <w:bCs/>
          <w:color w:val="000000"/>
          <w:kern w:val="0"/>
          <w:sz w:val="32"/>
          <w:szCs w:val="32"/>
        </w:rPr>
        <w:t>20</w:t>
      </w:r>
      <w:r>
        <w:rPr>
          <w:rFonts w:hint="eastAsia" w:eastAsia="方正仿宋简体"/>
          <w:bCs/>
          <w:color w:val="000000"/>
          <w:kern w:val="0"/>
          <w:sz w:val="32"/>
          <w:szCs w:val="32"/>
        </w:rPr>
        <w:t>22年本年收入合计</w:t>
      </w:r>
      <w:r>
        <w:rPr>
          <w:rFonts w:eastAsia="方正仿宋简体"/>
          <w:bCs/>
          <w:color w:val="000000"/>
          <w:kern w:val="0"/>
          <w:sz w:val="32"/>
          <w:szCs w:val="32"/>
        </w:rPr>
        <w:t>485.86</w:t>
      </w:r>
      <w:r>
        <w:rPr>
          <w:rFonts w:hint="eastAsia" w:eastAsia="方正仿宋简体"/>
          <w:bCs/>
          <w:color w:val="000000"/>
          <w:kern w:val="0"/>
          <w:sz w:val="32"/>
          <w:szCs w:val="32"/>
        </w:rPr>
        <w:t>万元，其中：一般公共预算财政拨款收入</w:t>
      </w:r>
      <w:r>
        <w:rPr>
          <w:rFonts w:eastAsia="方正仿宋简体"/>
          <w:bCs/>
          <w:color w:val="000000"/>
          <w:kern w:val="0"/>
          <w:sz w:val="32"/>
          <w:szCs w:val="32"/>
        </w:rPr>
        <w:t>38.79</w:t>
      </w:r>
      <w:r>
        <w:rPr>
          <w:rFonts w:hint="eastAsia" w:eastAsia="方正仿宋简体"/>
          <w:bCs/>
          <w:color w:val="000000"/>
          <w:kern w:val="0"/>
          <w:sz w:val="32"/>
          <w:szCs w:val="32"/>
        </w:rPr>
        <w:t>万元，占</w:t>
      </w:r>
      <w:r>
        <w:rPr>
          <w:rFonts w:eastAsia="方正仿宋简体"/>
          <w:bCs/>
          <w:color w:val="000000"/>
          <w:kern w:val="0"/>
          <w:sz w:val="32"/>
          <w:szCs w:val="32"/>
        </w:rPr>
        <w:t>7.98%</w:t>
      </w:r>
      <w:r>
        <w:rPr>
          <w:rFonts w:hint="eastAsia" w:eastAsia="方正仿宋简体"/>
          <w:bCs/>
          <w:color w:val="000000"/>
          <w:kern w:val="0"/>
          <w:sz w:val="32"/>
          <w:szCs w:val="32"/>
        </w:rPr>
        <w:t>；事业收入</w:t>
      </w:r>
      <w:r>
        <w:rPr>
          <w:rFonts w:eastAsia="方正仿宋简体"/>
          <w:bCs/>
          <w:color w:val="000000"/>
          <w:kern w:val="0"/>
          <w:sz w:val="32"/>
          <w:szCs w:val="32"/>
        </w:rPr>
        <w:t>92.5</w:t>
      </w:r>
      <w:r>
        <w:rPr>
          <w:rFonts w:hint="eastAsia" w:eastAsia="方正仿宋简体"/>
          <w:bCs/>
          <w:color w:val="000000"/>
          <w:kern w:val="0"/>
          <w:sz w:val="32"/>
          <w:szCs w:val="32"/>
        </w:rPr>
        <w:t>万元，占</w:t>
      </w:r>
      <w:r>
        <w:rPr>
          <w:rFonts w:eastAsia="方正仿宋简体"/>
          <w:bCs/>
          <w:color w:val="000000"/>
          <w:kern w:val="0"/>
          <w:sz w:val="32"/>
          <w:szCs w:val="32"/>
        </w:rPr>
        <w:t>19.04%</w:t>
      </w:r>
      <w:r>
        <w:rPr>
          <w:rFonts w:hint="eastAsia" w:eastAsia="方正仿宋简体"/>
          <w:bCs/>
          <w:color w:val="000000"/>
          <w:kern w:val="0"/>
          <w:sz w:val="32"/>
          <w:szCs w:val="32"/>
        </w:rPr>
        <w:t>；其他收入</w:t>
      </w:r>
      <w:r>
        <w:rPr>
          <w:rFonts w:eastAsia="方正仿宋简体"/>
          <w:bCs/>
          <w:color w:val="000000"/>
          <w:kern w:val="0"/>
          <w:sz w:val="32"/>
          <w:szCs w:val="32"/>
        </w:rPr>
        <w:t>354</w:t>
      </w:r>
      <w:r>
        <w:rPr>
          <w:rFonts w:hint="eastAsia" w:eastAsia="方正仿宋简体"/>
          <w:bCs/>
          <w:color w:val="000000"/>
          <w:kern w:val="0"/>
          <w:sz w:val="32"/>
          <w:szCs w:val="32"/>
        </w:rPr>
        <w:t>,5</w:t>
      </w:r>
      <w:r>
        <w:rPr>
          <w:rFonts w:eastAsia="方正仿宋简体"/>
          <w:bCs/>
          <w:color w:val="000000"/>
          <w:kern w:val="0"/>
          <w:sz w:val="32"/>
          <w:szCs w:val="32"/>
        </w:rPr>
        <w:t>7</w:t>
      </w:r>
      <w:r>
        <w:rPr>
          <w:rFonts w:hint="eastAsia" w:eastAsia="方正仿宋简体"/>
          <w:bCs/>
          <w:color w:val="000000"/>
          <w:kern w:val="0"/>
          <w:sz w:val="32"/>
          <w:szCs w:val="32"/>
        </w:rPr>
        <w:t>万元，占</w:t>
      </w:r>
      <w:r>
        <w:rPr>
          <w:rFonts w:eastAsia="方正仿宋简体"/>
          <w:bCs/>
          <w:color w:val="000000"/>
          <w:kern w:val="0"/>
          <w:sz w:val="32"/>
          <w:szCs w:val="32"/>
        </w:rPr>
        <w:t>72.98%</w:t>
      </w:r>
      <w:r>
        <w:rPr>
          <w:rFonts w:hint="eastAsia" w:eastAsia="方正仿宋简体"/>
          <w:bCs/>
          <w:color w:val="000000"/>
          <w:kern w:val="0"/>
          <w:sz w:val="32"/>
          <w:szCs w:val="32"/>
        </w:rPr>
        <w:t>。</w:t>
      </w:r>
    </w:p>
    <w:p>
      <w:pPr>
        <w:pStyle w:val="2"/>
        <w:spacing w:before="93"/>
      </w:pPr>
      <w:r>
        <w:drawing>
          <wp:inline distT="0" distB="0" distL="0" distR="0">
            <wp:extent cx="5114925" cy="2914650"/>
            <wp:effectExtent l="0" t="0" r="9525"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line="600" w:lineRule="exact"/>
        <w:ind w:firstLine="640" w:firstLineChars="200"/>
        <w:rPr>
          <w:rFonts w:ascii="仿宋_GB2312" w:eastAsia="仿宋_GB2312"/>
          <w:sz w:val="32"/>
          <w:szCs w:val="32"/>
        </w:rPr>
      </w:pPr>
    </w:p>
    <w:p>
      <w:pPr>
        <w:pStyle w:val="28"/>
        <w:numPr>
          <w:ilvl w:val="0"/>
          <w:numId w:val="2"/>
        </w:numPr>
        <w:spacing w:line="600" w:lineRule="exact"/>
        <w:ind w:firstLineChars="0"/>
        <w:outlineLvl w:val="1"/>
        <w:rPr>
          <w:rStyle w:val="19"/>
          <w:rFonts w:ascii="黑体" w:hAnsi="黑体" w:eastAsia="黑体"/>
          <w:b w:val="0"/>
        </w:rPr>
      </w:pPr>
      <w:bookmarkStart w:id="22" w:name="_Toc15377207"/>
      <w:bookmarkStart w:id="23" w:name="_Toc15396605"/>
      <w:r>
        <w:rPr>
          <w:rFonts w:hint="eastAsia" w:ascii="黑体" w:hAnsi="黑体" w:eastAsia="黑体"/>
          <w:sz w:val="32"/>
          <w:szCs w:val="32"/>
        </w:rPr>
        <w:t>支</w:t>
      </w:r>
      <w:r>
        <w:rPr>
          <w:rStyle w:val="19"/>
          <w:rFonts w:hint="eastAsia" w:ascii="黑体" w:hAnsi="黑体" w:eastAsia="黑体"/>
          <w:b w:val="0"/>
        </w:rPr>
        <w:t>出决算情况说明</w:t>
      </w:r>
      <w:bookmarkEnd w:id="22"/>
      <w:bookmarkEnd w:id="23"/>
    </w:p>
    <w:p>
      <w:pPr>
        <w:spacing w:line="600" w:lineRule="exact"/>
        <w:ind w:left="640" w:leftChars="305" w:firstLine="320" w:firstLineChars="100"/>
        <w:outlineLvl w:val="1"/>
        <w:rPr>
          <w:rFonts w:eastAsia="方正仿宋简体"/>
          <w:bCs/>
          <w:color w:val="000000"/>
          <w:kern w:val="0"/>
          <w:sz w:val="32"/>
          <w:szCs w:val="32"/>
        </w:rPr>
      </w:pPr>
      <w:r>
        <w:rPr>
          <w:rFonts w:eastAsia="方正仿宋简体"/>
          <w:bCs/>
          <w:color w:val="000000"/>
          <w:kern w:val="0"/>
          <w:sz w:val="32"/>
          <w:szCs w:val="32"/>
        </w:rPr>
        <w:t>20</w:t>
      </w:r>
      <w:r>
        <w:rPr>
          <w:rFonts w:hint="eastAsia" w:eastAsia="方正仿宋简体"/>
          <w:bCs/>
          <w:color w:val="000000"/>
          <w:kern w:val="0"/>
          <w:sz w:val="32"/>
          <w:szCs w:val="32"/>
        </w:rPr>
        <w:t>22年本年支出合计</w:t>
      </w:r>
      <w:r>
        <w:rPr>
          <w:rFonts w:eastAsia="方正仿宋简体"/>
          <w:bCs/>
          <w:color w:val="000000"/>
          <w:kern w:val="0"/>
          <w:sz w:val="32"/>
          <w:szCs w:val="32"/>
        </w:rPr>
        <w:t>308.6</w:t>
      </w:r>
      <w:r>
        <w:rPr>
          <w:rFonts w:hint="eastAsia" w:eastAsia="方正仿宋简体"/>
          <w:bCs/>
          <w:color w:val="000000"/>
          <w:kern w:val="0"/>
          <w:sz w:val="32"/>
          <w:szCs w:val="32"/>
        </w:rPr>
        <w:t>万元，其中：基本支出</w:t>
      </w:r>
      <w:r>
        <w:rPr>
          <w:rFonts w:eastAsia="方正仿宋简体"/>
          <w:bCs/>
          <w:color w:val="000000"/>
          <w:kern w:val="0"/>
          <w:sz w:val="32"/>
          <w:szCs w:val="32"/>
        </w:rPr>
        <w:t>308.6</w:t>
      </w:r>
      <w:r>
        <w:rPr>
          <w:rFonts w:hint="eastAsia" w:eastAsia="方正仿宋简体"/>
          <w:bCs/>
          <w:color w:val="000000"/>
          <w:kern w:val="0"/>
          <w:sz w:val="32"/>
          <w:szCs w:val="32"/>
        </w:rPr>
        <w:t>万元，占</w:t>
      </w:r>
      <w:r>
        <w:rPr>
          <w:rFonts w:eastAsia="方正仿宋简体"/>
          <w:bCs/>
          <w:color w:val="000000"/>
          <w:kern w:val="0"/>
          <w:sz w:val="32"/>
          <w:szCs w:val="32"/>
        </w:rPr>
        <w:t>100%</w:t>
      </w:r>
      <w:r>
        <w:rPr>
          <w:rFonts w:hint="eastAsia" w:eastAsia="方正仿宋简体"/>
          <w:bCs/>
          <w:color w:val="000000"/>
          <w:kern w:val="0"/>
          <w:sz w:val="32"/>
          <w:szCs w:val="32"/>
        </w:rPr>
        <w:t>；项目支出</w:t>
      </w:r>
      <w:r>
        <w:rPr>
          <w:rFonts w:eastAsia="方正仿宋简体"/>
          <w:bCs/>
          <w:color w:val="000000"/>
          <w:kern w:val="0"/>
          <w:sz w:val="32"/>
          <w:szCs w:val="32"/>
        </w:rPr>
        <w:t>0</w:t>
      </w:r>
      <w:r>
        <w:rPr>
          <w:rFonts w:hint="eastAsia" w:eastAsia="方正仿宋简体"/>
          <w:bCs/>
          <w:color w:val="000000"/>
          <w:kern w:val="0"/>
          <w:sz w:val="32"/>
          <w:szCs w:val="32"/>
        </w:rPr>
        <w:t>万元，占</w:t>
      </w:r>
      <w:r>
        <w:rPr>
          <w:rFonts w:eastAsia="方正仿宋简体"/>
          <w:bCs/>
          <w:color w:val="000000"/>
          <w:kern w:val="0"/>
          <w:sz w:val="32"/>
          <w:szCs w:val="32"/>
        </w:rPr>
        <w:t>0%</w:t>
      </w:r>
      <w:r>
        <w:rPr>
          <w:rFonts w:hint="eastAsia" w:eastAsia="方正仿宋简体"/>
          <w:bCs/>
          <w:color w:val="000000"/>
          <w:kern w:val="0"/>
          <w:sz w:val="32"/>
          <w:szCs w:val="32"/>
        </w:rPr>
        <w:t>；上缴上级支出</w:t>
      </w:r>
      <w:r>
        <w:rPr>
          <w:rFonts w:eastAsia="方正仿宋简体"/>
          <w:bCs/>
          <w:color w:val="000000"/>
          <w:kern w:val="0"/>
          <w:sz w:val="32"/>
          <w:szCs w:val="32"/>
        </w:rPr>
        <w:t>0</w:t>
      </w:r>
      <w:r>
        <w:rPr>
          <w:rFonts w:hint="eastAsia" w:eastAsia="方正仿宋简体"/>
          <w:bCs/>
          <w:color w:val="000000"/>
          <w:kern w:val="0"/>
          <w:sz w:val="32"/>
          <w:szCs w:val="32"/>
        </w:rPr>
        <w:t>万元，占</w:t>
      </w:r>
      <w:r>
        <w:rPr>
          <w:rFonts w:eastAsia="方正仿宋简体"/>
          <w:bCs/>
          <w:color w:val="000000"/>
          <w:kern w:val="0"/>
          <w:sz w:val="32"/>
          <w:szCs w:val="32"/>
        </w:rPr>
        <w:t>0%</w:t>
      </w:r>
      <w:r>
        <w:rPr>
          <w:rFonts w:hint="eastAsia" w:eastAsia="方正仿宋简体"/>
          <w:bCs/>
          <w:color w:val="000000"/>
          <w:kern w:val="0"/>
          <w:sz w:val="32"/>
          <w:szCs w:val="32"/>
        </w:rPr>
        <w:t>；经营支出</w:t>
      </w:r>
      <w:r>
        <w:rPr>
          <w:rFonts w:eastAsia="方正仿宋简体"/>
          <w:bCs/>
          <w:color w:val="000000"/>
          <w:kern w:val="0"/>
          <w:sz w:val="32"/>
          <w:szCs w:val="32"/>
        </w:rPr>
        <w:t>0</w:t>
      </w:r>
      <w:r>
        <w:rPr>
          <w:rFonts w:hint="eastAsia" w:eastAsia="方正仿宋简体"/>
          <w:bCs/>
          <w:color w:val="000000"/>
          <w:kern w:val="0"/>
          <w:sz w:val="32"/>
          <w:szCs w:val="32"/>
        </w:rPr>
        <w:t>万元，占</w:t>
      </w:r>
      <w:r>
        <w:rPr>
          <w:rFonts w:eastAsia="方正仿宋简体"/>
          <w:bCs/>
          <w:color w:val="000000"/>
          <w:kern w:val="0"/>
          <w:sz w:val="32"/>
          <w:szCs w:val="32"/>
        </w:rPr>
        <w:t>0%</w:t>
      </w:r>
      <w:r>
        <w:rPr>
          <w:rFonts w:hint="eastAsia" w:eastAsia="方正仿宋简体"/>
          <w:bCs/>
          <w:color w:val="000000"/>
          <w:kern w:val="0"/>
          <w:sz w:val="32"/>
          <w:szCs w:val="32"/>
        </w:rPr>
        <w:t>；对附属单位补助支出</w:t>
      </w:r>
      <w:r>
        <w:rPr>
          <w:rFonts w:eastAsia="方正仿宋简体"/>
          <w:bCs/>
          <w:color w:val="000000"/>
          <w:kern w:val="0"/>
          <w:sz w:val="32"/>
          <w:szCs w:val="32"/>
        </w:rPr>
        <w:t>0</w:t>
      </w:r>
      <w:r>
        <w:rPr>
          <w:rFonts w:hint="eastAsia" w:eastAsia="方正仿宋简体"/>
          <w:bCs/>
          <w:color w:val="000000"/>
          <w:kern w:val="0"/>
          <w:sz w:val="32"/>
          <w:szCs w:val="32"/>
        </w:rPr>
        <w:t>万元，占</w:t>
      </w:r>
      <w:r>
        <w:rPr>
          <w:rFonts w:eastAsia="方正仿宋简体"/>
          <w:bCs/>
          <w:color w:val="000000"/>
          <w:kern w:val="0"/>
          <w:sz w:val="32"/>
          <w:szCs w:val="32"/>
        </w:rPr>
        <w:t>0%</w:t>
      </w:r>
      <w:r>
        <w:rPr>
          <w:rFonts w:hint="eastAsia" w:eastAsia="方正仿宋简体"/>
          <w:bCs/>
          <w:color w:val="000000"/>
          <w:kern w:val="0"/>
          <w:sz w:val="32"/>
          <w:szCs w:val="32"/>
        </w:rPr>
        <w:t>。</w:t>
      </w:r>
    </w:p>
    <w:p>
      <w:pPr>
        <w:pStyle w:val="2"/>
        <w:spacing w:before="93"/>
      </w:pPr>
      <w:r>
        <w:drawing>
          <wp:anchor distT="0" distB="0" distL="114300" distR="114300" simplePos="0" relativeHeight="251660288" behindDoc="1" locked="0" layoutInCell="1" allowOverlap="1">
            <wp:simplePos x="0" y="0"/>
            <wp:positionH relativeFrom="column">
              <wp:posOffset>535305</wp:posOffset>
            </wp:positionH>
            <wp:positionV relativeFrom="paragraph">
              <wp:posOffset>284480</wp:posOffset>
            </wp:positionV>
            <wp:extent cx="4572000" cy="2647950"/>
            <wp:effectExtent l="0" t="0" r="19050" b="19050"/>
            <wp:wrapTight wrapText="bothSides">
              <wp:wrapPolygon>
                <wp:start x="0" y="0"/>
                <wp:lineTo x="0" y="21600"/>
                <wp:lineTo x="21600" y="21600"/>
                <wp:lineTo x="21600" y="0"/>
                <wp:lineTo x="0" y="0"/>
              </wp:wrapPolygon>
            </wp:wrapTight>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pPr>
        <w:pStyle w:val="2"/>
        <w:spacing w:before="93"/>
      </w:pPr>
    </w:p>
    <w:p>
      <w:pPr>
        <w:pStyle w:val="2"/>
        <w:spacing w:before="93"/>
      </w:pPr>
    </w:p>
    <w:p>
      <w:pPr>
        <w:pStyle w:val="2"/>
        <w:spacing w:before="93"/>
      </w:pPr>
    </w:p>
    <w:p>
      <w:pPr>
        <w:pStyle w:val="2"/>
        <w:spacing w:before="93"/>
      </w:pPr>
    </w:p>
    <w:p>
      <w:pPr>
        <w:spacing w:line="600" w:lineRule="exact"/>
        <w:ind w:firstLine="640" w:firstLineChars="200"/>
        <w:rPr>
          <w:rFonts w:ascii="仿宋_GB2312" w:eastAsia="仿宋_GB2312"/>
          <w:sz w:val="32"/>
          <w:szCs w:val="32"/>
        </w:rPr>
      </w:pPr>
    </w:p>
    <w:p>
      <w:pPr>
        <w:pStyle w:val="28"/>
        <w:numPr>
          <w:ilvl w:val="0"/>
          <w:numId w:val="2"/>
        </w:numPr>
        <w:spacing w:line="600" w:lineRule="exact"/>
        <w:ind w:firstLineChars="0"/>
        <w:outlineLvl w:val="1"/>
        <w:rPr>
          <w:rStyle w:val="19"/>
          <w:rFonts w:ascii="黑体" w:hAnsi="黑体" w:eastAsia="黑体"/>
          <w:b w:val="0"/>
        </w:rPr>
      </w:pPr>
      <w:bookmarkStart w:id="24" w:name="_Toc15396606"/>
      <w:bookmarkStart w:id="25" w:name="_Toc15377208"/>
      <w:r>
        <w:rPr>
          <w:rFonts w:hint="eastAsia" w:ascii="黑体" w:hAnsi="黑体" w:eastAsia="黑体"/>
          <w:sz w:val="32"/>
          <w:szCs w:val="32"/>
        </w:rPr>
        <w:t>财</w:t>
      </w:r>
      <w:r>
        <w:rPr>
          <w:rStyle w:val="19"/>
          <w:rFonts w:hint="eastAsia" w:ascii="黑体" w:hAnsi="黑体" w:eastAsia="黑体"/>
          <w:b w:val="0"/>
        </w:rPr>
        <w:t>政拨款收入支出决算总体情况说明</w:t>
      </w:r>
      <w:bookmarkEnd w:id="24"/>
      <w:bookmarkEnd w:id="25"/>
    </w:p>
    <w:p>
      <w:pPr>
        <w:spacing w:line="600" w:lineRule="exact"/>
        <w:ind w:left="640" w:leftChars="305" w:firstLine="320" w:firstLineChars="1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22年财政拨款收、支总计</w:t>
      </w:r>
      <w:r>
        <w:rPr>
          <w:rFonts w:ascii="仿宋" w:hAnsi="仿宋" w:eastAsia="仿宋"/>
          <w:sz w:val="32"/>
          <w:szCs w:val="32"/>
        </w:rPr>
        <w:t>77.58</w:t>
      </w:r>
      <w:r>
        <w:rPr>
          <w:rFonts w:hint="eastAsia" w:ascii="仿宋" w:hAnsi="仿宋" w:eastAsia="仿宋"/>
          <w:sz w:val="32"/>
          <w:szCs w:val="32"/>
        </w:rPr>
        <w:t>万元。与</w:t>
      </w:r>
      <w:r>
        <w:rPr>
          <w:rFonts w:ascii="仿宋" w:hAnsi="仿宋" w:eastAsia="仿宋"/>
          <w:sz w:val="32"/>
          <w:szCs w:val="32"/>
        </w:rPr>
        <w:t>20</w:t>
      </w:r>
      <w:r>
        <w:rPr>
          <w:rFonts w:hint="eastAsia" w:ascii="仿宋" w:hAnsi="仿宋" w:eastAsia="仿宋"/>
          <w:sz w:val="32"/>
          <w:szCs w:val="32"/>
        </w:rPr>
        <w:t>21年相比，财政拨款收、支总计增加</w:t>
      </w:r>
      <w:r>
        <w:rPr>
          <w:rFonts w:ascii="仿宋" w:hAnsi="仿宋" w:eastAsia="仿宋"/>
          <w:sz w:val="32"/>
          <w:szCs w:val="32"/>
        </w:rPr>
        <w:t>77.58</w:t>
      </w:r>
      <w:r>
        <w:rPr>
          <w:rFonts w:hint="eastAsia" w:ascii="仿宋" w:hAnsi="仿宋" w:eastAsia="仿宋"/>
          <w:sz w:val="32"/>
          <w:szCs w:val="32"/>
        </w:rPr>
        <w:t>万元，增长</w:t>
      </w:r>
      <w:r>
        <w:rPr>
          <w:rFonts w:ascii="仿宋" w:hAnsi="仿宋" w:eastAsia="仿宋"/>
          <w:sz w:val="32"/>
          <w:szCs w:val="32"/>
        </w:rPr>
        <w:t>100%</w:t>
      </w:r>
      <w:r>
        <w:rPr>
          <w:rFonts w:hint="eastAsia" w:ascii="仿宋" w:hAnsi="仿宋" w:eastAsia="仿宋"/>
          <w:sz w:val="32"/>
          <w:szCs w:val="32"/>
        </w:rPr>
        <w:t>。主要变动原因是单位成立于2</w:t>
      </w:r>
      <w:r>
        <w:rPr>
          <w:rFonts w:ascii="仿宋" w:hAnsi="仿宋" w:eastAsia="仿宋"/>
          <w:sz w:val="32"/>
          <w:szCs w:val="32"/>
        </w:rPr>
        <w:t>022</w:t>
      </w:r>
      <w:r>
        <w:rPr>
          <w:rFonts w:hint="eastAsia" w:ascii="仿宋" w:hAnsi="仿宋" w:eastAsia="仿宋"/>
          <w:sz w:val="32"/>
          <w:szCs w:val="32"/>
        </w:rPr>
        <w:t>年，2</w:t>
      </w:r>
      <w:r>
        <w:rPr>
          <w:rFonts w:ascii="仿宋" w:hAnsi="仿宋" w:eastAsia="仿宋"/>
          <w:sz w:val="32"/>
          <w:szCs w:val="32"/>
        </w:rPr>
        <w:t>021</w:t>
      </w:r>
      <w:r>
        <w:rPr>
          <w:rFonts w:hint="eastAsia" w:ascii="仿宋" w:hAnsi="仿宋" w:eastAsia="仿宋"/>
          <w:sz w:val="32"/>
          <w:szCs w:val="32"/>
        </w:rPr>
        <w:t>年无数据。</w:t>
      </w:r>
    </w:p>
    <w:p>
      <w:pPr>
        <w:pStyle w:val="2"/>
        <w:spacing w:before="93"/>
        <w:ind w:left="1360"/>
      </w:pPr>
      <w:r>
        <w:drawing>
          <wp:inline distT="0" distB="0" distL="0" distR="0">
            <wp:extent cx="4791075" cy="2743200"/>
            <wp:effectExtent l="0" t="0" r="9525"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spacing w:line="600" w:lineRule="exact"/>
        <w:rPr>
          <w:rFonts w:ascii="仿宋" w:hAnsi="仿宋" w:eastAsia="仿宋"/>
          <w:b/>
          <w:sz w:val="32"/>
          <w:szCs w:val="32"/>
        </w:rPr>
      </w:pPr>
    </w:p>
    <w:p>
      <w:pPr>
        <w:spacing w:line="600" w:lineRule="exact"/>
        <w:ind w:firstLine="640" w:firstLineChars="200"/>
        <w:outlineLvl w:val="1"/>
        <w:rPr>
          <w:rStyle w:val="19"/>
          <w:rFonts w:ascii="黑体" w:hAnsi="黑体" w:eastAsia="黑体"/>
          <w:b w:val="0"/>
        </w:rPr>
      </w:pPr>
      <w:bookmarkStart w:id="26" w:name="_Toc15396607"/>
      <w:bookmarkStart w:id="27" w:name="_Toc15377209"/>
      <w:r>
        <w:rPr>
          <w:rFonts w:hint="eastAsia" w:ascii="黑体" w:hAnsi="黑体" w:eastAsia="黑体"/>
          <w:sz w:val="32"/>
          <w:szCs w:val="32"/>
        </w:rPr>
        <w:t>五、</w:t>
      </w:r>
      <w:r>
        <w:rPr>
          <w:rFonts w:hint="eastAsia" w:ascii="黑体" w:hAnsi="黑体" w:eastAsia="黑体"/>
          <w:b/>
          <w:sz w:val="32"/>
          <w:szCs w:val="32"/>
        </w:rPr>
        <w:t>一</w:t>
      </w:r>
      <w:r>
        <w:rPr>
          <w:rStyle w:val="19"/>
          <w:rFonts w:hint="eastAsia" w:ascii="黑体" w:hAnsi="黑体" w:eastAsia="黑体"/>
          <w:b w:val="0"/>
        </w:rPr>
        <w:t>般公共预算财政拨款支出决算情况说明</w:t>
      </w:r>
      <w:bookmarkEnd w:id="26"/>
      <w:bookmarkEnd w:id="27"/>
    </w:p>
    <w:p>
      <w:pPr>
        <w:spacing w:line="600" w:lineRule="exact"/>
        <w:ind w:firstLine="643" w:firstLineChars="200"/>
        <w:outlineLvl w:val="2"/>
        <w:rPr>
          <w:rFonts w:ascii="仿宋" w:hAnsi="仿宋" w:eastAsia="仿宋"/>
          <w:b/>
          <w:sz w:val="32"/>
          <w:szCs w:val="32"/>
        </w:rPr>
      </w:pPr>
      <w:bookmarkStart w:id="28" w:name="_Toc15377210"/>
      <w:r>
        <w:rPr>
          <w:rFonts w:hint="eastAsia" w:ascii="仿宋" w:hAnsi="仿宋" w:eastAsia="仿宋"/>
          <w:b/>
          <w:sz w:val="32"/>
          <w:szCs w:val="32"/>
        </w:rPr>
        <w:t>（一）一般公共预算财政拨款支出决算总体情况</w:t>
      </w:r>
      <w:bookmarkEnd w:id="28"/>
    </w:p>
    <w:p>
      <w:pPr>
        <w:spacing w:line="600" w:lineRule="exact"/>
        <w:ind w:firstLine="960" w:firstLineChars="3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22年一般公共预算财政拨款支出</w:t>
      </w:r>
      <w:r>
        <w:rPr>
          <w:rFonts w:ascii="仿宋" w:hAnsi="仿宋" w:eastAsia="仿宋"/>
          <w:sz w:val="32"/>
          <w:szCs w:val="32"/>
        </w:rPr>
        <w:t>38.79</w:t>
      </w:r>
      <w:r>
        <w:rPr>
          <w:rFonts w:hint="eastAsia" w:ascii="仿宋" w:hAnsi="仿宋" w:eastAsia="仿宋"/>
          <w:sz w:val="32"/>
          <w:szCs w:val="32"/>
        </w:rPr>
        <w:t>万元，占本年支出合计的</w:t>
      </w:r>
      <w:r>
        <w:rPr>
          <w:rFonts w:ascii="仿宋" w:hAnsi="仿宋" w:eastAsia="仿宋"/>
          <w:sz w:val="32"/>
          <w:szCs w:val="32"/>
        </w:rPr>
        <w:t>12.57%</w:t>
      </w:r>
      <w:r>
        <w:rPr>
          <w:rFonts w:hint="eastAsia" w:ascii="仿宋" w:hAnsi="仿宋" w:eastAsia="仿宋"/>
          <w:sz w:val="32"/>
          <w:szCs w:val="32"/>
        </w:rPr>
        <w:t>。与</w:t>
      </w:r>
      <w:r>
        <w:rPr>
          <w:rFonts w:ascii="仿宋" w:hAnsi="仿宋" w:eastAsia="仿宋"/>
          <w:sz w:val="32"/>
          <w:szCs w:val="32"/>
        </w:rPr>
        <w:t>20</w:t>
      </w:r>
      <w:r>
        <w:rPr>
          <w:rFonts w:hint="eastAsia" w:ascii="仿宋" w:hAnsi="仿宋" w:eastAsia="仿宋"/>
          <w:sz w:val="32"/>
          <w:szCs w:val="32"/>
        </w:rPr>
        <w:t>21年相比，一般公共预算财政拨款支出增加</w:t>
      </w:r>
      <w:r>
        <w:rPr>
          <w:rFonts w:ascii="仿宋" w:hAnsi="仿宋" w:eastAsia="仿宋"/>
          <w:sz w:val="32"/>
          <w:szCs w:val="32"/>
        </w:rPr>
        <w:t>38.79</w:t>
      </w:r>
      <w:r>
        <w:rPr>
          <w:rFonts w:hint="eastAsia" w:ascii="仿宋" w:hAnsi="仿宋" w:eastAsia="仿宋"/>
          <w:sz w:val="32"/>
          <w:szCs w:val="32"/>
        </w:rPr>
        <w:t>万元，增长</w:t>
      </w:r>
      <w:r>
        <w:rPr>
          <w:rFonts w:ascii="仿宋" w:hAnsi="仿宋" w:eastAsia="仿宋"/>
          <w:sz w:val="32"/>
          <w:szCs w:val="32"/>
        </w:rPr>
        <w:t>100%</w:t>
      </w:r>
      <w:r>
        <w:rPr>
          <w:rFonts w:hint="eastAsia" w:ascii="仿宋" w:hAnsi="仿宋" w:eastAsia="仿宋"/>
          <w:sz w:val="32"/>
          <w:szCs w:val="32"/>
        </w:rPr>
        <w:t>。主要变动原因是单位成立于2</w:t>
      </w:r>
      <w:r>
        <w:rPr>
          <w:rFonts w:ascii="仿宋" w:hAnsi="仿宋" w:eastAsia="仿宋"/>
          <w:sz w:val="32"/>
          <w:szCs w:val="32"/>
        </w:rPr>
        <w:t>022</w:t>
      </w:r>
      <w:r>
        <w:rPr>
          <w:rFonts w:hint="eastAsia" w:ascii="仿宋" w:hAnsi="仿宋" w:eastAsia="仿宋"/>
          <w:sz w:val="32"/>
          <w:szCs w:val="32"/>
        </w:rPr>
        <w:t>年，2</w:t>
      </w:r>
      <w:r>
        <w:rPr>
          <w:rFonts w:ascii="仿宋" w:hAnsi="仿宋" w:eastAsia="仿宋"/>
          <w:sz w:val="32"/>
          <w:szCs w:val="32"/>
        </w:rPr>
        <w:t>021</w:t>
      </w:r>
      <w:r>
        <w:rPr>
          <w:rFonts w:hint="eastAsia" w:ascii="仿宋" w:hAnsi="仿宋" w:eastAsia="仿宋"/>
          <w:sz w:val="32"/>
          <w:szCs w:val="32"/>
        </w:rPr>
        <w:t>年无数据。</w:t>
      </w:r>
    </w:p>
    <w:p>
      <w:pPr>
        <w:pStyle w:val="2"/>
        <w:spacing w:before="93"/>
      </w:pPr>
      <w:r>
        <w:drawing>
          <wp:inline distT="0" distB="0" distL="0" distR="0">
            <wp:extent cx="4781550" cy="2705100"/>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spacing w:line="600" w:lineRule="exact"/>
        <w:rPr>
          <w:rFonts w:ascii="仿宋" w:hAnsi="仿宋" w:eastAsia="仿宋"/>
          <w:sz w:val="32"/>
          <w:szCs w:val="32"/>
        </w:rPr>
      </w:pPr>
    </w:p>
    <w:p>
      <w:pPr>
        <w:spacing w:line="600" w:lineRule="exact"/>
        <w:ind w:firstLine="643" w:firstLineChars="200"/>
        <w:outlineLvl w:val="2"/>
        <w:rPr>
          <w:rFonts w:ascii="仿宋" w:hAnsi="仿宋" w:eastAsia="仿宋"/>
          <w:b/>
          <w:sz w:val="32"/>
          <w:szCs w:val="32"/>
        </w:rPr>
      </w:pPr>
      <w:bookmarkStart w:id="29" w:name="_Toc15377211"/>
      <w:r>
        <w:rPr>
          <w:rFonts w:hint="eastAsia" w:ascii="仿宋" w:hAnsi="仿宋" w:eastAsia="仿宋"/>
          <w:b/>
          <w:sz w:val="32"/>
          <w:szCs w:val="32"/>
        </w:rPr>
        <w:t>（二）一般公共预算财政拨款支出决算结构情况</w:t>
      </w:r>
      <w:bookmarkEnd w:id="29"/>
    </w:p>
    <w:p>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22年一般公共预算财政拨款支出</w:t>
      </w:r>
      <w:r>
        <w:rPr>
          <w:rFonts w:ascii="仿宋" w:hAnsi="仿宋" w:eastAsia="仿宋"/>
          <w:sz w:val="32"/>
          <w:szCs w:val="32"/>
        </w:rPr>
        <w:t>38.79</w:t>
      </w:r>
      <w:r>
        <w:rPr>
          <w:rFonts w:hint="eastAsia" w:ascii="仿宋" w:hAnsi="仿宋" w:eastAsia="仿宋"/>
          <w:sz w:val="32"/>
          <w:szCs w:val="32"/>
        </w:rPr>
        <w:t>万元，主要用于以下方面</w:t>
      </w:r>
      <w:r>
        <w:rPr>
          <w:rFonts w:ascii="仿宋" w:hAnsi="仿宋" w:eastAsia="仿宋"/>
          <w:sz w:val="32"/>
          <w:szCs w:val="32"/>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ascii="仿宋" w:hAnsi="仿宋" w:eastAsia="仿宋"/>
          <w:sz w:val="32"/>
          <w:szCs w:val="32"/>
        </w:rPr>
        <w:t>4.66</w:t>
      </w:r>
      <w:r>
        <w:rPr>
          <w:rFonts w:hint="eastAsia" w:ascii="仿宋" w:hAnsi="仿宋" w:eastAsia="仿宋"/>
          <w:sz w:val="32"/>
          <w:szCs w:val="32"/>
        </w:rPr>
        <w:t>万元，占</w:t>
      </w:r>
      <w:r>
        <w:rPr>
          <w:rFonts w:ascii="仿宋" w:hAnsi="仿宋" w:eastAsia="仿宋"/>
          <w:sz w:val="32"/>
          <w:szCs w:val="32"/>
        </w:rPr>
        <w:t>12.01%</w:t>
      </w:r>
      <w:r>
        <w:rPr>
          <w:rFonts w:hint="eastAsia" w:ascii="仿宋" w:hAnsi="仿宋" w:eastAsia="仿宋"/>
          <w:sz w:val="32"/>
          <w:szCs w:val="32"/>
        </w:rPr>
        <w:t>；</w:t>
      </w:r>
      <w:r>
        <w:rPr>
          <w:rFonts w:hint="eastAsia" w:ascii="仿宋" w:hAnsi="仿宋" w:eastAsia="仿宋"/>
          <w:b/>
          <w:bCs/>
          <w:sz w:val="32"/>
          <w:szCs w:val="32"/>
        </w:rPr>
        <w:t>卫生健康支出</w:t>
      </w:r>
      <w:r>
        <w:rPr>
          <w:rFonts w:ascii="仿宋" w:hAnsi="仿宋" w:eastAsia="仿宋"/>
          <w:sz w:val="32"/>
          <w:szCs w:val="32"/>
        </w:rPr>
        <w:t>31.23</w:t>
      </w:r>
      <w:r>
        <w:rPr>
          <w:rFonts w:hint="eastAsia" w:ascii="仿宋" w:hAnsi="仿宋" w:eastAsia="仿宋"/>
          <w:sz w:val="32"/>
          <w:szCs w:val="32"/>
        </w:rPr>
        <w:t>万元，占</w:t>
      </w:r>
      <w:r>
        <w:rPr>
          <w:rFonts w:ascii="仿宋" w:hAnsi="仿宋" w:eastAsia="仿宋"/>
          <w:sz w:val="32"/>
          <w:szCs w:val="32"/>
        </w:rPr>
        <w:t>80.51%</w:t>
      </w:r>
      <w:r>
        <w:rPr>
          <w:rFonts w:hint="eastAsia" w:ascii="仿宋" w:hAnsi="仿宋" w:eastAsia="仿宋"/>
          <w:sz w:val="32"/>
          <w:szCs w:val="32"/>
        </w:rPr>
        <w:t>；</w:t>
      </w:r>
      <w:r>
        <w:rPr>
          <w:rFonts w:hint="eastAsia" w:ascii="仿宋" w:hAnsi="仿宋" w:eastAsia="仿宋"/>
          <w:b/>
          <w:bCs/>
          <w:sz w:val="32"/>
          <w:szCs w:val="32"/>
        </w:rPr>
        <w:t>住房保障支出</w:t>
      </w:r>
      <w:r>
        <w:rPr>
          <w:rFonts w:ascii="仿宋" w:hAnsi="仿宋" w:eastAsia="仿宋"/>
          <w:sz w:val="32"/>
          <w:szCs w:val="32"/>
        </w:rPr>
        <w:t>2.9</w:t>
      </w:r>
      <w:r>
        <w:rPr>
          <w:rFonts w:hint="eastAsia" w:ascii="仿宋" w:hAnsi="仿宋" w:eastAsia="仿宋"/>
          <w:sz w:val="32"/>
          <w:szCs w:val="32"/>
        </w:rPr>
        <w:t>万元，占</w:t>
      </w:r>
      <w:r>
        <w:rPr>
          <w:rFonts w:ascii="仿宋" w:hAnsi="仿宋" w:eastAsia="仿宋"/>
          <w:sz w:val="32"/>
          <w:szCs w:val="32"/>
        </w:rPr>
        <w:t>7.48%</w:t>
      </w:r>
      <w:r>
        <w:rPr>
          <w:rFonts w:hint="eastAsia" w:ascii="仿宋" w:hAnsi="仿宋" w:eastAsia="仿宋"/>
          <w:sz w:val="32"/>
          <w:szCs w:val="32"/>
        </w:rPr>
        <w:t>。</w:t>
      </w:r>
    </w:p>
    <w:p>
      <w:pPr>
        <w:pStyle w:val="2"/>
        <w:spacing w:before="93"/>
      </w:pPr>
      <w:r>
        <w:drawing>
          <wp:inline distT="0" distB="0" distL="0" distR="0">
            <wp:extent cx="5048250" cy="2476500"/>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spacing w:line="600" w:lineRule="exact"/>
        <w:ind w:firstLine="640" w:firstLineChars="200"/>
        <w:rPr>
          <w:rFonts w:ascii="仿宋" w:hAnsi="仿宋" w:eastAsia="仿宋"/>
          <w:sz w:val="32"/>
          <w:szCs w:val="32"/>
        </w:rPr>
      </w:pPr>
    </w:p>
    <w:p>
      <w:pPr>
        <w:spacing w:line="600" w:lineRule="exact"/>
        <w:ind w:firstLine="643" w:firstLineChars="200"/>
        <w:outlineLvl w:val="2"/>
        <w:rPr>
          <w:rFonts w:ascii="仿宋" w:hAnsi="仿宋" w:eastAsia="仿宋"/>
          <w:b/>
          <w:sz w:val="32"/>
          <w:szCs w:val="32"/>
        </w:rPr>
      </w:pPr>
      <w:bookmarkStart w:id="30" w:name="_Toc15377212"/>
      <w:r>
        <w:rPr>
          <w:rFonts w:hint="eastAsia" w:ascii="仿宋" w:hAnsi="仿宋" w:eastAsia="仿宋"/>
          <w:b/>
          <w:sz w:val="32"/>
          <w:szCs w:val="32"/>
        </w:rPr>
        <w:t>（三）一般公共预算财政拨款支出决算具体情况</w:t>
      </w:r>
      <w:bookmarkEnd w:id="30"/>
    </w:p>
    <w:p>
      <w:pPr>
        <w:spacing w:line="600" w:lineRule="exact"/>
        <w:ind w:firstLine="643" w:firstLineChars="200"/>
        <w:outlineLvl w:val="2"/>
        <w:rPr>
          <w:rFonts w:ascii="仿宋" w:hAnsi="仿宋" w:eastAsia="仿宋"/>
          <w:sz w:val="32"/>
          <w:szCs w:val="32"/>
        </w:rPr>
      </w:pPr>
      <w:bookmarkStart w:id="31" w:name="_Toc15378460"/>
      <w:bookmarkStart w:id="32" w:name="_Toc15377213"/>
      <w:bookmarkStart w:id="33" w:name="_Toc15377444"/>
      <w:r>
        <w:rPr>
          <w:rFonts w:hint="eastAsia" w:ascii="仿宋" w:hAnsi="仿宋" w:eastAsia="仿宋"/>
          <w:b/>
          <w:sz w:val="32"/>
          <w:szCs w:val="32"/>
        </w:rPr>
        <w:t>2022年一般公共预算支出决算数为</w:t>
      </w:r>
      <w:r>
        <w:rPr>
          <w:rFonts w:ascii="仿宋" w:hAnsi="仿宋" w:eastAsia="仿宋"/>
          <w:b/>
          <w:sz w:val="32"/>
          <w:szCs w:val="32"/>
        </w:rPr>
        <w:t>38.79</w:t>
      </w:r>
      <w:r>
        <w:rPr>
          <w:rFonts w:hint="eastAsia" w:ascii="仿宋" w:hAnsi="仿宋" w:eastAsia="仿宋"/>
          <w:sz w:val="32"/>
          <w:szCs w:val="32"/>
        </w:rPr>
        <w:t>，</w:t>
      </w:r>
      <w:r>
        <w:rPr>
          <w:rStyle w:val="14"/>
          <w:rFonts w:hint="eastAsia" w:ascii="仿宋" w:hAnsi="仿宋" w:eastAsia="仿宋"/>
          <w:bCs/>
          <w:sz w:val="32"/>
          <w:szCs w:val="32"/>
        </w:rPr>
        <w:t>完成预算</w:t>
      </w:r>
      <w:r>
        <w:rPr>
          <w:rStyle w:val="14"/>
          <w:rFonts w:ascii="仿宋" w:hAnsi="仿宋" w:eastAsia="仿宋"/>
          <w:bCs/>
          <w:sz w:val="32"/>
          <w:szCs w:val="32"/>
        </w:rPr>
        <w:t>100%</w:t>
      </w:r>
      <w:r>
        <w:rPr>
          <w:rStyle w:val="14"/>
          <w:rFonts w:hint="eastAsia" w:ascii="仿宋" w:hAnsi="仿宋" w:eastAsia="仿宋"/>
          <w:bCs/>
          <w:sz w:val="32"/>
          <w:szCs w:val="32"/>
        </w:rPr>
        <w:t>。其中：</w:t>
      </w:r>
      <w:bookmarkEnd w:id="31"/>
      <w:bookmarkEnd w:id="32"/>
      <w:bookmarkEnd w:id="33"/>
    </w:p>
    <w:p>
      <w:pPr>
        <w:spacing w:line="600" w:lineRule="exact"/>
        <w:ind w:firstLine="643" w:firstLineChars="200"/>
        <w:rPr>
          <w:rFonts w:ascii="仿宋" w:hAnsi="仿宋" w:eastAsia="仿宋"/>
          <w:bCs/>
          <w:sz w:val="32"/>
          <w:szCs w:val="32"/>
        </w:rPr>
      </w:pPr>
      <w:r>
        <w:rPr>
          <w:rStyle w:val="14"/>
          <w:rFonts w:ascii="仿宋" w:hAnsi="仿宋" w:eastAsia="仿宋"/>
          <w:bCs/>
          <w:sz w:val="32"/>
          <w:szCs w:val="32"/>
        </w:rPr>
        <w:t>1.</w:t>
      </w:r>
      <w:r>
        <w:rPr>
          <w:rStyle w:val="14"/>
          <w:rFonts w:hint="eastAsia" w:ascii="仿宋" w:hAnsi="仿宋" w:eastAsia="仿宋"/>
          <w:bCs/>
          <w:sz w:val="32"/>
          <w:szCs w:val="32"/>
        </w:rPr>
        <w:t>社会保障和就业（类）行政事业单位养老支出（款）机关事业单位基本养老保险缴费支出（项）</w:t>
      </w:r>
      <w:r>
        <w:rPr>
          <w:rStyle w:val="14"/>
          <w:rFonts w:ascii="仿宋" w:hAnsi="仿宋" w:eastAsia="仿宋"/>
          <w:bCs/>
          <w:sz w:val="32"/>
          <w:szCs w:val="32"/>
        </w:rPr>
        <w:t xml:space="preserve">: </w:t>
      </w:r>
      <w:r>
        <w:rPr>
          <w:rStyle w:val="14"/>
          <w:rFonts w:hint="eastAsia" w:ascii="仿宋" w:hAnsi="仿宋" w:eastAsia="仿宋"/>
          <w:bCs/>
          <w:sz w:val="32"/>
          <w:szCs w:val="32"/>
        </w:rPr>
        <w:t>支出决算为</w:t>
      </w:r>
      <w:r>
        <w:rPr>
          <w:rStyle w:val="14"/>
          <w:rFonts w:ascii="仿宋" w:hAnsi="仿宋" w:eastAsia="仿宋"/>
          <w:bCs/>
          <w:sz w:val="32"/>
          <w:szCs w:val="32"/>
        </w:rPr>
        <w:t>4.56</w:t>
      </w:r>
      <w:r>
        <w:rPr>
          <w:rStyle w:val="14"/>
          <w:rFonts w:hint="eastAsia" w:ascii="仿宋" w:hAnsi="仿宋" w:eastAsia="仿宋"/>
          <w:bCs/>
          <w:sz w:val="32"/>
          <w:szCs w:val="32"/>
        </w:rPr>
        <w:t>万元，完成预算</w:t>
      </w:r>
      <w:r>
        <w:rPr>
          <w:rStyle w:val="14"/>
          <w:rFonts w:ascii="仿宋" w:hAnsi="仿宋" w:eastAsia="仿宋"/>
          <w:bCs/>
          <w:sz w:val="32"/>
          <w:szCs w:val="32"/>
        </w:rPr>
        <w:t>100%</w:t>
      </w:r>
      <w:r>
        <w:rPr>
          <w:rStyle w:val="14"/>
          <w:rFonts w:hint="eastAsia" w:ascii="仿宋" w:hAnsi="仿宋" w:eastAsia="仿宋"/>
          <w:bCs/>
          <w:sz w:val="32"/>
          <w:szCs w:val="32"/>
        </w:rPr>
        <w:t>，决算数等于预算数。</w:t>
      </w:r>
    </w:p>
    <w:p>
      <w:pPr>
        <w:spacing w:line="600" w:lineRule="exact"/>
        <w:ind w:firstLine="643" w:firstLineChars="200"/>
        <w:rPr>
          <w:rStyle w:val="14"/>
          <w:rFonts w:ascii="仿宋" w:hAnsi="仿宋" w:eastAsia="仿宋"/>
          <w:b w:val="0"/>
          <w:bCs/>
          <w:sz w:val="32"/>
          <w:szCs w:val="32"/>
        </w:rPr>
      </w:pPr>
      <w:r>
        <w:rPr>
          <w:rStyle w:val="14"/>
          <w:rFonts w:hint="eastAsia" w:ascii="仿宋" w:hAnsi="仿宋" w:eastAsia="仿宋"/>
          <w:bCs/>
          <w:sz w:val="32"/>
          <w:szCs w:val="32"/>
        </w:rPr>
        <w:t>2</w:t>
      </w:r>
      <w:r>
        <w:rPr>
          <w:rStyle w:val="14"/>
          <w:rFonts w:ascii="仿宋" w:hAnsi="仿宋" w:eastAsia="仿宋"/>
          <w:bCs/>
          <w:sz w:val="32"/>
          <w:szCs w:val="32"/>
        </w:rPr>
        <w:t>.</w:t>
      </w:r>
      <w:r>
        <w:rPr>
          <w:rFonts w:hint="eastAsia" w:ascii="仿宋" w:hAnsi="仿宋" w:eastAsia="仿宋"/>
          <w:bCs/>
          <w:sz w:val="32"/>
          <w:szCs w:val="32"/>
        </w:rPr>
        <w:t xml:space="preserve"> </w:t>
      </w:r>
      <w:r>
        <w:rPr>
          <w:rStyle w:val="14"/>
          <w:rFonts w:hint="eastAsia" w:ascii="仿宋" w:hAnsi="仿宋" w:eastAsia="仿宋"/>
          <w:bCs/>
          <w:sz w:val="32"/>
          <w:szCs w:val="32"/>
        </w:rPr>
        <w:t>社会保障和就业（类）其他社会保险和就业支出（款）其他社会保险和就业支出（项）</w:t>
      </w:r>
      <w:r>
        <w:rPr>
          <w:rStyle w:val="14"/>
          <w:rFonts w:ascii="仿宋" w:hAnsi="仿宋" w:eastAsia="仿宋"/>
          <w:bCs/>
          <w:sz w:val="32"/>
          <w:szCs w:val="32"/>
        </w:rPr>
        <w:t xml:space="preserve">: </w:t>
      </w:r>
      <w:r>
        <w:rPr>
          <w:rStyle w:val="14"/>
          <w:rFonts w:hint="eastAsia" w:ascii="仿宋" w:hAnsi="仿宋" w:eastAsia="仿宋"/>
          <w:bCs/>
          <w:sz w:val="32"/>
          <w:szCs w:val="32"/>
        </w:rPr>
        <w:t>支出决算为</w:t>
      </w:r>
      <w:r>
        <w:rPr>
          <w:rStyle w:val="14"/>
          <w:rFonts w:ascii="仿宋" w:hAnsi="仿宋" w:eastAsia="仿宋"/>
          <w:bCs/>
          <w:sz w:val="32"/>
          <w:szCs w:val="32"/>
        </w:rPr>
        <w:t>0.</w:t>
      </w:r>
      <w:r>
        <w:rPr>
          <w:rStyle w:val="14"/>
          <w:rFonts w:hint="eastAsia" w:ascii="仿宋" w:hAnsi="仿宋" w:eastAsia="仿宋"/>
          <w:bCs/>
          <w:sz w:val="32"/>
          <w:szCs w:val="32"/>
        </w:rPr>
        <w:t>2万元，完成预算</w:t>
      </w:r>
      <w:r>
        <w:rPr>
          <w:rStyle w:val="14"/>
          <w:rFonts w:ascii="仿宋" w:hAnsi="仿宋" w:eastAsia="仿宋"/>
          <w:bCs/>
          <w:sz w:val="32"/>
          <w:szCs w:val="32"/>
        </w:rPr>
        <w:t>100%</w:t>
      </w:r>
      <w:r>
        <w:rPr>
          <w:rStyle w:val="14"/>
          <w:rFonts w:hint="eastAsia" w:ascii="仿宋" w:hAnsi="仿宋" w:eastAsia="仿宋"/>
          <w:bCs/>
          <w:sz w:val="32"/>
          <w:szCs w:val="32"/>
        </w:rPr>
        <w:t>，决算数等于预算数。</w:t>
      </w:r>
    </w:p>
    <w:p>
      <w:pPr>
        <w:spacing w:line="600" w:lineRule="exact"/>
        <w:ind w:firstLine="643" w:firstLineChars="200"/>
        <w:rPr>
          <w:rFonts w:ascii="仿宋" w:hAnsi="仿宋" w:eastAsia="仿宋"/>
          <w:b/>
          <w:sz w:val="32"/>
          <w:szCs w:val="32"/>
        </w:rPr>
      </w:pPr>
      <w:r>
        <w:rPr>
          <w:rStyle w:val="14"/>
          <w:rFonts w:ascii="仿宋" w:hAnsi="仿宋" w:eastAsia="仿宋"/>
          <w:bCs/>
          <w:sz w:val="32"/>
          <w:szCs w:val="32"/>
        </w:rPr>
        <w:t>3.</w:t>
      </w:r>
      <w:r>
        <w:rPr>
          <w:rFonts w:hint="eastAsia" w:ascii="仿宋" w:hAnsi="仿宋" w:eastAsia="仿宋"/>
          <w:b/>
          <w:bCs/>
          <w:sz w:val="32"/>
          <w:szCs w:val="32"/>
        </w:rPr>
        <w:t>卫生健康</w:t>
      </w:r>
      <w:r>
        <w:rPr>
          <w:rStyle w:val="14"/>
          <w:rFonts w:hint="eastAsia" w:ascii="仿宋" w:hAnsi="仿宋" w:eastAsia="仿宋"/>
          <w:bCs/>
          <w:sz w:val="32"/>
          <w:szCs w:val="32"/>
        </w:rPr>
        <w:t>（类）基层医疗卫生机构（款）城市社区卫生机构（项）</w:t>
      </w:r>
      <w:r>
        <w:rPr>
          <w:rStyle w:val="14"/>
          <w:rFonts w:ascii="仿宋" w:hAnsi="仿宋" w:eastAsia="仿宋"/>
          <w:bCs/>
          <w:sz w:val="32"/>
          <w:szCs w:val="32"/>
        </w:rPr>
        <w:t>:</w:t>
      </w:r>
      <w:r>
        <w:rPr>
          <w:rStyle w:val="14"/>
          <w:rFonts w:hint="eastAsia" w:ascii="仿宋" w:hAnsi="仿宋" w:eastAsia="仿宋"/>
          <w:bCs/>
          <w:sz w:val="32"/>
          <w:szCs w:val="32"/>
        </w:rPr>
        <w:t>支出决算为</w:t>
      </w:r>
      <w:r>
        <w:rPr>
          <w:rStyle w:val="14"/>
          <w:rFonts w:ascii="仿宋" w:hAnsi="仿宋" w:eastAsia="仿宋"/>
          <w:bCs/>
          <w:sz w:val="32"/>
          <w:szCs w:val="32"/>
        </w:rPr>
        <w:t>28.9</w:t>
      </w:r>
      <w:r>
        <w:rPr>
          <w:rStyle w:val="14"/>
          <w:rFonts w:hint="eastAsia" w:ascii="仿宋" w:hAnsi="仿宋" w:eastAsia="仿宋"/>
          <w:bCs/>
          <w:sz w:val="32"/>
          <w:szCs w:val="32"/>
        </w:rPr>
        <w:t>9万元，完成预算</w:t>
      </w:r>
      <w:r>
        <w:rPr>
          <w:rStyle w:val="14"/>
          <w:rFonts w:ascii="仿宋" w:hAnsi="仿宋" w:eastAsia="仿宋"/>
          <w:bCs/>
          <w:sz w:val="32"/>
          <w:szCs w:val="32"/>
        </w:rPr>
        <w:t>100%</w:t>
      </w:r>
      <w:r>
        <w:rPr>
          <w:rStyle w:val="14"/>
          <w:rFonts w:hint="eastAsia" w:ascii="仿宋" w:hAnsi="仿宋" w:eastAsia="仿宋"/>
          <w:bCs/>
          <w:sz w:val="32"/>
          <w:szCs w:val="32"/>
        </w:rPr>
        <w:t>，决算数等于预算数。</w:t>
      </w:r>
    </w:p>
    <w:p>
      <w:pPr>
        <w:spacing w:line="600" w:lineRule="exact"/>
        <w:ind w:firstLine="643" w:firstLineChars="200"/>
        <w:rPr>
          <w:rFonts w:ascii="仿宋" w:hAnsi="仿宋" w:eastAsia="仿宋"/>
          <w:b/>
          <w:sz w:val="32"/>
          <w:szCs w:val="32"/>
        </w:rPr>
      </w:pPr>
      <w:r>
        <w:rPr>
          <w:rStyle w:val="14"/>
          <w:rFonts w:ascii="仿宋" w:hAnsi="仿宋" w:eastAsia="仿宋"/>
          <w:bCs/>
          <w:sz w:val="32"/>
          <w:szCs w:val="32"/>
        </w:rPr>
        <w:t>4.</w:t>
      </w:r>
      <w:r>
        <w:rPr>
          <w:rFonts w:hint="eastAsia" w:ascii="仿宋" w:hAnsi="仿宋" w:eastAsia="仿宋"/>
          <w:b/>
          <w:bCs/>
          <w:sz w:val="32"/>
          <w:szCs w:val="32"/>
        </w:rPr>
        <w:t>卫生健康</w:t>
      </w:r>
      <w:r>
        <w:rPr>
          <w:rStyle w:val="14"/>
          <w:rFonts w:hint="eastAsia" w:ascii="仿宋" w:hAnsi="仿宋" w:eastAsia="仿宋"/>
          <w:bCs/>
          <w:sz w:val="32"/>
          <w:szCs w:val="32"/>
        </w:rPr>
        <w:t>（类）行政事业单位医疗（款）事业单位医疗（项）</w:t>
      </w:r>
      <w:r>
        <w:rPr>
          <w:rStyle w:val="14"/>
          <w:rFonts w:ascii="仿宋" w:hAnsi="仿宋" w:eastAsia="仿宋"/>
          <w:bCs/>
          <w:sz w:val="32"/>
          <w:szCs w:val="32"/>
        </w:rPr>
        <w:t>:</w:t>
      </w:r>
      <w:r>
        <w:rPr>
          <w:rStyle w:val="14"/>
          <w:rFonts w:hint="eastAsia" w:ascii="仿宋" w:hAnsi="仿宋" w:eastAsia="仿宋"/>
          <w:bCs/>
          <w:sz w:val="32"/>
          <w:szCs w:val="32"/>
        </w:rPr>
        <w:t>支出决算为</w:t>
      </w:r>
      <w:r>
        <w:rPr>
          <w:rStyle w:val="14"/>
          <w:rFonts w:ascii="仿宋" w:hAnsi="仿宋" w:eastAsia="仿宋"/>
          <w:bCs/>
          <w:sz w:val="32"/>
          <w:szCs w:val="32"/>
        </w:rPr>
        <w:t>1.9</w:t>
      </w:r>
      <w:r>
        <w:rPr>
          <w:rStyle w:val="14"/>
          <w:rFonts w:hint="eastAsia" w:ascii="仿宋" w:hAnsi="仿宋" w:eastAsia="仿宋"/>
          <w:bCs/>
          <w:sz w:val="32"/>
          <w:szCs w:val="32"/>
        </w:rPr>
        <w:t>万元，完成预算</w:t>
      </w:r>
      <w:r>
        <w:rPr>
          <w:rStyle w:val="14"/>
          <w:rFonts w:ascii="仿宋" w:hAnsi="仿宋" w:eastAsia="仿宋"/>
          <w:bCs/>
          <w:sz w:val="32"/>
          <w:szCs w:val="32"/>
        </w:rPr>
        <w:t>100%</w:t>
      </w:r>
      <w:r>
        <w:rPr>
          <w:rStyle w:val="14"/>
          <w:rFonts w:hint="eastAsia" w:ascii="仿宋" w:hAnsi="仿宋" w:eastAsia="仿宋"/>
          <w:bCs/>
          <w:sz w:val="32"/>
          <w:szCs w:val="32"/>
        </w:rPr>
        <w:t>，决算数等于预算数。</w:t>
      </w:r>
    </w:p>
    <w:p>
      <w:pPr>
        <w:spacing w:line="600" w:lineRule="exact"/>
        <w:ind w:firstLine="643" w:firstLineChars="200"/>
        <w:rPr>
          <w:rFonts w:ascii="仿宋" w:hAnsi="仿宋" w:eastAsia="仿宋"/>
          <w:b/>
          <w:sz w:val="32"/>
          <w:szCs w:val="32"/>
        </w:rPr>
      </w:pPr>
      <w:r>
        <w:rPr>
          <w:rStyle w:val="14"/>
          <w:rFonts w:ascii="仿宋" w:hAnsi="仿宋" w:eastAsia="仿宋"/>
          <w:bCs/>
          <w:sz w:val="32"/>
          <w:szCs w:val="32"/>
        </w:rPr>
        <w:t>5.</w:t>
      </w:r>
      <w:r>
        <w:rPr>
          <w:rFonts w:hint="eastAsia" w:ascii="仿宋" w:hAnsi="仿宋" w:eastAsia="仿宋"/>
          <w:b/>
          <w:bCs/>
          <w:sz w:val="32"/>
          <w:szCs w:val="32"/>
        </w:rPr>
        <w:t>卫生健康</w:t>
      </w:r>
      <w:r>
        <w:rPr>
          <w:rStyle w:val="14"/>
          <w:rFonts w:hint="eastAsia" w:ascii="仿宋" w:hAnsi="仿宋" w:eastAsia="仿宋"/>
          <w:bCs/>
          <w:sz w:val="32"/>
          <w:szCs w:val="32"/>
        </w:rPr>
        <w:t>（类）基层医疗卫生机构（款）公务员医疗补助（项）</w:t>
      </w:r>
      <w:r>
        <w:rPr>
          <w:rStyle w:val="14"/>
          <w:rFonts w:ascii="仿宋" w:hAnsi="仿宋" w:eastAsia="仿宋"/>
          <w:bCs/>
          <w:sz w:val="32"/>
          <w:szCs w:val="32"/>
        </w:rPr>
        <w:t>:</w:t>
      </w:r>
      <w:r>
        <w:rPr>
          <w:rStyle w:val="14"/>
          <w:rFonts w:hint="eastAsia" w:ascii="仿宋" w:hAnsi="仿宋" w:eastAsia="仿宋"/>
          <w:bCs/>
          <w:sz w:val="32"/>
          <w:szCs w:val="32"/>
        </w:rPr>
        <w:t>支出决算为</w:t>
      </w:r>
      <w:r>
        <w:rPr>
          <w:rStyle w:val="14"/>
          <w:rFonts w:ascii="仿宋" w:hAnsi="仿宋" w:eastAsia="仿宋"/>
          <w:bCs/>
          <w:sz w:val="32"/>
          <w:szCs w:val="32"/>
        </w:rPr>
        <w:t>0.23</w:t>
      </w:r>
      <w:r>
        <w:rPr>
          <w:rStyle w:val="14"/>
          <w:rFonts w:hint="eastAsia" w:ascii="仿宋" w:hAnsi="仿宋" w:eastAsia="仿宋"/>
          <w:bCs/>
          <w:sz w:val="32"/>
          <w:szCs w:val="32"/>
        </w:rPr>
        <w:t>万元，完成预算</w:t>
      </w:r>
      <w:r>
        <w:rPr>
          <w:rStyle w:val="14"/>
          <w:rFonts w:ascii="仿宋" w:hAnsi="仿宋" w:eastAsia="仿宋"/>
          <w:bCs/>
          <w:sz w:val="32"/>
          <w:szCs w:val="32"/>
        </w:rPr>
        <w:t>100%</w:t>
      </w:r>
      <w:r>
        <w:rPr>
          <w:rStyle w:val="14"/>
          <w:rFonts w:hint="eastAsia" w:ascii="仿宋" w:hAnsi="仿宋" w:eastAsia="仿宋"/>
          <w:bCs/>
          <w:sz w:val="32"/>
          <w:szCs w:val="32"/>
        </w:rPr>
        <w:t>，决算数等于预算数。</w:t>
      </w:r>
    </w:p>
    <w:p>
      <w:pPr>
        <w:tabs>
          <w:tab w:val="right" w:pos="8306"/>
        </w:tabs>
        <w:spacing w:line="600" w:lineRule="exact"/>
        <w:ind w:firstLine="640"/>
        <w:outlineLvl w:val="1"/>
        <w:rPr>
          <w:rStyle w:val="14"/>
          <w:rFonts w:eastAsia="仿宋"/>
          <w:b w:val="0"/>
          <w:bCs/>
          <w:color w:val="000000"/>
          <w:sz w:val="32"/>
          <w:szCs w:val="32"/>
        </w:rPr>
      </w:pPr>
      <w:r>
        <w:rPr>
          <w:rStyle w:val="14"/>
          <w:rFonts w:hint="eastAsia" w:eastAsia="仿宋"/>
          <w:bCs/>
          <w:color w:val="000000"/>
          <w:sz w:val="32"/>
          <w:szCs w:val="32"/>
        </w:rPr>
        <w:t>6</w:t>
      </w:r>
      <w:r>
        <w:rPr>
          <w:rStyle w:val="14"/>
          <w:rFonts w:eastAsia="仿宋"/>
          <w:bCs/>
          <w:color w:val="000000"/>
          <w:sz w:val="32"/>
          <w:szCs w:val="32"/>
        </w:rPr>
        <w:t>、住房保障支出（类）住房改革支出（款）住房公积金（项）：</w:t>
      </w:r>
      <w:r>
        <w:rPr>
          <w:rStyle w:val="14"/>
          <w:rFonts w:eastAsia="仿宋"/>
          <w:b w:val="0"/>
          <w:bCs/>
          <w:color w:val="000000"/>
          <w:sz w:val="32"/>
          <w:szCs w:val="32"/>
        </w:rPr>
        <w:t>支出决算为</w:t>
      </w:r>
      <w:r>
        <w:rPr>
          <w:rStyle w:val="14"/>
          <w:rFonts w:hint="eastAsia" w:eastAsia="仿宋"/>
          <w:bCs/>
          <w:color w:val="000000"/>
          <w:sz w:val="32"/>
          <w:szCs w:val="32"/>
        </w:rPr>
        <w:t>2.91</w:t>
      </w:r>
      <w:r>
        <w:rPr>
          <w:rStyle w:val="14"/>
          <w:rFonts w:eastAsia="仿宋"/>
          <w:b w:val="0"/>
          <w:bCs/>
          <w:color w:val="000000"/>
          <w:sz w:val="32"/>
          <w:szCs w:val="32"/>
        </w:rPr>
        <w:t>万元，完成100%，与预算数持平。</w:t>
      </w:r>
    </w:p>
    <w:p>
      <w:pPr>
        <w:pStyle w:val="2"/>
        <w:spacing w:before="93"/>
      </w:pPr>
    </w:p>
    <w:p>
      <w:pPr>
        <w:pStyle w:val="2"/>
        <w:spacing w:before="93"/>
      </w:pPr>
    </w:p>
    <w:p>
      <w:pPr>
        <w:spacing w:line="600" w:lineRule="exact"/>
        <w:ind w:firstLine="640"/>
        <w:rPr>
          <w:rFonts w:ascii="仿宋" w:hAnsi="仿宋" w:eastAsia="仿宋"/>
          <w:b/>
          <w:sz w:val="32"/>
          <w:szCs w:val="32"/>
        </w:rPr>
      </w:pPr>
    </w:p>
    <w:p>
      <w:pPr>
        <w:tabs>
          <w:tab w:val="right" w:pos="8306"/>
        </w:tabs>
        <w:spacing w:line="600" w:lineRule="exact"/>
        <w:ind w:firstLine="640"/>
        <w:outlineLvl w:val="1"/>
        <w:rPr>
          <w:rStyle w:val="19"/>
        </w:rPr>
      </w:pPr>
      <w:bookmarkStart w:id="34" w:name="_Toc15396608"/>
      <w:bookmarkStart w:id="35" w:name="_Toc1537721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19"/>
          <w:rFonts w:hint="eastAsia" w:ascii="黑体" w:hAnsi="黑体" w:eastAsia="黑体"/>
          <w:b w:val="0"/>
        </w:rPr>
        <w:t>般公共预算财政拨款基本支出决算情况说明</w:t>
      </w:r>
      <w:bookmarkEnd w:id="34"/>
      <w:bookmarkEnd w:id="35"/>
      <w:r>
        <w:rPr>
          <w:rStyle w:val="19"/>
          <w:rFonts w:ascii="黑体" w:hAnsi="黑体" w:eastAsia="黑体"/>
          <w:b w:val="0"/>
        </w:rPr>
        <w:tab/>
      </w:r>
    </w:p>
    <w:p>
      <w:pPr>
        <w:spacing w:line="600" w:lineRule="exact"/>
        <w:ind w:firstLine="645"/>
        <w:rPr>
          <w:rFonts w:ascii="仿宋" w:hAnsi="仿宋" w:eastAsia="仿宋"/>
          <w:sz w:val="32"/>
          <w:szCs w:val="32"/>
        </w:rPr>
      </w:pPr>
      <w:r>
        <w:rPr>
          <w:rFonts w:hint="eastAsia" w:ascii="仿宋" w:hAnsi="仿宋" w:eastAsia="仿宋"/>
          <w:sz w:val="32"/>
          <w:szCs w:val="32"/>
        </w:rPr>
        <w:t>　2</w:t>
      </w:r>
      <w:r>
        <w:rPr>
          <w:rFonts w:ascii="仿宋" w:hAnsi="仿宋" w:eastAsia="仿宋"/>
          <w:sz w:val="32"/>
          <w:szCs w:val="32"/>
        </w:rPr>
        <w:t>0</w:t>
      </w:r>
      <w:r>
        <w:rPr>
          <w:rFonts w:hint="eastAsia" w:ascii="仿宋" w:hAnsi="仿宋" w:eastAsia="仿宋"/>
          <w:sz w:val="32"/>
          <w:szCs w:val="32"/>
        </w:rPr>
        <w:t>22年一般公共预算财政拨款基本支出</w:t>
      </w:r>
      <w:r>
        <w:rPr>
          <w:rFonts w:ascii="仿宋" w:hAnsi="仿宋" w:eastAsia="仿宋"/>
          <w:sz w:val="32"/>
          <w:szCs w:val="32"/>
        </w:rPr>
        <w:t>38.79</w:t>
      </w:r>
      <w:r>
        <w:rPr>
          <w:rFonts w:hint="eastAsia" w:ascii="仿宋" w:hAnsi="仿宋" w:eastAsia="仿宋"/>
          <w:sz w:val="32"/>
          <w:szCs w:val="32"/>
        </w:rPr>
        <w:t>万元，其中：</w:t>
      </w:r>
    </w:p>
    <w:p>
      <w:pPr>
        <w:spacing w:line="600" w:lineRule="exact"/>
        <w:ind w:firstLine="645"/>
        <w:rPr>
          <w:rFonts w:ascii="仿宋" w:hAnsi="仿宋" w:eastAsia="仿宋"/>
          <w:b/>
          <w:sz w:val="32"/>
          <w:szCs w:val="32"/>
        </w:rPr>
      </w:pPr>
      <w:r>
        <w:rPr>
          <w:rFonts w:hint="eastAsia" w:ascii="仿宋" w:hAnsi="仿宋" w:eastAsia="仿宋"/>
          <w:sz w:val="32"/>
          <w:szCs w:val="32"/>
        </w:rPr>
        <w:t>人员经费</w:t>
      </w:r>
      <w:r>
        <w:rPr>
          <w:rFonts w:ascii="仿宋" w:hAnsi="仿宋" w:eastAsia="仿宋"/>
          <w:sz w:val="32"/>
          <w:szCs w:val="32"/>
        </w:rPr>
        <w:t>38.79</w:t>
      </w:r>
      <w:r>
        <w:rPr>
          <w:rFonts w:hint="eastAsia" w:ascii="仿宋" w:hAnsi="仿宋" w:eastAsia="仿宋"/>
          <w:sz w:val="32"/>
          <w:szCs w:val="32"/>
        </w:rPr>
        <w:t>万元，主要包括：基本工资11.9万元、津贴补贴0.38万元、奖金0.6万元、绩效工资16.11万元、机关事业单位基本养老保险缴费4.56万元、其他社会保障缴费0.2万元、医疗费补助2.13万元、住房公积金2.91万元。</w:t>
      </w:r>
    </w:p>
    <w:p>
      <w:pPr>
        <w:spacing w:line="600" w:lineRule="exact"/>
        <w:ind w:firstLine="640"/>
        <w:outlineLvl w:val="1"/>
        <w:rPr>
          <w:rStyle w:val="19"/>
          <w:rFonts w:ascii="黑体" w:hAnsi="黑体" w:eastAsia="黑体"/>
          <w:b w:val="0"/>
        </w:rPr>
      </w:pPr>
      <w:bookmarkStart w:id="36" w:name="_Toc15377215"/>
      <w:bookmarkStart w:id="37" w:name="_Toc15396609"/>
      <w:r>
        <w:rPr>
          <w:rFonts w:hint="eastAsia" w:ascii="黑体" w:eastAsia="黑体"/>
          <w:sz w:val="32"/>
          <w:szCs w:val="32"/>
        </w:rPr>
        <w:t>七、</w:t>
      </w:r>
      <w:r>
        <w:rPr>
          <w:rStyle w:val="19"/>
          <w:rFonts w:hint="eastAsia" w:ascii="黑体" w:hAnsi="黑体" w:eastAsia="黑体"/>
          <w:b w:val="0"/>
        </w:rPr>
        <w:t>财政拨款</w:t>
      </w:r>
      <w:r>
        <w:rPr>
          <w:rStyle w:val="19"/>
          <w:rFonts w:hint="eastAsia" w:ascii="黑体" w:hAnsi="黑体" w:eastAsia="黑体"/>
        </w:rPr>
        <w:t>“</w:t>
      </w:r>
      <w:r>
        <w:rPr>
          <w:rStyle w:val="19"/>
          <w:rFonts w:hint="eastAsia" w:ascii="黑体" w:hAnsi="黑体" w:eastAsia="黑体"/>
          <w:b w:val="0"/>
        </w:rPr>
        <w:t>三公”经费支出决算情况说明</w:t>
      </w:r>
      <w:bookmarkEnd w:id="36"/>
      <w:bookmarkEnd w:id="37"/>
    </w:p>
    <w:p>
      <w:pPr>
        <w:spacing w:line="600" w:lineRule="exact"/>
        <w:ind w:firstLine="640"/>
        <w:outlineLvl w:val="2"/>
        <w:rPr>
          <w:rFonts w:ascii="仿宋" w:hAnsi="仿宋" w:eastAsia="仿宋"/>
          <w:b/>
          <w:sz w:val="32"/>
          <w:szCs w:val="32"/>
        </w:rPr>
      </w:pPr>
      <w:bookmarkStart w:id="38" w:name="_Toc15377216"/>
      <w:r>
        <w:rPr>
          <w:rFonts w:hint="eastAsia" w:ascii="仿宋" w:hAnsi="仿宋" w:eastAsia="仿宋"/>
          <w:b/>
          <w:sz w:val="32"/>
          <w:szCs w:val="32"/>
        </w:rPr>
        <w:t>（一）“三公”经费财政拨款支出决算总体情况说明</w:t>
      </w:r>
      <w:bookmarkEnd w:id="38"/>
    </w:p>
    <w:p>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22年“三公”经费财政拨款支出决算为</w:t>
      </w:r>
      <w:r>
        <w:rPr>
          <w:rFonts w:ascii="仿宋" w:hAnsi="仿宋" w:eastAsia="仿宋"/>
          <w:sz w:val="32"/>
          <w:szCs w:val="32"/>
        </w:rPr>
        <w:t>0</w:t>
      </w:r>
      <w:r>
        <w:rPr>
          <w:rFonts w:hint="eastAsia" w:ascii="仿宋" w:hAnsi="仿宋" w:eastAsia="仿宋"/>
          <w:sz w:val="32"/>
          <w:szCs w:val="32"/>
        </w:rPr>
        <w:t>万元，完成预算</w:t>
      </w:r>
      <w:r>
        <w:rPr>
          <w:rFonts w:ascii="仿宋" w:hAnsi="仿宋" w:eastAsia="仿宋"/>
          <w:sz w:val="32"/>
          <w:szCs w:val="32"/>
        </w:rPr>
        <w:t>100%</w:t>
      </w:r>
      <w:r>
        <w:rPr>
          <w:rFonts w:hint="eastAsia" w:ascii="仿宋" w:hAnsi="仿宋" w:eastAsia="仿宋"/>
          <w:sz w:val="32"/>
          <w:szCs w:val="32"/>
        </w:rPr>
        <w:t>，较上年增加</w:t>
      </w:r>
      <w:r>
        <w:rPr>
          <w:rFonts w:ascii="仿宋" w:hAnsi="仿宋" w:eastAsia="仿宋"/>
          <w:sz w:val="32"/>
          <w:szCs w:val="32"/>
        </w:rPr>
        <w:t>0</w:t>
      </w:r>
      <w:r>
        <w:rPr>
          <w:rFonts w:hint="eastAsia" w:ascii="仿宋" w:hAnsi="仿宋" w:eastAsia="仿宋"/>
          <w:sz w:val="32"/>
          <w:szCs w:val="32"/>
        </w:rPr>
        <w:t>万元，增长</w:t>
      </w:r>
      <w:r>
        <w:rPr>
          <w:rFonts w:ascii="仿宋" w:hAnsi="仿宋" w:eastAsia="仿宋"/>
          <w:sz w:val="32"/>
          <w:szCs w:val="32"/>
        </w:rPr>
        <w:t>0</w:t>
      </w:r>
      <w:r>
        <w:rPr>
          <w:rFonts w:hint="eastAsia" w:ascii="仿宋" w:hAnsi="仿宋" w:eastAsia="仿宋"/>
          <w:sz w:val="32"/>
          <w:szCs w:val="32"/>
        </w:rPr>
        <w:t>%。决算数与预算数持平的主要原因是年初无预算。</w:t>
      </w:r>
    </w:p>
    <w:p>
      <w:pPr>
        <w:spacing w:line="600" w:lineRule="exact"/>
        <w:ind w:firstLine="640"/>
        <w:outlineLvl w:val="2"/>
        <w:rPr>
          <w:rFonts w:ascii="仿宋" w:hAnsi="仿宋" w:eastAsia="仿宋"/>
          <w:b/>
          <w:sz w:val="32"/>
          <w:szCs w:val="32"/>
        </w:rPr>
      </w:pPr>
      <w:bookmarkStart w:id="39" w:name="_Toc15377217"/>
      <w:r>
        <w:rPr>
          <w:rFonts w:hint="eastAsia" w:ascii="仿宋" w:hAnsi="仿宋" w:eastAsia="仿宋"/>
          <w:b/>
          <w:sz w:val="32"/>
          <w:szCs w:val="32"/>
        </w:rPr>
        <w:t>（二）“三公”经费财政拨款支出决算具体情况说明</w:t>
      </w:r>
      <w:bookmarkEnd w:id="39"/>
    </w:p>
    <w:p>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22年“三公”经费财政拨款支出决算中，因公出国（境）费支出决算</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；公务用车购置及运行维护费支出决算</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；公务接待费支出决算</w:t>
      </w:r>
      <w:r>
        <w:rPr>
          <w:rFonts w:ascii="仿宋" w:hAnsi="仿宋" w:eastAsia="仿宋"/>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。具体情况如下：</w:t>
      </w:r>
    </w:p>
    <w:p>
      <w:pPr>
        <w:spacing w:line="600" w:lineRule="exact"/>
        <w:ind w:firstLine="640"/>
        <w:rPr>
          <w:rFonts w:ascii="仿宋" w:hAnsi="仿宋" w:eastAsia="仿宋"/>
          <w:sz w:val="32"/>
          <w:szCs w:val="32"/>
        </w:rPr>
      </w:pPr>
      <w:r>
        <w:rPr>
          <w:rFonts w:ascii="仿宋_GB2312" w:eastAsia="仿宋_GB2312"/>
          <w:b/>
          <w:sz w:val="32"/>
          <w:szCs w:val="32"/>
        </w:rPr>
        <w:t>1.</w:t>
      </w:r>
      <w:r>
        <w:rPr>
          <w:rFonts w:hint="eastAsia" w:ascii="仿宋_GB2312" w:eastAsia="仿宋_GB2312"/>
          <w:b/>
          <w:sz w:val="32"/>
          <w:szCs w:val="32"/>
        </w:rPr>
        <w:t>因公出国（境）经费支出</w:t>
      </w:r>
      <w:r>
        <w:rPr>
          <w:rFonts w:ascii="仿宋_GB2312" w:eastAsia="仿宋_GB2312"/>
          <w:sz w:val="32"/>
          <w:szCs w:val="32"/>
        </w:rPr>
        <w:t>0</w:t>
      </w:r>
      <w:r>
        <w:rPr>
          <w:rFonts w:hint="eastAsia" w:ascii="仿宋_GB2312" w:eastAsia="仿宋_GB2312"/>
          <w:sz w:val="32"/>
          <w:szCs w:val="32"/>
        </w:rPr>
        <w:t>万元，</w:t>
      </w:r>
      <w:r>
        <w:rPr>
          <w:rStyle w:val="14"/>
          <w:rFonts w:hint="eastAsia" w:ascii="仿宋" w:hAnsi="仿宋" w:eastAsia="仿宋"/>
          <w:bCs/>
          <w:sz w:val="32"/>
          <w:szCs w:val="32"/>
        </w:rPr>
        <w:t>完成预算</w:t>
      </w:r>
      <w:r>
        <w:rPr>
          <w:rStyle w:val="14"/>
          <w:rFonts w:ascii="仿宋" w:hAnsi="仿宋" w:eastAsia="仿宋"/>
          <w:bCs/>
          <w:sz w:val="32"/>
          <w:szCs w:val="32"/>
        </w:rPr>
        <w:t>0%</w:t>
      </w:r>
      <w:r>
        <w:rPr>
          <w:rStyle w:val="14"/>
          <w:rFonts w:hint="eastAsia" w:ascii="仿宋" w:hAnsi="仿宋" w:eastAsia="仿宋"/>
          <w:bCs/>
          <w:sz w:val="32"/>
          <w:szCs w:val="32"/>
        </w:rPr>
        <w:t>。</w:t>
      </w:r>
      <w:r>
        <w:rPr>
          <w:rFonts w:hint="eastAsia" w:ascii="仿宋_GB2312" w:eastAsia="仿宋_GB2312"/>
          <w:sz w:val="32"/>
          <w:szCs w:val="32"/>
        </w:rPr>
        <w:t>全年安排因公出国（境）团组</w:t>
      </w:r>
      <w:r>
        <w:rPr>
          <w:rFonts w:ascii="仿宋_GB2312" w:eastAsia="仿宋_GB2312"/>
          <w:sz w:val="32"/>
          <w:szCs w:val="32"/>
        </w:rPr>
        <w:t>0</w:t>
      </w:r>
      <w:r>
        <w:rPr>
          <w:rFonts w:hint="eastAsia" w:ascii="仿宋_GB2312" w:eastAsia="仿宋_GB2312"/>
          <w:sz w:val="32"/>
          <w:szCs w:val="32"/>
        </w:rPr>
        <w:t>次，出国（境）</w:t>
      </w:r>
      <w:r>
        <w:rPr>
          <w:rFonts w:ascii="仿宋_GB2312" w:eastAsia="仿宋_GB2312"/>
          <w:sz w:val="32"/>
          <w:szCs w:val="32"/>
        </w:rPr>
        <w:t>0</w:t>
      </w:r>
      <w:r>
        <w:rPr>
          <w:rFonts w:hint="eastAsia" w:ascii="仿宋_GB2312" w:eastAsia="仿宋_GB2312"/>
          <w:sz w:val="32"/>
          <w:szCs w:val="32"/>
        </w:rPr>
        <w:t>人。因公出国（境）支出决算比</w:t>
      </w:r>
      <w:r>
        <w:rPr>
          <w:rFonts w:ascii="仿宋_GB2312" w:eastAsia="仿宋_GB2312"/>
          <w:sz w:val="32"/>
          <w:szCs w:val="32"/>
        </w:rPr>
        <w:t>20</w:t>
      </w:r>
      <w:r>
        <w:rPr>
          <w:rFonts w:hint="eastAsia" w:ascii="仿宋_GB2312" w:eastAsia="仿宋_GB2312"/>
          <w:sz w:val="32"/>
          <w:szCs w:val="32"/>
        </w:rPr>
        <w:t>21年增加</w:t>
      </w:r>
      <w:r>
        <w:rPr>
          <w:rFonts w:ascii="仿宋_GB2312" w:eastAsia="仿宋_GB2312"/>
          <w:sz w:val="32"/>
          <w:szCs w:val="32"/>
        </w:rPr>
        <w:t>0</w:t>
      </w:r>
      <w:r>
        <w:rPr>
          <w:rFonts w:hint="eastAsia" w:ascii="仿宋_GB2312" w:eastAsia="仿宋_GB2312"/>
          <w:sz w:val="32"/>
          <w:szCs w:val="32"/>
        </w:rPr>
        <w:t>万元，增长</w:t>
      </w:r>
      <w:r>
        <w:rPr>
          <w:rFonts w:ascii="仿宋_GB2312" w:eastAsia="仿宋_GB2312"/>
          <w:sz w:val="32"/>
          <w:szCs w:val="32"/>
        </w:rPr>
        <w:t>0%</w:t>
      </w:r>
      <w:r>
        <w:rPr>
          <w:rFonts w:hint="eastAsia" w:ascii="仿宋_GB2312" w:eastAsia="仿宋_GB2312"/>
          <w:sz w:val="32"/>
          <w:szCs w:val="32"/>
        </w:rPr>
        <w:t>。主要原因是</w:t>
      </w:r>
      <w:r>
        <w:rPr>
          <w:rFonts w:hint="eastAsia" w:ascii="仿宋" w:hAnsi="仿宋" w:eastAsia="仿宋"/>
          <w:sz w:val="32"/>
          <w:szCs w:val="32"/>
        </w:rPr>
        <w:t>主要变动原因是单位成立于2</w:t>
      </w:r>
      <w:r>
        <w:rPr>
          <w:rFonts w:ascii="仿宋" w:hAnsi="仿宋" w:eastAsia="仿宋"/>
          <w:sz w:val="32"/>
          <w:szCs w:val="32"/>
        </w:rPr>
        <w:t>022</w:t>
      </w:r>
      <w:r>
        <w:rPr>
          <w:rFonts w:hint="eastAsia" w:ascii="仿宋" w:hAnsi="仿宋" w:eastAsia="仿宋"/>
          <w:sz w:val="32"/>
          <w:szCs w:val="32"/>
        </w:rPr>
        <w:t>年，2</w:t>
      </w:r>
      <w:r>
        <w:rPr>
          <w:rFonts w:ascii="仿宋" w:hAnsi="仿宋" w:eastAsia="仿宋"/>
          <w:sz w:val="32"/>
          <w:szCs w:val="32"/>
        </w:rPr>
        <w:t>021</w:t>
      </w:r>
      <w:r>
        <w:rPr>
          <w:rFonts w:hint="eastAsia" w:ascii="仿宋" w:hAnsi="仿宋" w:eastAsia="仿宋"/>
          <w:sz w:val="32"/>
          <w:szCs w:val="32"/>
        </w:rPr>
        <w:t>年无数据，本年无预算。</w:t>
      </w:r>
    </w:p>
    <w:p>
      <w:pPr>
        <w:spacing w:line="600" w:lineRule="exact"/>
        <w:ind w:firstLine="640"/>
        <w:rPr>
          <w:rFonts w:ascii="仿宋" w:hAnsi="仿宋" w:eastAsia="仿宋"/>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ascii="仿宋_GB2312" w:eastAsia="仿宋_GB2312"/>
          <w:sz w:val="32"/>
          <w:szCs w:val="32"/>
        </w:rPr>
        <w:t>0</w:t>
      </w:r>
      <w:r>
        <w:rPr>
          <w:rFonts w:hint="eastAsia" w:ascii="仿宋_GB2312" w:eastAsia="仿宋_GB2312"/>
          <w:sz w:val="32"/>
          <w:szCs w:val="32"/>
        </w:rPr>
        <w:t>万元,</w:t>
      </w:r>
      <w:r>
        <w:rPr>
          <w:rStyle w:val="14"/>
          <w:rFonts w:hint="eastAsia" w:ascii="仿宋" w:hAnsi="仿宋" w:eastAsia="仿宋"/>
          <w:bCs/>
          <w:sz w:val="32"/>
          <w:szCs w:val="32"/>
        </w:rPr>
        <w:t>完成预算</w:t>
      </w:r>
      <w:r>
        <w:rPr>
          <w:rStyle w:val="14"/>
          <w:rFonts w:ascii="仿宋" w:hAnsi="仿宋" w:eastAsia="仿宋"/>
          <w:bCs/>
          <w:sz w:val="32"/>
          <w:szCs w:val="32"/>
        </w:rPr>
        <w:t>0%</w:t>
      </w:r>
      <w:r>
        <w:rPr>
          <w:rStyle w:val="14"/>
          <w:rFonts w:hint="eastAsia" w:ascii="仿宋" w:hAnsi="仿宋" w:eastAsia="仿宋"/>
          <w:bCs/>
          <w:sz w:val="32"/>
          <w:szCs w:val="32"/>
        </w:rPr>
        <w:t>。</w:t>
      </w:r>
      <w:r>
        <w:rPr>
          <w:rFonts w:hint="eastAsia" w:ascii="仿宋_GB2312" w:eastAsia="仿宋_GB2312"/>
          <w:sz w:val="32"/>
          <w:szCs w:val="32"/>
        </w:rPr>
        <w:t>公务用车购置及运行维护费支出决算比</w:t>
      </w:r>
      <w:r>
        <w:rPr>
          <w:rFonts w:ascii="仿宋_GB2312" w:eastAsia="仿宋_GB2312"/>
          <w:sz w:val="32"/>
          <w:szCs w:val="32"/>
        </w:rPr>
        <w:t>20</w:t>
      </w:r>
      <w:r>
        <w:rPr>
          <w:rFonts w:hint="eastAsia" w:ascii="仿宋_GB2312" w:eastAsia="仿宋_GB2312"/>
          <w:sz w:val="32"/>
          <w:szCs w:val="32"/>
        </w:rPr>
        <w:t>21年增加</w:t>
      </w:r>
      <w:r>
        <w:rPr>
          <w:rFonts w:ascii="仿宋_GB2312" w:eastAsia="仿宋_GB2312"/>
          <w:sz w:val="32"/>
          <w:szCs w:val="32"/>
        </w:rPr>
        <w:t>0</w:t>
      </w:r>
      <w:r>
        <w:rPr>
          <w:rFonts w:hint="eastAsia" w:ascii="仿宋_GB2312" w:eastAsia="仿宋_GB2312"/>
          <w:sz w:val="32"/>
          <w:szCs w:val="32"/>
        </w:rPr>
        <w:t>万元，增长</w:t>
      </w:r>
      <w:r>
        <w:rPr>
          <w:rFonts w:ascii="仿宋_GB2312" w:eastAsia="仿宋_GB2312"/>
          <w:sz w:val="32"/>
          <w:szCs w:val="32"/>
        </w:rPr>
        <w:t>0%</w:t>
      </w:r>
      <w:r>
        <w:rPr>
          <w:rFonts w:hint="eastAsia" w:ascii="仿宋_GB2312" w:eastAsia="仿宋_GB2312"/>
          <w:sz w:val="32"/>
          <w:szCs w:val="32"/>
        </w:rPr>
        <w:t>。主要原因是</w:t>
      </w:r>
      <w:r>
        <w:rPr>
          <w:rFonts w:hint="eastAsia" w:ascii="仿宋" w:hAnsi="仿宋" w:eastAsia="仿宋"/>
          <w:sz w:val="32"/>
          <w:szCs w:val="32"/>
        </w:rPr>
        <w:t>主要变动原因是单位成立于2</w:t>
      </w:r>
      <w:r>
        <w:rPr>
          <w:rFonts w:ascii="仿宋" w:hAnsi="仿宋" w:eastAsia="仿宋"/>
          <w:sz w:val="32"/>
          <w:szCs w:val="32"/>
        </w:rPr>
        <w:t>022</w:t>
      </w:r>
      <w:r>
        <w:rPr>
          <w:rFonts w:hint="eastAsia" w:ascii="仿宋" w:hAnsi="仿宋" w:eastAsia="仿宋"/>
          <w:sz w:val="32"/>
          <w:szCs w:val="32"/>
        </w:rPr>
        <w:t>年，2</w:t>
      </w:r>
      <w:r>
        <w:rPr>
          <w:rFonts w:ascii="仿宋" w:hAnsi="仿宋" w:eastAsia="仿宋"/>
          <w:sz w:val="32"/>
          <w:szCs w:val="32"/>
        </w:rPr>
        <w:t>021</w:t>
      </w:r>
      <w:r>
        <w:rPr>
          <w:rFonts w:hint="eastAsia" w:ascii="仿宋" w:hAnsi="仿宋" w:eastAsia="仿宋"/>
          <w:sz w:val="32"/>
          <w:szCs w:val="32"/>
        </w:rPr>
        <w:t>年无数据，本年无预算。</w:t>
      </w:r>
    </w:p>
    <w:p>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ascii="仿宋_GB2312" w:eastAsia="仿宋_GB2312"/>
          <w:sz w:val="32"/>
          <w:szCs w:val="32"/>
        </w:rPr>
        <w:t>0</w:t>
      </w:r>
      <w:r>
        <w:rPr>
          <w:rFonts w:hint="eastAsia" w:ascii="仿宋_GB2312" w:eastAsia="仿宋_GB2312"/>
          <w:sz w:val="32"/>
          <w:szCs w:val="32"/>
        </w:rPr>
        <w:t>万元。全年按规定更新购置公务用车</w:t>
      </w:r>
      <w:r>
        <w:rPr>
          <w:rFonts w:ascii="仿宋_GB2312" w:eastAsia="仿宋_GB2312"/>
          <w:sz w:val="32"/>
          <w:szCs w:val="32"/>
        </w:rPr>
        <w:t>0</w:t>
      </w:r>
      <w:r>
        <w:rPr>
          <w:rFonts w:hint="eastAsia" w:ascii="仿宋_GB2312" w:eastAsia="仿宋_GB2312"/>
          <w:sz w:val="32"/>
          <w:szCs w:val="32"/>
        </w:rPr>
        <w:t>辆，其中：轿车</w:t>
      </w:r>
      <w:r>
        <w:rPr>
          <w:rFonts w:ascii="仿宋_GB2312" w:eastAsia="仿宋_GB2312"/>
          <w:sz w:val="32"/>
          <w:szCs w:val="32"/>
        </w:rPr>
        <w:t>0</w:t>
      </w:r>
      <w:r>
        <w:rPr>
          <w:rFonts w:hint="eastAsia" w:ascii="仿宋_GB2312" w:eastAsia="仿宋_GB2312"/>
          <w:sz w:val="32"/>
          <w:szCs w:val="32"/>
        </w:rPr>
        <w:t>辆、金额</w:t>
      </w:r>
      <w:r>
        <w:rPr>
          <w:rFonts w:ascii="仿宋_GB2312" w:eastAsia="仿宋_GB2312"/>
          <w:sz w:val="32"/>
          <w:szCs w:val="32"/>
        </w:rPr>
        <w:t>0</w:t>
      </w:r>
      <w:r>
        <w:rPr>
          <w:rFonts w:hint="eastAsia" w:ascii="仿宋_GB2312" w:eastAsia="仿宋_GB2312"/>
          <w:sz w:val="32"/>
          <w:szCs w:val="32"/>
        </w:rPr>
        <w:t>万元，越野车</w:t>
      </w:r>
      <w:r>
        <w:rPr>
          <w:rFonts w:ascii="仿宋_GB2312" w:eastAsia="仿宋_GB2312"/>
          <w:sz w:val="32"/>
          <w:szCs w:val="32"/>
        </w:rPr>
        <w:t>0</w:t>
      </w:r>
      <w:r>
        <w:rPr>
          <w:rFonts w:hint="eastAsia" w:ascii="仿宋_GB2312" w:eastAsia="仿宋_GB2312"/>
          <w:sz w:val="32"/>
          <w:szCs w:val="32"/>
        </w:rPr>
        <w:t>辆、金额</w:t>
      </w:r>
      <w:r>
        <w:rPr>
          <w:rFonts w:ascii="仿宋_GB2312" w:eastAsia="仿宋_GB2312"/>
          <w:sz w:val="32"/>
          <w:szCs w:val="32"/>
        </w:rPr>
        <w:t>0</w:t>
      </w:r>
      <w:r>
        <w:rPr>
          <w:rFonts w:hint="eastAsia" w:ascii="仿宋_GB2312" w:eastAsia="仿宋_GB2312"/>
          <w:sz w:val="32"/>
          <w:szCs w:val="32"/>
        </w:rPr>
        <w:t>万元，载客汽车</w:t>
      </w:r>
      <w:r>
        <w:rPr>
          <w:rFonts w:ascii="仿宋_GB2312" w:eastAsia="仿宋_GB2312"/>
          <w:sz w:val="32"/>
          <w:szCs w:val="32"/>
        </w:rPr>
        <w:t>0</w:t>
      </w:r>
      <w:r>
        <w:rPr>
          <w:rFonts w:hint="eastAsia" w:ascii="仿宋_GB2312" w:eastAsia="仿宋_GB2312"/>
          <w:sz w:val="32"/>
          <w:szCs w:val="32"/>
        </w:rPr>
        <w:t>辆、金额</w:t>
      </w:r>
      <w:r>
        <w:rPr>
          <w:rFonts w:ascii="仿宋_GB2312" w:eastAsia="仿宋_GB2312"/>
          <w:sz w:val="32"/>
          <w:szCs w:val="32"/>
        </w:rPr>
        <w:t>0</w:t>
      </w:r>
      <w:r>
        <w:rPr>
          <w:rFonts w:hint="eastAsia" w:ascii="仿宋_GB2312" w:eastAsia="仿宋_GB2312"/>
          <w:sz w:val="32"/>
          <w:szCs w:val="32"/>
        </w:rPr>
        <w:t>万元0。截至</w:t>
      </w:r>
      <w:r>
        <w:rPr>
          <w:rFonts w:ascii="仿宋_GB2312" w:eastAsia="仿宋_GB2312"/>
          <w:sz w:val="32"/>
          <w:szCs w:val="32"/>
        </w:rPr>
        <w:t>20</w:t>
      </w:r>
      <w:r>
        <w:rPr>
          <w:rFonts w:hint="eastAsia" w:ascii="仿宋_GB2312" w:eastAsia="仿宋_GB2312"/>
          <w:sz w:val="32"/>
          <w:szCs w:val="32"/>
        </w:rPr>
        <w:t>22年</w:t>
      </w:r>
      <w:r>
        <w:rPr>
          <w:rFonts w:ascii="仿宋_GB2312" w:eastAsia="仿宋_GB2312"/>
          <w:sz w:val="32"/>
          <w:szCs w:val="32"/>
        </w:rPr>
        <w:t>12</w:t>
      </w:r>
      <w:r>
        <w:rPr>
          <w:rFonts w:hint="eastAsia" w:ascii="仿宋_GB2312" w:eastAsia="仿宋_GB2312"/>
          <w:sz w:val="32"/>
          <w:szCs w:val="32"/>
        </w:rPr>
        <w:t>月底，单位共有公务用车</w:t>
      </w:r>
      <w:r>
        <w:rPr>
          <w:rFonts w:ascii="仿宋_GB2312" w:eastAsia="仿宋_GB2312"/>
          <w:sz w:val="32"/>
          <w:szCs w:val="32"/>
        </w:rPr>
        <w:t>1</w:t>
      </w:r>
      <w:r>
        <w:rPr>
          <w:rFonts w:hint="eastAsia" w:ascii="仿宋_GB2312" w:eastAsia="仿宋_GB2312"/>
          <w:sz w:val="32"/>
          <w:szCs w:val="32"/>
        </w:rPr>
        <w:t>辆，其中：轿车</w:t>
      </w:r>
      <w:r>
        <w:rPr>
          <w:rFonts w:ascii="仿宋_GB2312" w:eastAsia="仿宋_GB2312"/>
          <w:sz w:val="32"/>
          <w:szCs w:val="32"/>
        </w:rPr>
        <w:t>0</w:t>
      </w:r>
      <w:r>
        <w:rPr>
          <w:rFonts w:hint="eastAsia" w:ascii="仿宋_GB2312" w:eastAsia="仿宋_GB2312"/>
          <w:sz w:val="32"/>
          <w:szCs w:val="32"/>
        </w:rPr>
        <w:t>辆、越野车</w:t>
      </w:r>
      <w:r>
        <w:rPr>
          <w:rFonts w:ascii="仿宋_GB2312" w:eastAsia="仿宋_GB2312"/>
          <w:sz w:val="32"/>
          <w:szCs w:val="32"/>
        </w:rPr>
        <w:t>0</w:t>
      </w:r>
      <w:r>
        <w:rPr>
          <w:rFonts w:hint="eastAsia" w:ascii="仿宋_GB2312" w:eastAsia="仿宋_GB2312"/>
          <w:sz w:val="32"/>
          <w:szCs w:val="32"/>
        </w:rPr>
        <w:t>辆、载客汽车</w:t>
      </w:r>
      <w:r>
        <w:rPr>
          <w:rFonts w:ascii="仿宋_GB2312" w:eastAsia="仿宋_GB2312"/>
          <w:sz w:val="32"/>
          <w:szCs w:val="32"/>
        </w:rPr>
        <w:t>0</w:t>
      </w:r>
      <w:r>
        <w:rPr>
          <w:rFonts w:hint="eastAsia" w:ascii="仿宋_GB2312" w:eastAsia="仿宋_GB2312"/>
          <w:sz w:val="32"/>
          <w:szCs w:val="32"/>
        </w:rPr>
        <w:t>辆、特种车辆1辆。</w:t>
      </w:r>
    </w:p>
    <w:p>
      <w:pPr>
        <w:spacing w:line="600" w:lineRule="exact"/>
        <w:ind w:firstLine="640"/>
        <w:rPr>
          <w:rFonts w:ascii="仿宋_GB2312" w:eastAsia="仿宋_GB2312"/>
          <w:sz w:val="32"/>
          <w:szCs w:val="32"/>
        </w:rPr>
      </w:pPr>
      <w:r>
        <w:rPr>
          <w:rFonts w:hint="eastAsia" w:ascii="仿宋_GB2312" w:eastAsia="仿宋_GB2312"/>
          <w:b/>
          <w:sz w:val="32"/>
          <w:szCs w:val="32"/>
        </w:rPr>
        <w:t>公务用车运行维护费支出</w:t>
      </w:r>
      <w:r>
        <w:rPr>
          <w:rFonts w:ascii="仿宋_GB2312" w:eastAsia="仿宋_GB2312"/>
          <w:sz w:val="32"/>
          <w:szCs w:val="32"/>
        </w:rPr>
        <w:t>0</w:t>
      </w:r>
      <w:r>
        <w:rPr>
          <w:rFonts w:hint="eastAsia" w:ascii="仿宋_GB2312" w:eastAsia="仿宋_GB2312"/>
          <w:sz w:val="32"/>
          <w:szCs w:val="32"/>
        </w:rPr>
        <w:t>万元。主要用于卫生健康等所需的公务用车燃料费、维修费、过路过桥费、保险费等支出。</w:t>
      </w:r>
    </w:p>
    <w:p>
      <w:pPr>
        <w:spacing w:line="600" w:lineRule="exact"/>
        <w:ind w:firstLine="640"/>
        <w:rPr>
          <w:rFonts w:ascii="仿宋" w:hAnsi="仿宋" w:eastAsia="仿宋"/>
          <w:sz w:val="32"/>
          <w:szCs w:val="32"/>
        </w:rPr>
      </w:pPr>
      <w:r>
        <w:rPr>
          <w:rFonts w:ascii="仿宋_GB2312" w:eastAsia="仿宋_GB2312"/>
          <w:b/>
          <w:sz w:val="32"/>
          <w:szCs w:val="32"/>
        </w:rPr>
        <w:t>3.</w:t>
      </w:r>
      <w:r>
        <w:rPr>
          <w:rFonts w:hint="eastAsia" w:ascii="仿宋_GB2312" w:eastAsia="仿宋_GB2312"/>
          <w:b/>
          <w:sz w:val="32"/>
          <w:szCs w:val="32"/>
        </w:rPr>
        <w:t>公务接待费支出</w:t>
      </w:r>
      <w:r>
        <w:rPr>
          <w:rFonts w:ascii="仿宋_GB2312" w:eastAsia="仿宋_GB2312"/>
          <w:sz w:val="32"/>
          <w:szCs w:val="32"/>
        </w:rPr>
        <w:t>0</w:t>
      </w:r>
      <w:r>
        <w:rPr>
          <w:rFonts w:hint="eastAsia" w:ascii="仿宋_GB2312" w:eastAsia="仿宋_GB2312"/>
          <w:sz w:val="32"/>
          <w:szCs w:val="32"/>
        </w:rPr>
        <w:t>万元，</w:t>
      </w:r>
      <w:r>
        <w:rPr>
          <w:rStyle w:val="14"/>
          <w:rFonts w:hint="eastAsia" w:ascii="仿宋" w:hAnsi="仿宋" w:eastAsia="仿宋"/>
          <w:bCs/>
          <w:sz w:val="32"/>
          <w:szCs w:val="32"/>
        </w:rPr>
        <w:t>完成预算</w:t>
      </w:r>
      <w:r>
        <w:rPr>
          <w:rStyle w:val="14"/>
          <w:rFonts w:ascii="仿宋" w:hAnsi="仿宋" w:eastAsia="仿宋"/>
          <w:bCs/>
          <w:sz w:val="32"/>
          <w:szCs w:val="32"/>
        </w:rPr>
        <w:t>0%</w:t>
      </w:r>
      <w:r>
        <w:rPr>
          <w:rStyle w:val="14"/>
          <w:rFonts w:hint="eastAsia" w:ascii="仿宋" w:hAnsi="仿宋" w:eastAsia="仿宋"/>
          <w:bCs/>
          <w:sz w:val="32"/>
          <w:szCs w:val="32"/>
        </w:rPr>
        <w:t>。</w:t>
      </w:r>
      <w:r>
        <w:rPr>
          <w:rFonts w:hint="eastAsia" w:ascii="仿宋_GB2312" w:eastAsia="仿宋_GB2312"/>
          <w:sz w:val="32"/>
          <w:szCs w:val="32"/>
        </w:rPr>
        <w:t>公务接待费支出决算比</w:t>
      </w:r>
      <w:r>
        <w:rPr>
          <w:rFonts w:ascii="仿宋_GB2312" w:eastAsia="仿宋_GB2312"/>
          <w:sz w:val="32"/>
          <w:szCs w:val="32"/>
        </w:rPr>
        <w:t>20</w:t>
      </w:r>
      <w:r>
        <w:rPr>
          <w:rFonts w:hint="eastAsia" w:ascii="仿宋_GB2312" w:eastAsia="仿宋_GB2312"/>
          <w:sz w:val="32"/>
          <w:szCs w:val="32"/>
        </w:rPr>
        <w:t>21年增加</w:t>
      </w:r>
      <w:r>
        <w:rPr>
          <w:rFonts w:ascii="仿宋_GB2312" w:eastAsia="仿宋_GB2312"/>
          <w:sz w:val="32"/>
          <w:szCs w:val="32"/>
        </w:rPr>
        <w:t>0</w:t>
      </w:r>
      <w:r>
        <w:rPr>
          <w:rFonts w:hint="eastAsia" w:ascii="仿宋_GB2312" w:eastAsia="仿宋_GB2312"/>
          <w:sz w:val="32"/>
          <w:szCs w:val="32"/>
        </w:rPr>
        <w:t>万元，增长</w:t>
      </w:r>
      <w:r>
        <w:rPr>
          <w:rFonts w:ascii="仿宋_GB2312" w:eastAsia="仿宋_GB2312"/>
          <w:sz w:val="32"/>
          <w:szCs w:val="32"/>
        </w:rPr>
        <w:t>0%</w:t>
      </w:r>
      <w:r>
        <w:rPr>
          <w:rFonts w:hint="eastAsia" w:ascii="仿宋_GB2312" w:eastAsia="仿宋_GB2312"/>
          <w:sz w:val="32"/>
          <w:szCs w:val="32"/>
        </w:rPr>
        <w:t>。主要原因是</w:t>
      </w:r>
      <w:r>
        <w:rPr>
          <w:rFonts w:hint="eastAsia" w:ascii="仿宋" w:hAnsi="仿宋" w:eastAsia="仿宋"/>
          <w:sz w:val="32"/>
          <w:szCs w:val="32"/>
        </w:rPr>
        <w:t>主要变动原因是单位成立于2</w:t>
      </w:r>
      <w:r>
        <w:rPr>
          <w:rFonts w:ascii="仿宋" w:hAnsi="仿宋" w:eastAsia="仿宋"/>
          <w:sz w:val="32"/>
          <w:szCs w:val="32"/>
        </w:rPr>
        <w:t>022</w:t>
      </w:r>
      <w:r>
        <w:rPr>
          <w:rFonts w:hint="eastAsia" w:ascii="仿宋" w:hAnsi="仿宋" w:eastAsia="仿宋"/>
          <w:sz w:val="32"/>
          <w:szCs w:val="32"/>
        </w:rPr>
        <w:t>年，2</w:t>
      </w:r>
      <w:r>
        <w:rPr>
          <w:rFonts w:ascii="仿宋" w:hAnsi="仿宋" w:eastAsia="仿宋"/>
          <w:sz w:val="32"/>
          <w:szCs w:val="32"/>
        </w:rPr>
        <w:t>021</w:t>
      </w:r>
      <w:r>
        <w:rPr>
          <w:rFonts w:hint="eastAsia" w:ascii="仿宋" w:hAnsi="仿宋" w:eastAsia="仿宋"/>
          <w:sz w:val="32"/>
          <w:szCs w:val="32"/>
        </w:rPr>
        <w:t xml:space="preserve">年无数据，本年无预算。 </w:t>
      </w:r>
      <w:r>
        <w:rPr>
          <w:rFonts w:ascii="仿宋" w:hAnsi="仿宋" w:eastAsia="仿宋"/>
          <w:sz w:val="32"/>
          <w:szCs w:val="32"/>
        </w:rPr>
        <w:t xml:space="preserve"> </w:t>
      </w:r>
      <w:r>
        <w:rPr>
          <w:rFonts w:hint="eastAsia" w:ascii="仿宋_GB2312" w:eastAsia="仿宋_GB2312"/>
          <w:sz w:val="32"/>
          <w:szCs w:val="32"/>
        </w:rPr>
        <w:t>其中：</w:t>
      </w:r>
    </w:p>
    <w:p>
      <w:pPr>
        <w:spacing w:line="600" w:lineRule="exact"/>
        <w:ind w:firstLine="640"/>
        <w:rPr>
          <w:rFonts w:ascii="仿宋_GB2312" w:eastAsia="仿宋_GB2312"/>
          <w:sz w:val="32"/>
          <w:szCs w:val="32"/>
        </w:rPr>
      </w:pPr>
      <w:r>
        <w:rPr>
          <w:rFonts w:hint="eastAsia" w:ascii="仿宋" w:hAnsi="仿宋" w:eastAsia="仿宋"/>
          <w:b/>
          <w:sz w:val="32"/>
          <w:szCs w:val="32"/>
        </w:rPr>
        <w:t>国内公务接待支出</w:t>
      </w:r>
      <w:r>
        <w:rPr>
          <w:rFonts w:ascii="仿宋" w:hAnsi="仿宋" w:eastAsia="仿宋"/>
          <w:sz w:val="32"/>
          <w:szCs w:val="32"/>
        </w:rPr>
        <w:t>0</w:t>
      </w:r>
      <w:r>
        <w:rPr>
          <w:rFonts w:hint="eastAsia" w:ascii="仿宋_GB2312" w:eastAsia="仿宋_GB2312"/>
          <w:sz w:val="32"/>
          <w:szCs w:val="32"/>
        </w:rPr>
        <w:t>万元。</w:t>
      </w:r>
    </w:p>
    <w:p>
      <w:pPr>
        <w:spacing w:line="600" w:lineRule="exact"/>
        <w:ind w:firstLine="643" w:firstLineChars="200"/>
        <w:rPr>
          <w:rFonts w:ascii="仿宋_GB2312" w:eastAsia="仿宋_GB2312"/>
          <w:sz w:val="32"/>
          <w:szCs w:val="32"/>
        </w:rPr>
      </w:pPr>
      <w:r>
        <w:rPr>
          <w:rFonts w:hint="eastAsia" w:ascii="仿宋" w:hAnsi="仿宋" w:eastAsia="仿宋"/>
          <w:b/>
          <w:sz w:val="32"/>
          <w:szCs w:val="32"/>
        </w:rPr>
        <w:t>外事接待支出</w:t>
      </w:r>
      <w:r>
        <w:rPr>
          <w:rFonts w:ascii="仿宋" w:hAnsi="仿宋" w:eastAsia="仿宋"/>
          <w:sz w:val="32"/>
          <w:szCs w:val="32"/>
        </w:rPr>
        <w:t>0</w:t>
      </w:r>
      <w:r>
        <w:rPr>
          <w:rFonts w:hint="eastAsia" w:ascii="仿宋_GB2312" w:eastAsia="仿宋_GB2312"/>
          <w:sz w:val="32"/>
          <w:szCs w:val="32"/>
        </w:rPr>
        <w:t>万元。</w:t>
      </w:r>
    </w:p>
    <w:p>
      <w:pPr>
        <w:spacing w:line="600" w:lineRule="exact"/>
        <w:ind w:firstLine="640"/>
        <w:outlineLvl w:val="1"/>
        <w:rPr>
          <w:rStyle w:val="19"/>
          <w:rFonts w:ascii="黑体" w:hAnsi="黑体" w:eastAsia="黑体"/>
        </w:rPr>
      </w:pPr>
      <w:bookmarkStart w:id="40" w:name="_Toc15396610"/>
      <w:bookmarkStart w:id="41" w:name="_Toc15377218"/>
      <w:r>
        <w:rPr>
          <w:rFonts w:hint="eastAsia" w:ascii="黑体" w:eastAsia="黑体"/>
          <w:sz w:val="32"/>
          <w:szCs w:val="32"/>
        </w:rPr>
        <w:t>八、</w:t>
      </w:r>
      <w:r>
        <w:rPr>
          <w:rStyle w:val="19"/>
          <w:rFonts w:hint="eastAsia" w:ascii="黑体" w:hAnsi="黑体" w:eastAsia="黑体"/>
          <w:b w:val="0"/>
        </w:rPr>
        <w:t>政府性基金预算支出决算情况说明</w:t>
      </w:r>
      <w:bookmarkEnd w:id="40"/>
      <w:bookmarkEnd w:id="41"/>
    </w:p>
    <w:p>
      <w:pPr>
        <w:spacing w:line="600" w:lineRule="exact"/>
        <w:ind w:firstLine="64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22年政府性基金预算财政拨款支出0万元。</w:t>
      </w:r>
    </w:p>
    <w:p>
      <w:pPr>
        <w:numPr>
          <w:ilvl w:val="0"/>
          <w:numId w:val="3"/>
        </w:numPr>
        <w:spacing w:line="600" w:lineRule="exact"/>
        <w:ind w:firstLine="640"/>
        <w:outlineLvl w:val="1"/>
        <w:rPr>
          <w:rStyle w:val="19"/>
          <w:rFonts w:ascii="黑体" w:hAnsi="黑体" w:eastAsia="黑体"/>
          <w:b w:val="0"/>
        </w:rPr>
      </w:pPr>
      <w:bookmarkStart w:id="42" w:name="_Toc15377219"/>
      <w:bookmarkStart w:id="43" w:name="_Toc15396611"/>
      <w:r>
        <w:rPr>
          <w:rStyle w:val="19"/>
          <w:rFonts w:hint="eastAsia" w:ascii="黑体" w:hAnsi="黑体" w:eastAsia="黑体"/>
          <w:b w:val="0"/>
        </w:rPr>
        <w:t>国有资本经营预算支出决算情况说明</w:t>
      </w:r>
      <w:bookmarkEnd w:id="42"/>
      <w:bookmarkEnd w:id="43"/>
    </w:p>
    <w:p>
      <w:pPr>
        <w:spacing w:line="600" w:lineRule="exact"/>
        <w:ind w:firstLine="64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22年国有资本经营预算财政拨款支出0万元。</w:t>
      </w:r>
    </w:p>
    <w:p>
      <w:pPr>
        <w:numPr>
          <w:ilvl w:val="0"/>
          <w:numId w:val="3"/>
        </w:numPr>
        <w:spacing w:line="600" w:lineRule="exact"/>
        <w:ind w:firstLine="640"/>
        <w:outlineLvl w:val="1"/>
        <w:rPr>
          <w:rStyle w:val="19"/>
          <w:rFonts w:ascii="黑体" w:hAnsi="黑体" w:eastAsia="黑体"/>
          <w:b w:val="0"/>
        </w:rPr>
      </w:pPr>
      <w:bookmarkStart w:id="44" w:name="_Toc15377221"/>
      <w:bookmarkStart w:id="45" w:name="_Toc15396612"/>
      <w:r>
        <w:rPr>
          <w:rStyle w:val="19"/>
          <w:rFonts w:hint="eastAsia" w:ascii="黑体" w:hAnsi="黑体" w:eastAsia="黑体"/>
          <w:b w:val="0"/>
        </w:rPr>
        <w:t>其他重要事项的情况说明</w:t>
      </w:r>
      <w:bookmarkEnd w:id="44"/>
      <w:bookmarkEnd w:id="45"/>
    </w:p>
    <w:p>
      <w:pPr>
        <w:pStyle w:val="28"/>
        <w:numPr>
          <w:ilvl w:val="0"/>
          <w:numId w:val="4"/>
        </w:numPr>
        <w:spacing w:line="600" w:lineRule="exact"/>
        <w:ind w:firstLineChars="0"/>
        <w:outlineLvl w:val="2"/>
        <w:rPr>
          <w:rFonts w:ascii="仿宋" w:hAnsi="仿宋" w:eastAsia="仿宋"/>
          <w:b/>
          <w:sz w:val="32"/>
          <w:szCs w:val="32"/>
        </w:rPr>
      </w:pPr>
      <w:bookmarkStart w:id="46" w:name="_Toc15377222"/>
      <w:r>
        <w:rPr>
          <w:rFonts w:hint="eastAsia" w:ascii="仿宋" w:hAnsi="仿宋" w:eastAsia="仿宋"/>
          <w:b/>
          <w:sz w:val="32"/>
          <w:szCs w:val="32"/>
        </w:rPr>
        <w:t>机关运行经费支出情况</w:t>
      </w:r>
      <w:bookmarkEnd w:id="46"/>
    </w:p>
    <w:p>
      <w:pPr>
        <w:spacing w:line="600" w:lineRule="exact"/>
        <w:ind w:left="643" w:leftChars="306" w:firstLine="320" w:firstLineChars="1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22年，资阳市雁江区宝莲社区卫生服务中心机关运行经费支出</w:t>
      </w:r>
      <w:r>
        <w:rPr>
          <w:rFonts w:ascii="仿宋_GB2312" w:eastAsia="仿宋_GB2312"/>
          <w:sz w:val="32"/>
          <w:szCs w:val="32"/>
        </w:rPr>
        <w:t>0</w:t>
      </w:r>
      <w:r>
        <w:rPr>
          <w:rFonts w:hint="eastAsia" w:ascii="仿宋_GB2312" w:eastAsia="仿宋_GB2312"/>
          <w:sz w:val="32"/>
          <w:szCs w:val="32"/>
        </w:rPr>
        <w:t>万元，无机关运行经费。</w:t>
      </w:r>
    </w:p>
    <w:p>
      <w:pPr>
        <w:autoSpaceDE w:val="0"/>
        <w:autoSpaceDN w:val="0"/>
        <w:adjustRightInd w:val="0"/>
        <w:spacing w:line="600" w:lineRule="exact"/>
        <w:ind w:firstLine="643" w:firstLineChars="200"/>
        <w:jc w:val="left"/>
        <w:outlineLvl w:val="2"/>
        <w:rPr>
          <w:rFonts w:ascii="仿宋" w:hAnsi="仿宋" w:eastAsia="仿宋"/>
          <w:b/>
          <w:sz w:val="32"/>
          <w:szCs w:val="32"/>
        </w:rPr>
      </w:pPr>
      <w:bookmarkStart w:id="47" w:name="_Toc15377223"/>
      <w:r>
        <w:rPr>
          <w:rFonts w:hint="eastAsia" w:ascii="仿宋" w:hAnsi="仿宋" w:eastAsia="仿宋"/>
          <w:b/>
          <w:sz w:val="32"/>
          <w:szCs w:val="32"/>
        </w:rPr>
        <w:t>（二）政府采购支出情况</w:t>
      </w:r>
      <w:bookmarkEnd w:id="47"/>
    </w:p>
    <w:p>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22年，资阳市雁江区宝莲社区卫生服务中心政府采购支出总额0万元，其中：政府采购货物支出0万元、政府采购工程支出</w:t>
      </w:r>
      <w:r>
        <w:rPr>
          <w:rFonts w:ascii="仿宋_GB2312" w:eastAsia="仿宋_GB2312"/>
          <w:sz w:val="32"/>
          <w:szCs w:val="32"/>
        </w:rPr>
        <w:t>0</w:t>
      </w:r>
      <w:r>
        <w:rPr>
          <w:rFonts w:hint="eastAsia" w:ascii="仿宋_GB2312" w:eastAsia="仿宋_GB2312"/>
          <w:sz w:val="32"/>
          <w:szCs w:val="32"/>
        </w:rPr>
        <w:t>万元、政府采购服务支出</w:t>
      </w:r>
      <w:r>
        <w:rPr>
          <w:rFonts w:ascii="仿宋_GB2312" w:eastAsia="仿宋_GB2312"/>
          <w:sz w:val="32"/>
          <w:szCs w:val="32"/>
        </w:rPr>
        <w:t>0</w:t>
      </w:r>
      <w:r>
        <w:rPr>
          <w:rFonts w:hint="eastAsia" w:ascii="仿宋_GB2312" w:eastAsia="仿宋_GB2312"/>
          <w:sz w:val="32"/>
          <w:szCs w:val="32"/>
        </w:rPr>
        <w:t>万元。授予中小企业合同金额0万元，占政府采购支出总额的100</w:t>
      </w:r>
      <w:r>
        <w:rPr>
          <w:rFonts w:ascii="仿宋_GB2312" w:eastAsia="仿宋_GB2312"/>
          <w:sz w:val="32"/>
          <w:szCs w:val="32"/>
        </w:rPr>
        <w:t>%</w:t>
      </w:r>
      <w:r>
        <w:rPr>
          <w:rFonts w:hint="eastAsia" w:ascii="仿宋_GB2312" w:eastAsia="仿宋_GB2312"/>
          <w:sz w:val="32"/>
          <w:szCs w:val="32"/>
        </w:rPr>
        <w:t>，其中：授予小微企业合同金额</w:t>
      </w:r>
      <w:r>
        <w:rPr>
          <w:rFonts w:ascii="仿宋_GB2312" w:eastAsia="仿宋_GB2312"/>
          <w:sz w:val="32"/>
          <w:szCs w:val="32"/>
        </w:rPr>
        <w:t>0</w:t>
      </w:r>
      <w:r>
        <w:rPr>
          <w:rFonts w:hint="eastAsia" w:ascii="仿宋_GB2312" w:eastAsia="仿宋_GB2312"/>
          <w:sz w:val="32"/>
          <w:szCs w:val="32"/>
        </w:rPr>
        <w:t>万元，占政府采购支出总额的</w:t>
      </w:r>
      <w:r>
        <w:rPr>
          <w:rFonts w:ascii="仿宋_GB2312" w:eastAsia="仿宋_GB2312"/>
          <w:sz w:val="32"/>
          <w:szCs w:val="32"/>
        </w:rPr>
        <w:t>0%</w:t>
      </w:r>
      <w:r>
        <w:rPr>
          <w:rFonts w:hint="eastAsia" w:ascii="仿宋_GB2312" w:eastAsia="仿宋_GB2312"/>
          <w:sz w:val="32"/>
          <w:szCs w:val="32"/>
        </w:rPr>
        <w:t>。</w:t>
      </w:r>
    </w:p>
    <w:p>
      <w:pPr>
        <w:autoSpaceDE w:val="0"/>
        <w:autoSpaceDN w:val="0"/>
        <w:adjustRightInd w:val="0"/>
        <w:spacing w:line="600" w:lineRule="exact"/>
        <w:ind w:left="567"/>
        <w:jc w:val="left"/>
        <w:outlineLvl w:val="2"/>
        <w:rPr>
          <w:rFonts w:ascii="仿宋" w:hAnsi="仿宋" w:eastAsia="仿宋"/>
          <w:b/>
          <w:sz w:val="32"/>
          <w:szCs w:val="32"/>
        </w:rPr>
      </w:pPr>
      <w:bookmarkStart w:id="48" w:name="_Toc15377224"/>
      <w:r>
        <w:rPr>
          <w:rFonts w:hint="eastAsia" w:ascii="仿宋" w:hAnsi="仿宋" w:eastAsia="仿宋"/>
          <w:b/>
          <w:sz w:val="32"/>
          <w:szCs w:val="32"/>
        </w:rPr>
        <w:t>（三）国有资产占有使用情况</w:t>
      </w:r>
      <w:bookmarkEnd w:id="48"/>
    </w:p>
    <w:p>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w:t>
      </w:r>
      <w:r>
        <w:rPr>
          <w:rFonts w:ascii="仿宋_GB2312" w:eastAsia="仿宋_GB2312"/>
          <w:sz w:val="32"/>
          <w:szCs w:val="32"/>
        </w:rPr>
        <w:t>20</w:t>
      </w:r>
      <w:r>
        <w:rPr>
          <w:rFonts w:hint="eastAsia" w:ascii="仿宋_GB2312" w:eastAsia="仿宋_GB2312"/>
          <w:sz w:val="32"/>
          <w:szCs w:val="32"/>
        </w:rPr>
        <w:t>22年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日，资阳市雁江区宝莲社区卫生服务中心共有车辆</w:t>
      </w:r>
      <w:r>
        <w:rPr>
          <w:rFonts w:ascii="仿宋_GB2312" w:eastAsia="仿宋_GB2312"/>
          <w:sz w:val="32"/>
          <w:szCs w:val="32"/>
        </w:rPr>
        <w:t>1</w:t>
      </w:r>
      <w:r>
        <w:rPr>
          <w:rFonts w:hint="eastAsia" w:ascii="仿宋_GB2312" w:eastAsia="仿宋_GB2312"/>
          <w:sz w:val="32"/>
          <w:szCs w:val="32"/>
        </w:rPr>
        <w:t>辆，其中：主要领导干部用车</w:t>
      </w:r>
      <w:r>
        <w:rPr>
          <w:rFonts w:ascii="仿宋_GB2312" w:eastAsia="仿宋_GB2312"/>
          <w:sz w:val="32"/>
          <w:szCs w:val="32"/>
        </w:rPr>
        <w:t>0</w:t>
      </w:r>
      <w:r>
        <w:rPr>
          <w:rFonts w:hint="eastAsia" w:ascii="仿宋_GB2312" w:eastAsia="仿宋_GB2312"/>
          <w:sz w:val="32"/>
          <w:szCs w:val="32"/>
        </w:rPr>
        <w:t>辆、机要通信用车</w:t>
      </w:r>
      <w:r>
        <w:rPr>
          <w:rFonts w:ascii="仿宋_GB2312" w:eastAsia="仿宋_GB2312"/>
          <w:sz w:val="32"/>
          <w:szCs w:val="32"/>
        </w:rPr>
        <w:t>0</w:t>
      </w:r>
      <w:r>
        <w:rPr>
          <w:rFonts w:hint="eastAsia" w:ascii="仿宋_GB2312" w:eastAsia="仿宋_GB2312"/>
          <w:sz w:val="32"/>
          <w:szCs w:val="32"/>
        </w:rPr>
        <w:t>辆、应急保障用车</w:t>
      </w:r>
      <w:r>
        <w:rPr>
          <w:rFonts w:ascii="仿宋_GB2312" w:eastAsia="仿宋_GB2312"/>
          <w:sz w:val="32"/>
          <w:szCs w:val="32"/>
        </w:rPr>
        <w:t>0</w:t>
      </w:r>
      <w:r>
        <w:rPr>
          <w:rFonts w:hint="eastAsia" w:ascii="仿宋_GB2312" w:eastAsia="仿宋_GB2312"/>
          <w:sz w:val="32"/>
          <w:szCs w:val="32"/>
        </w:rPr>
        <w:t>辆、其他用车</w:t>
      </w:r>
      <w:r>
        <w:rPr>
          <w:rFonts w:ascii="仿宋_GB2312" w:eastAsia="仿宋_GB2312"/>
          <w:sz w:val="32"/>
          <w:szCs w:val="32"/>
        </w:rPr>
        <w:t>1</w:t>
      </w:r>
      <w:r>
        <w:rPr>
          <w:rFonts w:hint="eastAsia" w:ascii="仿宋_GB2312" w:eastAsia="仿宋_GB2312"/>
          <w:sz w:val="32"/>
          <w:szCs w:val="32"/>
        </w:rPr>
        <w:t>辆，其他用车主要是用于卫生健康救护车。单价</w:t>
      </w:r>
      <w:r>
        <w:rPr>
          <w:rFonts w:ascii="仿宋_GB2312" w:eastAsia="仿宋_GB2312"/>
          <w:sz w:val="32"/>
          <w:szCs w:val="32"/>
        </w:rPr>
        <w:t>100</w:t>
      </w:r>
      <w:r>
        <w:rPr>
          <w:rFonts w:hint="eastAsia" w:ascii="仿宋_GB2312" w:eastAsia="仿宋_GB2312"/>
          <w:sz w:val="32"/>
          <w:szCs w:val="32"/>
        </w:rPr>
        <w:t>万元以上专用设备</w:t>
      </w:r>
      <w:r>
        <w:rPr>
          <w:rFonts w:ascii="仿宋_GB2312" w:eastAsia="仿宋_GB2312"/>
          <w:sz w:val="32"/>
          <w:szCs w:val="32"/>
        </w:rPr>
        <w:t>0</w:t>
      </w:r>
      <w:r>
        <w:rPr>
          <w:rFonts w:hint="eastAsia" w:ascii="仿宋_GB2312" w:eastAsia="仿宋_GB2312"/>
          <w:sz w:val="32"/>
          <w:szCs w:val="32"/>
        </w:rPr>
        <w:t>台（套）。</w:t>
      </w:r>
    </w:p>
    <w:p>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pPr>
        <w:spacing w:line="600" w:lineRule="exact"/>
        <w:ind w:firstLine="640" w:firstLineChars="200"/>
        <w:rPr>
          <w:rFonts w:ascii="仿宋_GB2312" w:eastAsia="仿宋_GB2312"/>
          <w:sz w:val="32"/>
          <w:szCs w:val="32"/>
        </w:rPr>
      </w:pPr>
      <w:r>
        <w:rPr>
          <w:rFonts w:ascii="仿宋_GB2312" w:eastAsia="仿宋_GB2312"/>
          <w:sz w:val="32"/>
          <w:szCs w:val="32"/>
        </w:rPr>
        <w:t>中心2022年一般公共预算项目数为0。根据预算绩效管理要求，本单位在年初预算编制阶段，组织对0个项目开展了预算事前绩效评估，对0个项目编制了绩效目标，预算执行过程中，选取0个项目开展绩效监控，年终执行完毕后，对0个项目开展了绩效目标完成情况梳理填报。</w:t>
      </w:r>
    </w:p>
    <w:p>
      <w:pPr>
        <w:spacing w:line="600" w:lineRule="exact"/>
        <w:ind w:firstLine="640" w:firstLineChars="200"/>
        <w:rPr>
          <w:rFonts w:ascii="仿宋_GB2312" w:eastAsia="仿宋_GB2312"/>
          <w:sz w:val="32"/>
          <w:szCs w:val="32"/>
        </w:rPr>
      </w:pPr>
      <w:r>
        <w:rPr>
          <w:rFonts w:ascii="仿宋_GB2312" w:eastAsia="仿宋_GB2312"/>
          <w:sz w:val="32"/>
          <w:szCs w:val="32"/>
        </w:rPr>
        <w:t>同时，本部门对2022年部门整体开展绩效自评，《2022年部门整体绩效评价报告》见附件（第四部分）。</w:t>
      </w:r>
    </w:p>
    <w:p>
      <w:pPr>
        <w:numPr>
          <w:ilvl w:val="0"/>
          <w:numId w:val="5"/>
        </w:numPr>
        <w:spacing w:line="600" w:lineRule="exact"/>
        <w:ind w:firstLine="660" w:firstLineChars="150"/>
        <w:jc w:val="center"/>
        <w:outlineLvl w:val="0"/>
        <w:rPr>
          <w:rFonts w:ascii="宋体"/>
          <w:b/>
          <w:sz w:val="44"/>
          <w:szCs w:val="44"/>
        </w:rPr>
      </w:pPr>
      <w:bookmarkStart w:id="49" w:name="_Toc15377225"/>
      <w:bookmarkStart w:id="50" w:name="_Toc15396613"/>
      <w:r>
        <w:rPr>
          <w:rFonts w:hint="eastAsia" w:ascii="黑体" w:hAnsi="黑体" w:eastAsia="黑体"/>
          <w:sz w:val="44"/>
          <w:szCs w:val="44"/>
        </w:rPr>
        <w:t>名</w:t>
      </w:r>
      <w:r>
        <w:rPr>
          <w:rStyle w:val="18"/>
          <w:rFonts w:hint="eastAsia" w:ascii="黑体" w:hAnsi="黑体" w:eastAsia="黑体"/>
          <w:b w:val="0"/>
        </w:rPr>
        <w:t>词解释</w:t>
      </w:r>
      <w:bookmarkEnd w:id="49"/>
      <w:bookmarkEnd w:id="50"/>
    </w:p>
    <w:p>
      <w:pPr>
        <w:pStyle w:val="27"/>
        <w:spacing w:line="560" w:lineRule="exact"/>
        <w:rPr>
          <w:rFonts w:ascii="仿宋_GB2312" w:eastAsia="仿宋_GB2312"/>
          <w:color w:val="auto"/>
          <w:sz w:val="32"/>
          <w:szCs w:val="32"/>
        </w:rPr>
      </w:pPr>
    </w:p>
    <w:p>
      <w:pPr>
        <w:pStyle w:val="27"/>
        <w:spacing w:line="560" w:lineRule="exact"/>
        <w:ind w:firstLine="643" w:firstLineChars="200"/>
        <w:rPr>
          <w:rFonts w:ascii="仿宋_GB2312" w:eastAsia="仿宋_GB2312"/>
          <w:color w:val="auto"/>
          <w:sz w:val="32"/>
          <w:szCs w:val="32"/>
        </w:rPr>
      </w:pPr>
      <w:r>
        <w:rPr>
          <w:rFonts w:ascii="仿宋_GB2312" w:hAnsi="Times New Roman" w:eastAsia="仿宋_GB2312" w:cs="Times New Roman"/>
          <w:b/>
          <w:color w:val="auto"/>
          <w:kern w:val="2"/>
          <w:sz w:val="32"/>
          <w:szCs w:val="32"/>
        </w:rPr>
        <w:t>1.</w:t>
      </w:r>
      <w:r>
        <w:rPr>
          <w:rFonts w:hint="eastAsia" w:ascii="仿宋_GB2312" w:hAnsi="Times New Roman" w:eastAsia="仿宋_GB2312" w:cs="Times New Roman"/>
          <w:b/>
          <w:color w:val="auto"/>
          <w:kern w:val="2"/>
          <w:sz w:val="32"/>
          <w:szCs w:val="32"/>
        </w:rPr>
        <w:t>财政拨款收入：</w:t>
      </w:r>
      <w:r>
        <w:rPr>
          <w:rFonts w:hint="eastAsia" w:ascii="仿宋_GB2312" w:eastAsia="仿宋_GB2312"/>
          <w:color w:val="auto"/>
          <w:sz w:val="32"/>
          <w:szCs w:val="32"/>
        </w:rPr>
        <w:t>指单位从同级财政部门取得的财政预算资金。</w:t>
      </w:r>
    </w:p>
    <w:p>
      <w:pPr>
        <w:spacing w:line="600" w:lineRule="exact"/>
        <w:ind w:firstLine="643" w:firstLineChars="200"/>
        <w:outlineLvl w:val="0"/>
        <w:rPr>
          <w:rFonts w:ascii="仿宋_GB2312" w:eastAsia="仿宋_GB2312" w:cs="仿宋"/>
          <w:kern w:val="0"/>
          <w:sz w:val="32"/>
          <w:szCs w:val="32"/>
        </w:rPr>
      </w:pPr>
      <w:r>
        <w:rPr>
          <w:rFonts w:hint="eastAsia" w:ascii="仿宋_GB2312" w:eastAsia="仿宋_GB2312"/>
          <w:b/>
          <w:sz w:val="32"/>
          <w:szCs w:val="32"/>
        </w:rPr>
        <w:t>2.事业收入：</w:t>
      </w:r>
      <w:r>
        <w:rPr>
          <w:rFonts w:hint="eastAsia" w:ascii="仿宋_GB2312" w:eastAsia="仿宋_GB2312"/>
          <w:sz w:val="32"/>
          <w:szCs w:val="32"/>
        </w:rPr>
        <w:t>指事业单位开展专业业务活动及辅助活动取得的收入，</w:t>
      </w:r>
      <w:r>
        <w:rPr>
          <w:rFonts w:hint="eastAsia" w:ascii="仿宋_GB2312" w:eastAsia="仿宋_GB2312" w:cs="仿宋"/>
          <w:kern w:val="0"/>
          <w:sz w:val="32"/>
          <w:szCs w:val="32"/>
        </w:rPr>
        <w:t>主要是医疗收入。</w:t>
      </w:r>
    </w:p>
    <w:p>
      <w:pPr>
        <w:pStyle w:val="27"/>
        <w:spacing w:line="560" w:lineRule="exact"/>
        <w:ind w:firstLine="643" w:firstLineChars="200"/>
        <w:rPr>
          <w:rFonts w:ascii="仿宋_GB2312" w:eastAsia="仿宋_GB2312"/>
          <w:color w:val="auto"/>
          <w:sz w:val="32"/>
          <w:szCs w:val="32"/>
        </w:rPr>
      </w:pPr>
      <w:r>
        <w:rPr>
          <w:rFonts w:hint="eastAsia" w:ascii="仿宋_GB2312" w:hAnsi="Times New Roman" w:eastAsia="仿宋_GB2312" w:cs="Times New Roman"/>
          <w:b/>
          <w:color w:val="auto"/>
          <w:kern w:val="2"/>
          <w:sz w:val="32"/>
          <w:szCs w:val="32"/>
        </w:rPr>
        <w:t>3.经营收入：</w:t>
      </w:r>
      <w:r>
        <w:rPr>
          <w:rFonts w:hint="eastAsia" w:ascii="仿宋_GB2312" w:eastAsia="仿宋_GB2312"/>
          <w:color w:val="auto"/>
          <w:sz w:val="32"/>
          <w:szCs w:val="32"/>
        </w:rPr>
        <w:t>指事业单位在专业业务活动及其辅助活动之外开展非独立核算经营活动取得的收入。</w:t>
      </w:r>
    </w:p>
    <w:p>
      <w:pPr>
        <w:pStyle w:val="27"/>
        <w:spacing w:line="560" w:lineRule="exact"/>
        <w:ind w:firstLine="643" w:firstLineChars="200"/>
        <w:rPr>
          <w:rFonts w:ascii="仿宋_GB2312" w:eastAsia="仿宋_GB2312"/>
          <w:color w:val="auto"/>
          <w:sz w:val="32"/>
          <w:szCs w:val="32"/>
        </w:rPr>
      </w:pPr>
      <w:r>
        <w:rPr>
          <w:rFonts w:hint="eastAsia" w:ascii="仿宋_GB2312" w:hAnsi="Times New Roman" w:eastAsia="仿宋_GB2312" w:cs="Times New Roman"/>
          <w:b/>
          <w:color w:val="auto"/>
          <w:kern w:val="2"/>
          <w:sz w:val="32"/>
          <w:szCs w:val="32"/>
        </w:rPr>
        <w:t>4.其他收入：</w:t>
      </w:r>
      <w:r>
        <w:rPr>
          <w:rFonts w:hint="eastAsia" w:ascii="仿宋_GB2312" w:eastAsia="仿宋_GB2312"/>
          <w:color w:val="auto"/>
          <w:sz w:val="32"/>
          <w:szCs w:val="32"/>
        </w:rPr>
        <w:t>指单位取得的除上述收入以外的各项收入，</w:t>
      </w:r>
      <w:r>
        <w:rPr>
          <w:rFonts w:hint="eastAsia" w:ascii="仿宋_GB2312" w:eastAsia="仿宋_GB2312"/>
          <w:sz w:val="32"/>
          <w:szCs w:val="32"/>
        </w:rPr>
        <w:t>主要是基本公共卫生经费、基本药物补助等。</w:t>
      </w:r>
    </w:p>
    <w:p>
      <w:pPr>
        <w:spacing w:line="600" w:lineRule="exact"/>
        <w:ind w:firstLine="643" w:firstLineChars="200"/>
        <w:outlineLvl w:val="0"/>
        <w:rPr>
          <w:rFonts w:ascii="仿宋_GB2312" w:eastAsia="仿宋_GB2312" w:cs="仿宋"/>
          <w:kern w:val="0"/>
          <w:sz w:val="32"/>
          <w:szCs w:val="32"/>
        </w:rPr>
      </w:pPr>
      <w:bookmarkStart w:id="51" w:name="_Toc15377226"/>
      <w:r>
        <w:rPr>
          <w:rFonts w:hint="eastAsia" w:ascii="仿宋_GB2312" w:eastAsia="仿宋_GB2312"/>
          <w:b/>
          <w:sz w:val="32"/>
          <w:szCs w:val="32"/>
        </w:rPr>
        <w:t>5.用事业基金弥补收支差额：</w:t>
      </w:r>
      <w:r>
        <w:rPr>
          <w:rFonts w:hint="eastAsia" w:ascii="仿宋_GB2312" w:eastAsia="仿宋_GB2312" w:cs="仿宋"/>
          <w:kern w:val="0"/>
          <w:sz w:val="32"/>
          <w:szCs w:val="32"/>
        </w:rPr>
        <w:t>指事业单位在当年的财政拨款收入、事业收入、经营收入、其他收入不足以安排当年支出的</w:t>
      </w:r>
      <w:r>
        <w:rPr>
          <w:rFonts w:hint="eastAsia" w:ascii="仿宋_GB2312" w:eastAsia="仿宋_GB2312"/>
          <w:sz w:val="32"/>
          <w:szCs w:val="32"/>
        </w:rPr>
        <w:t>情况下，使用以前年度积累的事业基金（事业单位当年收支相抵后按国家规定提取、用于弥补以后年度收支</w:t>
      </w:r>
      <w:r>
        <w:rPr>
          <w:rFonts w:hint="eastAsia" w:ascii="仿宋_GB2312" w:eastAsia="仿宋_GB2312" w:cs="仿宋"/>
          <w:kern w:val="0"/>
          <w:sz w:val="32"/>
          <w:szCs w:val="32"/>
        </w:rPr>
        <w:t xml:space="preserve">差额的基金）弥补本年度收支缺口的资金。 </w:t>
      </w:r>
    </w:p>
    <w:p>
      <w:pPr>
        <w:spacing w:line="600" w:lineRule="exact"/>
        <w:ind w:firstLine="643" w:firstLineChars="200"/>
        <w:outlineLvl w:val="0"/>
        <w:rPr>
          <w:rFonts w:ascii="仿宋_GB2312" w:eastAsia="仿宋_GB2312" w:cs="仿宋"/>
          <w:kern w:val="0"/>
          <w:sz w:val="32"/>
          <w:szCs w:val="32"/>
        </w:rPr>
      </w:pPr>
      <w:r>
        <w:rPr>
          <w:rFonts w:hint="eastAsia" w:ascii="仿宋_GB2312" w:eastAsia="仿宋_GB2312"/>
          <w:b/>
          <w:sz w:val="32"/>
          <w:szCs w:val="32"/>
        </w:rPr>
        <w:t>6.年初结转和结余：</w:t>
      </w:r>
      <w:r>
        <w:rPr>
          <w:rFonts w:hint="eastAsia" w:ascii="仿宋_GB2312" w:eastAsia="仿宋_GB2312" w:cs="仿宋"/>
          <w:kern w:val="0"/>
          <w:sz w:val="32"/>
          <w:szCs w:val="32"/>
        </w:rPr>
        <w:t xml:space="preserve">指以前年度尚未完成、结转到本年按有关规定继续使用的资金。 </w:t>
      </w:r>
    </w:p>
    <w:p>
      <w:pPr>
        <w:spacing w:line="600" w:lineRule="exact"/>
        <w:ind w:firstLine="643" w:firstLineChars="200"/>
        <w:outlineLvl w:val="0"/>
        <w:rPr>
          <w:rFonts w:ascii="仿宋_GB2312" w:eastAsia="仿宋_GB2312" w:cs="仿宋"/>
          <w:kern w:val="0"/>
          <w:sz w:val="32"/>
          <w:szCs w:val="32"/>
        </w:rPr>
      </w:pPr>
      <w:r>
        <w:rPr>
          <w:rFonts w:hint="eastAsia" w:ascii="仿宋_GB2312" w:eastAsia="仿宋_GB2312"/>
          <w:b/>
          <w:sz w:val="32"/>
          <w:szCs w:val="32"/>
        </w:rPr>
        <w:t>7.结余分配：</w:t>
      </w:r>
      <w:r>
        <w:rPr>
          <w:rFonts w:hint="eastAsia" w:ascii="仿宋_GB2312" w:eastAsia="仿宋_GB2312" w:cs="仿宋"/>
          <w:kern w:val="0"/>
          <w:sz w:val="32"/>
          <w:szCs w:val="32"/>
        </w:rPr>
        <w:t>指事业单位按照事业单位会计制度的规定从非财政补助结余中分配的事业基金和职工福利基金等。</w:t>
      </w:r>
    </w:p>
    <w:p>
      <w:pPr>
        <w:spacing w:line="600" w:lineRule="exact"/>
        <w:ind w:firstLine="643" w:firstLineChars="200"/>
        <w:outlineLvl w:val="0"/>
        <w:rPr>
          <w:rFonts w:ascii="仿宋_GB2312" w:eastAsia="仿宋_GB2312" w:cs="仿宋"/>
          <w:kern w:val="0"/>
          <w:sz w:val="32"/>
          <w:szCs w:val="32"/>
        </w:rPr>
      </w:pPr>
      <w:r>
        <w:rPr>
          <w:rFonts w:hint="eastAsia" w:ascii="仿宋_GB2312" w:eastAsia="仿宋_GB2312"/>
          <w:b/>
          <w:sz w:val="32"/>
          <w:szCs w:val="32"/>
        </w:rPr>
        <w:t>8、年末结转和结余：</w:t>
      </w:r>
      <w:r>
        <w:rPr>
          <w:rFonts w:hint="eastAsia" w:ascii="仿宋_GB2312" w:eastAsia="仿宋_GB2312" w:cs="仿宋"/>
          <w:kern w:val="0"/>
          <w:sz w:val="32"/>
          <w:szCs w:val="32"/>
        </w:rPr>
        <w:t>指单位按有关规定结转到下年或以后年度继续使用的资金。</w:t>
      </w:r>
    </w:p>
    <w:p>
      <w:pPr>
        <w:spacing w:line="600" w:lineRule="exact"/>
        <w:ind w:firstLine="643" w:firstLineChars="200"/>
        <w:outlineLvl w:val="0"/>
        <w:rPr>
          <w:rFonts w:ascii="仿宋_GB2312" w:eastAsia="仿宋_GB2312" w:cs="仿宋"/>
          <w:kern w:val="0"/>
          <w:sz w:val="32"/>
          <w:szCs w:val="32"/>
        </w:rPr>
      </w:pPr>
      <w:r>
        <w:rPr>
          <w:rFonts w:hint="eastAsia" w:ascii="仿宋_GB2312" w:eastAsia="仿宋_GB2312"/>
          <w:b/>
          <w:sz w:val="32"/>
          <w:szCs w:val="32"/>
        </w:rPr>
        <w:t>9. 社会保障和就业支出（类）行政事业单位离退休（款）事业单位离退休（项），是指：</w:t>
      </w:r>
      <w:r>
        <w:rPr>
          <w:rFonts w:hint="eastAsia" w:ascii="仿宋_GB2312" w:eastAsia="仿宋_GB2312" w:cs="仿宋"/>
          <w:kern w:val="0"/>
          <w:sz w:val="32"/>
          <w:szCs w:val="32"/>
        </w:rPr>
        <w:t>单位退休职工的生活补助。</w:t>
      </w:r>
    </w:p>
    <w:p>
      <w:pPr>
        <w:spacing w:line="600" w:lineRule="exact"/>
        <w:ind w:firstLine="643" w:firstLineChars="200"/>
        <w:outlineLvl w:val="0"/>
        <w:rPr>
          <w:rFonts w:ascii="仿宋_GB2312" w:eastAsia="仿宋_GB2312" w:cs="仿宋"/>
          <w:kern w:val="0"/>
          <w:sz w:val="32"/>
          <w:szCs w:val="32"/>
        </w:rPr>
      </w:pPr>
      <w:r>
        <w:rPr>
          <w:rFonts w:hint="eastAsia" w:ascii="仿宋_GB2312" w:eastAsia="仿宋_GB2312"/>
          <w:b/>
          <w:sz w:val="32"/>
          <w:szCs w:val="32"/>
        </w:rPr>
        <w:t>10.社会保障和就业支出（类）行政事业单位离退休（款）机关事业单位基本养老保险缴费支出（项），</w:t>
      </w:r>
      <w:bookmarkStart w:id="52" w:name="_Hlk112853578"/>
      <w:r>
        <w:rPr>
          <w:rFonts w:hint="eastAsia" w:ascii="仿宋_GB2312" w:eastAsia="仿宋_GB2312"/>
          <w:b/>
          <w:sz w:val="32"/>
          <w:szCs w:val="32"/>
        </w:rPr>
        <w:t>是指</w:t>
      </w:r>
      <w:bookmarkEnd w:id="52"/>
      <w:r>
        <w:rPr>
          <w:rFonts w:hint="eastAsia" w:ascii="仿宋_GB2312" w:eastAsia="仿宋_GB2312"/>
          <w:b/>
          <w:sz w:val="32"/>
          <w:szCs w:val="32"/>
        </w:rPr>
        <w:t>：</w:t>
      </w:r>
      <w:r>
        <w:rPr>
          <w:rFonts w:hint="eastAsia" w:ascii="仿宋_GB2312" w:eastAsia="仿宋_GB2312" w:cs="仿宋"/>
          <w:kern w:val="0"/>
          <w:sz w:val="32"/>
          <w:szCs w:val="32"/>
        </w:rPr>
        <w:t>单位应缴纳的职工养老保险单位部分。</w:t>
      </w:r>
    </w:p>
    <w:p>
      <w:pPr>
        <w:spacing w:line="600" w:lineRule="exact"/>
        <w:ind w:firstLine="643" w:firstLineChars="200"/>
        <w:outlineLvl w:val="0"/>
        <w:rPr>
          <w:rFonts w:ascii="仿宋_GB2312" w:eastAsia="仿宋_GB2312" w:cs="仿宋"/>
          <w:kern w:val="0"/>
          <w:sz w:val="32"/>
          <w:szCs w:val="32"/>
        </w:rPr>
      </w:pPr>
      <w:r>
        <w:rPr>
          <w:rFonts w:hint="eastAsia" w:ascii="仿宋_GB2312" w:eastAsia="仿宋_GB2312"/>
          <w:b/>
          <w:sz w:val="32"/>
          <w:szCs w:val="32"/>
        </w:rPr>
        <w:t>11.医疗卫生健康（类）基层医疗卫生机构（款）城市社区卫生机构（项），是指：</w:t>
      </w:r>
      <w:r>
        <w:rPr>
          <w:rFonts w:hint="eastAsia" w:ascii="仿宋_GB2312" w:eastAsia="仿宋_GB2312" w:cs="仿宋"/>
          <w:kern w:val="0"/>
          <w:sz w:val="32"/>
          <w:szCs w:val="32"/>
        </w:rPr>
        <w:t>在职人员支出（工资和津贴补贴）、开展日常工作的基本支出、独生子女父母奖励支出。</w:t>
      </w:r>
    </w:p>
    <w:p>
      <w:pPr>
        <w:spacing w:line="600" w:lineRule="exact"/>
        <w:ind w:firstLine="643" w:firstLineChars="200"/>
        <w:outlineLvl w:val="0"/>
        <w:rPr>
          <w:rFonts w:ascii="仿宋_GB2312" w:eastAsia="仿宋_GB2312" w:cs="仿宋"/>
          <w:kern w:val="0"/>
          <w:sz w:val="32"/>
          <w:szCs w:val="32"/>
        </w:rPr>
      </w:pPr>
      <w:r>
        <w:rPr>
          <w:rFonts w:hint="eastAsia" w:ascii="仿宋_GB2312" w:eastAsia="仿宋_GB2312"/>
          <w:b/>
          <w:sz w:val="32"/>
          <w:szCs w:val="32"/>
        </w:rPr>
        <w:t>12.医疗卫生健康（类）行政事业单位医疗（款） 事业单位医疗（项），是指：</w:t>
      </w:r>
      <w:r>
        <w:rPr>
          <w:rFonts w:hint="eastAsia" w:ascii="仿宋_GB2312" w:eastAsia="仿宋_GB2312" w:cs="仿宋"/>
          <w:kern w:val="0"/>
          <w:sz w:val="32"/>
          <w:szCs w:val="32"/>
        </w:rPr>
        <w:t>单位应缴纳的职工医疗保险单位部分。</w:t>
      </w:r>
    </w:p>
    <w:p>
      <w:pPr>
        <w:spacing w:line="600" w:lineRule="exact"/>
        <w:ind w:firstLine="643" w:firstLineChars="200"/>
        <w:outlineLvl w:val="0"/>
        <w:rPr>
          <w:rFonts w:ascii="仿宋_GB2312" w:eastAsia="仿宋_GB2312" w:cs="仿宋"/>
          <w:kern w:val="0"/>
          <w:sz w:val="32"/>
          <w:szCs w:val="32"/>
        </w:rPr>
      </w:pPr>
      <w:r>
        <w:rPr>
          <w:rFonts w:hint="eastAsia" w:ascii="仿宋_GB2312" w:eastAsia="仿宋_GB2312"/>
          <w:b/>
          <w:sz w:val="32"/>
          <w:szCs w:val="32"/>
        </w:rPr>
        <w:t>13.医疗卫生健康（类）行政事业单位医疗（款）公务员医疗补助（项），是指：</w:t>
      </w:r>
      <w:r>
        <w:rPr>
          <w:rFonts w:hint="eastAsia" w:ascii="仿宋_GB2312" w:eastAsia="仿宋_GB2312" w:cs="仿宋"/>
          <w:kern w:val="0"/>
          <w:sz w:val="32"/>
          <w:szCs w:val="32"/>
        </w:rPr>
        <w:t>单位在职人员和退休人员的医疗补助支出。</w:t>
      </w:r>
    </w:p>
    <w:p>
      <w:pPr>
        <w:spacing w:line="600" w:lineRule="exact"/>
        <w:ind w:firstLine="643" w:firstLineChars="200"/>
        <w:outlineLvl w:val="0"/>
        <w:rPr>
          <w:rFonts w:ascii="仿宋_GB2312" w:eastAsia="仿宋_GB2312" w:cs="仿宋"/>
          <w:kern w:val="0"/>
          <w:sz w:val="32"/>
          <w:szCs w:val="32"/>
        </w:rPr>
      </w:pPr>
      <w:r>
        <w:rPr>
          <w:rFonts w:hint="eastAsia" w:ascii="仿宋_GB2312" w:eastAsia="仿宋_GB2312"/>
          <w:b/>
          <w:sz w:val="32"/>
          <w:szCs w:val="32"/>
        </w:rPr>
        <w:t>14.社会保障和就业支出（类）行政事业单位离退休（款）机关事业单位职业年金缴费支出（项），是指：</w:t>
      </w:r>
      <w:r>
        <w:rPr>
          <w:rFonts w:hint="eastAsia" w:ascii="仿宋_GB2312" w:eastAsia="仿宋_GB2312" w:cs="仿宋"/>
          <w:kern w:val="0"/>
          <w:sz w:val="32"/>
          <w:szCs w:val="32"/>
        </w:rPr>
        <w:t>单位在职职工单位部分职业年金支出。</w:t>
      </w:r>
    </w:p>
    <w:p>
      <w:pPr>
        <w:spacing w:line="600" w:lineRule="exact"/>
        <w:ind w:firstLine="643" w:firstLineChars="200"/>
        <w:outlineLvl w:val="0"/>
        <w:rPr>
          <w:rFonts w:ascii="仿宋_GB2312" w:eastAsia="仿宋_GB2312" w:cs="仿宋"/>
          <w:kern w:val="0"/>
          <w:sz w:val="32"/>
          <w:szCs w:val="32"/>
        </w:rPr>
      </w:pPr>
      <w:r>
        <w:rPr>
          <w:rFonts w:hint="eastAsia" w:ascii="仿宋_GB2312" w:eastAsia="仿宋_GB2312"/>
          <w:b/>
          <w:sz w:val="32"/>
          <w:szCs w:val="32"/>
        </w:rPr>
        <w:t>15.社会保障和就业支出（类）其他社会保障和就业支出（款）其他社会保障和就业支出（项），是指：</w:t>
      </w:r>
      <w:r>
        <w:rPr>
          <w:rFonts w:hint="eastAsia" w:ascii="仿宋_GB2312" w:eastAsia="仿宋_GB2312" w:cs="仿宋"/>
          <w:kern w:val="0"/>
          <w:sz w:val="32"/>
          <w:szCs w:val="32"/>
        </w:rPr>
        <w:t>单位在职职工的单位部分失业工伤保险支出。</w:t>
      </w:r>
    </w:p>
    <w:p>
      <w:pPr>
        <w:spacing w:line="600" w:lineRule="exact"/>
        <w:ind w:firstLine="643" w:firstLineChars="200"/>
        <w:outlineLvl w:val="0"/>
        <w:rPr>
          <w:rFonts w:ascii="仿宋_GB2312" w:eastAsia="仿宋_GB2312" w:cs="仿宋"/>
          <w:kern w:val="0"/>
          <w:sz w:val="32"/>
          <w:szCs w:val="32"/>
        </w:rPr>
      </w:pPr>
      <w:r>
        <w:rPr>
          <w:rFonts w:hint="eastAsia" w:ascii="仿宋_GB2312" w:eastAsia="仿宋_GB2312"/>
          <w:b/>
          <w:sz w:val="32"/>
          <w:szCs w:val="32"/>
        </w:rPr>
        <w:t>16.住房保障支出（类）住房改革支出（款）住房公积金（项），是指：</w:t>
      </w:r>
      <w:r>
        <w:rPr>
          <w:rFonts w:hint="eastAsia" w:ascii="仿宋_GB2312" w:eastAsia="仿宋_GB2312" w:cs="仿宋"/>
          <w:kern w:val="0"/>
          <w:sz w:val="32"/>
          <w:szCs w:val="32"/>
        </w:rPr>
        <w:t>单位按人力资源和社会保障部、财政部规定的基本工资和津贴补贴以及规定比例为职工缴纳的住房公积金支出。</w:t>
      </w:r>
    </w:p>
    <w:p>
      <w:pPr>
        <w:spacing w:line="600" w:lineRule="exact"/>
        <w:ind w:firstLine="643" w:firstLineChars="200"/>
        <w:outlineLvl w:val="0"/>
        <w:rPr>
          <w:rFonts w:ascii="仿宋_GB2312" w:eastAsia="仿宋_GB2312" w:cs="仿宋"/>
          <w:kern w:val="0"/>
          <w:sz w:val="32"/>
          <w:szCs w:val="32"/>
        </w:rPr>
      </w:pPr>
      <w:r>
        <w:rPr>
          <w:rFonts w:hint="eastAsia" w:ascii="仿宋_GB2312" w:eastAsia="仿宋_GB2312"/>
          <w:b/>
          <w:sz w:val="32"/>
          <w:szCs w:val="32"/>
        </w:rPr>
        <w:t>17.基本支出：</w:t>
      </w:r>
      <w:r>
        <w:rPr>
          <w:rFonts w:hint="eastAsia" w:ascii="仿宋_GB2312" w:eastAsia="仿宋_GB2312" w:cs="仿宋"/>
          <w:kern w:val="0"/>
          <w:sz w:val="32"/>
          <w:szCs w:val="32"/>
        </w:rPr>
        <w:t>指为保障机构正常运转、完成日常工作任务而发生的人员支出和公用支出。</w:t>
      </w:r>
    </w:p>
    <w:p>
      <w:pPr>
        <w:spacing w:line="600" w:lineRule="exact"/>
        <w:ind w:firstLine="643" w:firstLineChars="200"/>
        <w:outlineLvl w:val="0"/>
        <w:rPr>
          <w:rFonts w:ascii="仿宋_GB2312" w:eastAsia="仿宋_GB2312" w:cs="仿宋"/>
          <w:kern w:val="0"/>
          <w:sz w:val="32"/>
          <w:szCs w:val="32"/>
        </w:rPr>
      </w:pPr>
      <w:r>
        <w:rPr>
          <w:rFonts w:hint="eastAsia" w:ascii="仿宋_GB2312" w:eastAsia="仿宋_GB2312"/>
          <w:b/>
          <w:sz w:val="32"/>
          <w:szCs w:val="32"/>
        </w:rPr>
        <w:t>18.项目支出：</w:t>
      </w:r>
      <w:r>
        <w:rPr>
          <w:rFonts w:hint="eastAsia" w:ascii="仿宋_GB2312" w:eastAsia="仿宋_GB2312" w:cs="仿宋"/>
          <w:kern w:val="0"/>
          <w:sz w:val="32"/>
          <w:szCs w:val="32"/>
        </w:rPr>
        <w:t xml:space="preserve">指在基本支出之外为完成特定行政任务和事业发展目标所发生的支出。 </w:t>
      </w:r>
    </w:p>
    <w:p>
      <w:pPr>
        <w:spacing w:line="600" w:lineRule="exact"/>
        <w:ind w:firstLine="643" w:firstLineChars="200"/>
        <w:outlineLvl w:val="0"/>
        <w:rPr>
          <w:rFonts w:ascii="仿宋_GB2312" w:eastAsia="仿宋_GB2312" w:cs="仿宋"/>
          <w:kern w:val="0"/>
          <w:sz w:val="32"/>
          <w:szCs w:val="32"/>
        </w:rPr>
      </w:pPr>
      <w:r>
        <w:rPr>
          <w:rFonts w:hint="eastAsia" w:ascii="仿宋_GB2312" w:eastAsia="仿宋_GB2312"/>
          <w:b/>
          <w:sz w:val="32"/>
          <w:szCs w:val="32"/>
        </w:rPr>
        <w:t>19.经营支出：</w:t>
      </w:r>
      <w:r>
        <w:rPr>
          <w:rFonts w:hint="eastAsia" w:ascii="仿宋_GB2312" w:eastAsia="仿宋_GB2312" w:cs="仿宋"/>
          <w:kern w:val="0"/>
          <w:sz w:val="32"/>
          <w:szCs w:val="32"/>
        </w:rPr>
        <w:t>指事业单位在专业业务活动及其辅助活动之外开展非独立核算经营活动发生的支出。</w:t>
      </w:r>
    </w:p>
    <w:p>
      <w:pPr>
        <w:spacing w:line="600" w:lineRule="exact"/>
        <w:ind w:firstLine="643" w:firstLineChars="200"/>
        <w:outlineLvl w:val="0"/>
        <w:rPr>
          <w:rFonts w:ascii="仿宋_GB2312" w:eastAsia="仿宋_GB2312" w:cs="仿宋"/>
          <w:kern w:val="0"/>
          <w:sz w:val="32"/>
          <w:szCs w:val="32"/>
        </w:rPr>
      </w:pPr>
      <w:r>
        <w:rPr>
          <w:rFonts w:hint="eastAsia" w:ascii="仿宋_GB2312" w:eastAsia="仿宋_GB2312"/>
          <w:b/>
          <w:sz w:val="32"/>
          <w:szCs w:val="32"/>
        </w:rPr>
        <w:t>20.“三公”经费：</w:t>
      </w:r>
      <w:r>
        <w:rPr>
          <w:rFonts w:hint="eastAsia" w:ascii="仿宋_GB2312" w:eastAsia="仿宋_GB2312" w:cs="仿宋"/>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spacing w:line="600" w:lineRule="exact"/>
        <w:ind w:firstLine="643" w:firstLineChars="200"/>
        <w:outlineLvl w:val="0"/>
        <w:rPr>
          <w:rFonts w:ascii="仿宋_GB2312" w:eastAsia="仿宋_GB2312" w:cs="仿宋"/>
          <w:kern w:val="0"/>
          <w:sz w:val="32"/>
          <w:szCs w:val="32"/>
        </w:rPr>
      </w:pPr>
      <w:r>
        <w:rPr>
          <w:rFonts w:hint="eastAsia" w:ascii="仿宋_GB2312" w:eastAsia="仿宋_GB2312"/>
          <w:b/>
          <w:sz w:val="32"/>
          <w:szCs w:val="32"/>
        </w:rPr>
        <w:t>21.机关运行经费：</w:t>
      </w:r>
      <w:r>
        <w:rPr>
          <w:rFonts w:hint="eastAsia" w:ascii="仿宋_GB2312" w:eastAsia="仿宋_GB2312" w:cs="仿宋"/>
          <w:kern w:val="0"/>
          <w:sz w:val="32"/>
          <w:szCs w:val="32"/>
        </w:rPr>
        <w:t>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rPr>
          <w:rFonts w:ascii="宋体"/>
          <w:b/>
          <w:sz w:val="44"/>
          <w:szCs w:val="44"/>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531" w:header="851" w:footer="992" w:gutter="0"/>
          <w:pgNumType w:fmt="decimal" w:start="1"/>
          <w:cols w:space="425" w:num="1"/>
          <w:titlePg/>
          <w:docGrid w:type="lines" w:linePitch="312" w:charSpace="0"/>
        </w:sectPr>
      </w:pPr>
    </w:p>
    <w:p>
      <w:pPr>
        <w:spacing w:line="600" w:lineRule="exact"/>
        <w:jc w:val="center"/>
        <w:outlineLvl w:val="0"/>
        <w:rPr>
          <w:rStyle w:val="18"/>
          <w:rFonts w:ascii="黑体" w:hAnsi="黑体" w:eastAsia="黑体"/>
          <w:b w:val="0"/>
        </w:rPr>
      </w:pPr>
      <w:bookmarkStart w:id="53" w:name="_Toc15396614"/>
      <w:r>
        <w:rPr>
          <w:rFonts w:hint="eastAsia" w:ascii="黑体" w:hAnsi="黑体" w:eastAsia="黑体"/>
          <w:sz w:val="44"/>
          <w:szCs w:val="44"/>
        </w:rPr>
        <w:t>第</w:t>
      </w:r>
      <w:r>
        <w:rPr>
          <w:rStyle w:val="18"/>
          <w:rFonts w:hint="eastAsia" w:ascii="黑体" w:hAnsi="黑体" w:eastAsia="黑体"/>
          <w:b w:val="0"/>
        </w:rPr>
        <w:t>四部分 附件</w:t>
      </w:r>
      <w:bookmarkEnd w:id="53"/>
      <w:bookmarkStart w:id="54" w:name="_Toc15396618"/>
    </w:p>
    <w:tbl>
      <w:tblPr>
        <w:tblStyle w:val="12"/>
        <w:tblW w:w="14820" w:type="dxa"/>
        <w:tblInd w:w="93" w:type="dxa"/>
        <w:tblLayout w:type="fixed"/>
        <w:tblCellMar>
          <w:top w:w="0" w:type="dxa"/>
          <w:left w:w="108" w:type="dxa"/>
          <w:bottom w:w="0" w:type="dxa"/>
          <w:right w:w="108" w:type="dxa"/>
        </w:tblCellMar>
      </w:tblPr>
      <w:tblGrid>
        <w:gridCol w:w="1344"/>
        <w:gridCol w:w="2030"/>
        <w:gridCol w:w="1756"/>
        <w:gridCol w:w="2229"/>
        <w:gridCol w:w="654"/>
        <w:gridCol w:w="1213"/>
        <w:gridCol w:w="826"/>
        <w:gridCol w:w="1161"/>
        <w:gridCol w:w="613"/>
        <w:gridCol w:w="662"/>
        <w:gridCol w:w="2332"/>
      </w:tblGrid>
      <w:tr>
        <w:tblPrEx>
          <w:tblCellMar>
            <w:top w:w="0" w:type="dxa"/>
            <w:left w:w="108" w:type="dxa"/>
            <w:bottom w:w="0" w:type="dxa"/>
            <w:right w:w="108" w:type="dxa"/>
          </w:tblCellMar>
        </w:tblPrEx>
        <w:trPr>
          <w:trHeight w:val="904" w:hRule="atLeast"/>
        </w:trPr>
        <w:tc>
          <w:tcPr>
            <w:tcW w:w="1482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部门预算项目支出绩效自评表（2022年度）</w:t>
            </w:r>
          </w:p>
        </w:tc>
      </w:tr>
      <w:tr>
        <w:tblPrEx>
          <w:tblCellMar>
            <w:top w:w="0" w:type="dxa"/>
            <w:left w:w="108" w:type="dxa"/>
            <w:bottom w:w="0" w:type="dxa"/>
            <w:right w:w="108" w:type="dxa"/>
          </w:tblCellMar>
        </w:tblPrEx>
        <w:trPr>
          <w:trHeight w:val="285"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51200221R000000026299-事业基本工资</w:t>
            </w:r>
          </w:p>
        </w:tc>
      </w:tr>
      <w:tr>
        <w:tblPrEx>
          <w:tblCellMar>
            <w:top w:w="0" w:type="dxa"/>
            <w:left w:w="108" w:type="dxa"/>
            <w:bottom w:w="0" w:type="dxa"/>
            <w:right w:w="108" w:type="dxa"/>
          </w:tblCellMar>
        </w:tblPrEx>
        <w:trPr>
          <w:trHeight w:val="514"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资阳市雁江区宝莲社区卫生服务中心本级</w:t>
            </w:r>
          </w:p>
        </w:tc>
        <w:tc>
          <w:tcPr>
            <w:tcW w:w="1161" w:type="dxa"/>
            <w:tcBorders>
              <w:top w:val="nil"/>
              <w:left w:val="nil"/>
              <w:bottom w:val="nil"/>
              <w:right w:val="nil"/>
            </w:tcBorders>
            <w:shd w:val="clear" w:color="auto" w:fill="auto"/>
            <w:vAlign w:val="center"/>
          </w:tcPr>
          <w:p>
            <w:pPr>
              <w:widowControl/>
              <w:jc w:val="center"/>
              <w:rPr>
                <w:rFonts w:ascii="Courier New" w:hAnsi="Courier New" w:cs="Courier New"/>
                <w:color w:val="000000"/>
                <w:kern w:val="0"/>
                <w:sz w:val="18"/>
                <w:szCs w:val="18"/>
              </w:rPr>
            </w:pPr>
            <w:r>
              <w:rPr>
                <w:rFonts w:ascii="Courier New" w:hAnsi="Courier New" w:cs="Courier New"/>
                <w:color w:val="000000"/>
                <w:kern w:val="0"/>
                <w:sz w:val="18"/>
                <w:szCs w:val="18"/>
              </w:rPr>
              <w:t>实施单位 （盖章）</w:t>
            </w:r>
          </w:p>
        </w:tc>
        <w:tc>
          <w:tcPr>
            <w:tcW w:w="36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w:t>
            </w:r>
          </w:p>
        </w:tc>
      </w:tr>
      <w:tr>
        <w:tblPrEx>
          <w:tblCellMar>
            <w:top w:w="0" w:type="dxa"/>
            <w:left w:w="108" w:type="dxa"/>
            <w:bottom w:w="0" w:type="dxa"/>
            <w:right w:w="108" w:type="dxa"/>
          </w:tblCellMar>
        </w:tblPrEx>
        <w:trPr>
          <w:trHeight w:val="285"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203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Courier New" w:hAnsi="Courier New" w:cs="Courier New"/>
                <w:color w:val="000000"/>
                <w:kern w:val="0"/>
                <w:sz w:val="18"/>
                <w:szCs w:val="18"/>
              </w:rPr>
            </w:pPr>
            <w:r>
              <w:rPr>
                <w:rFonts w:ascii="Courier New" w:hAnsi="Courier New" w:cs="Courier New"/>
                <w:color w:val="000000"/>
                <w:kern w:val="0"/>
                <w:sz w:val="18"/>
                <w:szCs w:val="18"/>
              </w:rPr>
              <w:t>年度目标完成情况</w:t>
            </w:r>
          </w:p>
        </w:tc>
      </w:tr>
      <w:tr>
        <w:tblPrEx>
          <w:tblCellMar>
            <w:top w:w="0" w:type="dxa"/>
            <w:left w:w="108" w:type="dxa"/>
            <w:bottom w:w="0" w:type="dxa"/>
            <w:right w:w="108" w:type="dxa"/>
          </w:tblCellMar>
        </w:tblPrEx>
        <w:trPr>
          <w:trHeight w:val="709"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每月按时发放人员工资，保障人员基本生活。</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每月按时发放人员基本工资，预算执行率100%</w:t>
            </w:r>
          </w:p>
        </w:tc>
      </w:tr>
      <w:tr>
        <w:tblPrEx>
          <w:tblCellMar>
            <w:top w:w="0" w:type="dxa"/>
            <w:left w:w="108" w:type="dxa"/>
            <w:bottom w:w="0" w:type="dxa"/>
            <w:right w:w="108" w:type="dxa"/>
          </w:tblCellMar>
        </w:tblPrEx>
        <w:trPr>
          <w:trHeight w:val="69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按照人社局工资审批表和人员工资档案，每月按时足额发放人员基本工资。</w:t>
            </w:r>
          </w:p>
        </w:tc>
      </w:tr>
      <w:tr>
        <w:tblPrEx>
          <w:tblCellMar>
            <w:top w:w="0" w:type="dxa"/>
            <w:left w:w="108" w:type="dxa"/>
            <w:bottom w:w="0" w:type="dxa"/>
            <w:right w:w="108" w:type="dxa"/>
          </w:tblCellMar>
        </w:tblPrEx>
        <w:trPr>
          <w:trHeight w:val="360"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trHeight w:val="387"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11.90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11.90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2022年新成立单位</w:t>
            </w:r>
          </w:p>
        </w:tc>
      </w:tr>
      <w:tr>
        <w:tblPrEx>
          <w:tblCellMar>
            <w:top w:w="0" w:type="dxa"/>
            <w:left w:w="108" w:type="dxa"/>
            <w:bottom w:w="0" w:type="dxa"/>
            <w:right w:w="108" w:type="dxa"/>
          </w:tblCellMar>
        </w:tblPrEx>
        <w:trPr>
          <w:trHeight w:val="432"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11.90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11.90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47"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02"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379" w:hRule="atLeast"/>
        </w:trPr>
        <w:tc>
          <w:tcPr>
            <w:tcW w:w="1344" w:type="dxa"/>
            <w:vMerge w:val="continue"/>
            <w:tcBorders>
              <w:top w:val="nil"/>
              <w:left w:val="single" w:color="000000" w:sz="4" w:space="0"/>
              <w:bottom w:val="single" w:color="auto"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756" w:type="dxa"/>
            <w:tcBorders>
              <w:top w:val="nil"/>
              <w:left w:val="nil"/>
              <w:bottom w:val="single" w:color="auto"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229" w:type="dxa"/>
            <w:tcBorders>
              <w:top w:val="nil"/>
              <w:left w:val="nil"/>
              <w:bottom w:val="single" w:color="auto"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693" w:type="dxa"/>
            <w:gridSpan w:val="3"/>
            <w:tcBorders>
              <w:top w:val="single" w:color="000000" w:sz="4" w:space="0"/>
              <w:left w:val="nil"/>
              <w:bottom w:val="single" w:color="auto"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61" w:type="dxa"/>
            <w:tcBorders>
              <w:top w:val="nil"/>
              <w:left w:val="nil"/>
              <w:bottom w:val="single" w:color="auto"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613"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auto"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54" w:hRule="atLeast"/>
        </w:trPr>
        <w:tc>
          <w:tcPr>
            <w:tcW w:w="1344" w:type="dxa"/>
            <w:vMerge w:val="restart"/>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203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756"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2229"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54"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1213"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826"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161"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613"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trHeight w:val="454" w:hRule="atLeast"/>
        </w:trPr>
        <w:tc>
          <w:tcPr>
            <w:tcW w:w="1344"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1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22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科目调整次数</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4"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2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足额保障率</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bl>
    <w:p>
      <w:pPr>
        <w:widowControl/>
        <w:jc w:val="left"/>
        <w:rPr>
          <w:rFonts w:ascii="宋体" w:hAnsi="宋体" w:cs="宋体"/>
          <w:color w:val="000000"/>
          <w:kern w:val="0"/>
          <w:sz w:val="18"/>
          <w:szCs w:val="18"/>
        </w:rPr>
        <w:sectPr>
          <w:footerReference r:id="rId10" w:type="first"/>
          <w:footerReference r:id="rId9" w:type="default"/>
          <w:pgSz w:w="16838" w:h="11906" w:orient="landscape"/>
          <w:pgMar w:top="1531" w:right="1440" w:bottom="1797" w:left="1440" w:header="851" w:footer="992" w:gutter="0"/>
          <w:pgNumType w:fmt="decimal" w:start="18"/>
          <w:cols w:space="425" w:num="1"/>
          <w:titlePg/>
          <w:docGrid w:type="lines" w:linePitch="312" w:charSpace="0"/>
        </w:sectPr>
      </w:pPr>
    </w:p>
    <w:tbl>
      <w:tblPr>
        <w:tblStyle w:val="12"/>
        <w:tblW w:w="14820" w:type="dxa"/>
        <w:tblInd w:w="93" w:type="dxa"/>
        <w:tblLayout w:type="fixed"/>
        <w:tblCellMar>
          <w:top w:w="0" w:type="dxa"/>
          <w:left w:w="108" w:type="dxa"/>
          <w:bottom w:w="0" w:type="dxa"/>
          <w:right w:w="108" w:type="dxa"/>
        </w:tblCellMar>
      </w:tblPr>
      <w:tblGrid>
        <w:gridCol w:w="1344"/>
        <w:gridCol w:w="2030"/>
        <w:gridCol w:w="1756"/>
        <w:gridCol w:w="2229"/>
        <w:gridCol w:w="654"/>
        <w:gridCol w:w="1213"/>
        <w:gridCol w:w="826"/>
        <w:gridCol w:w="1161"/>
        <w:gridCol w:w="613"/>
        <w:gridCol w:w="662"/>
        <w:gridCol w:w="2332"/>
      </w:tblGrid>
      <w:tr>
        <w:tblPrEx>
          <w:tblCellMar>
            <w:top w:w="0" w:type="dxa"/>
            <w:left w:w="108" w:type="dxa"/>
            <w:bottom w:w="0" w:type="dxa"/>
            <w:right w:w="108" w:type="dxa"/>
          </w:tblCellMar>
        </w:tblPrEx>
        <w:trPr>
          <w:trHeight w:val="454" w:hRule="atLeast"/>
        </w:trPr>
        <w:tc>
          <w:tcPr>
            <w:tcW w:w="1344" w:type="dxa"/>
            <w:vMerge w:val="restart"/>
            <w:tcBorders>
              <w:top w:val="nil"/>
              <w:left w:val="single" w:color="auto" w:sz="4" w:space="0"/>
              <w:right w:val="single" w:color="000000" w:sz="4" w:space="0"/>
            </w:tcBorders>
            <w:vAlign w:val="center"/>
          </w:tcPr>
          <w:p>
            <w:pPr>
              <w:pStyle w:val="2"/>
            </w:pPr>
          </w:p>
        </w:tc>
        <w:tc>
          <w:tcPr>
            <w:tcW w:w="203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时效指标</w:t>
            </w:r>
          </w:p>
        </w:tc>
        <w:tc>
          <w:tcPr>
            <w:tcW w:w="22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按时发放率</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4"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17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经济效益指标</w:t>
            </w:r>
          </w:p>
        </w:tc>
        <w:tc>
          <w:tcPr>
            <w:tcW w:w="22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结余率（计算方法为：结余数/预算数）</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1121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04"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按照人社局工资审批表和人员工资档案，每月按时足额发放人员基本工资。</w:t>
            </w:r>
          </w:p>
        </w:tc>
      </w:tr>
      <w:tr>
        <w:tblPrEx>
          <w:tblCellMar>
            <w:top w:w="0" w:type="dxa"/>
            <w:left w:w="108" w:type="dxa"/>
            <w:bottom w:w="0" w:type="dxa"/>
            <w:right w:w="108" w:type="dxa"/>
          </w:tblCellMar>
        </w:tblPrEx>
        <w:trPr>
          <w:trHeight w:val="574"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634"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285" w:hRule="atLeast"/>
        </w:trPr>
        <w:tc>
          <w:tcPr>
            <w:tcW w:w="801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项目负责人：熊文彬</w:t>
            </w:r>
          </w:p>
        </w:tc>
        <w:tc>
          <w:tcPr>
            <w:tcW w:w="6807"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财务负责人：刘敏</w:t>
            </w:r>
          </w:p>
        </w:tc>
      </w:tr>
      <w:tr>
        <w:tblPrEx>
          <w:tblCellMar>
            <w:top w:w="0" w:type="dxa"/>
            <w:left w:w="108" w:type="dxa"/>
            <w:bottom w:w="0" w:type="dxa"/>
            <w:right w:w="108" w:type="dxa"/>
          </w:tblCellMar>
        </w:tblPrEx>
        <w:trPr>
          <w:trHeight w:val="285" w:hRule="atLeast"/>
        </w:trPr>
        <w:tc>
          <w:tcPr>
            <w:tcW w:w="1344"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030"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756"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229"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54"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213"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826"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161"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13"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62"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332"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904" w:hRule="atLeast"/>
        </w:trPr>
        <w:tc>
          <w:tcPr>
            <w:tcW w:w="1482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部门预算项目支出绩效自评表（2022年度）</w:t>
            </w:r>
          </w:p>
        </w:tc>
      </w:tr>
      <w:tr>
        <w:tblPrEx>
          <w:tblCellMar>
            <w:top w:w="0" w:type="dxa"/>
            <w:left w:w="108" w:type="dxa"/>
            <w:bottom w:w="0" w:type="dxa"/>
            <w:right w:w="108" w:type="dxa"/>
          </w:tblCellMar>
        </w:tblPrEx>
        <w:trPr>
          <w:trHeight w:val="285"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51200221R000000026301-事业津补贴</w:t>
            </w:r>
          </w:p>
        </w:tc>
      </w:tr>
      <w:tr>
        <w:tblPrEx>
          <w:tblCellMar>
            <w:top w:w="0" w:type="dxa"/>
            <w:left w:w="108" w:type="dxa"/>
            <w:bottom w:w="0" w:type="dxa"/>
            <w:right w:w="108" w:type="dxa"/>
          </w:tblCellMar>
        </w:tblPrEx>
        <w:trPr>
          <w:trHeight w:val="514"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资阳市雁江区宝莲社区卫生服务中心本级</w:t>
            </w:r>
          </w:p>
        </w:tc>
        <w:tc>
          <w:tcPr>
            <w:tcW w:w="1161" w:type="dxa"/>
            <w:tcBorders>
              <w:top w:val="nil"/>
              <w:left w:val="nil"/>
              <w:bottom w:val="nil"/>
              <w:right w:val="nil"/>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实施单位 （盖章）</w:t>
            </w:r>
          </w:p>
        </w:tc>
        <w:tc>
          <w:tcPr>
            <w:tcW w:w="36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w:t>
            </w:r>
          </w:p>
        </w:tc>
      </w:tr>
      <w:tr>
        <w:tblPrEx>
          <w:tblCellMar>
            <w:top w:w="0" w:type="dxa"/>
            <w:left w:w="108" w:type="dxa"/>
            <w:bottom w:w="0" w:type="dxa"/>
            <w:right w:w="108" w:type="dxa"/>
          </w:tblCellMar>
        </w:tblPrEx>
        <w:trPr>
          <w:trHeight w:val="285"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203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Courier New" w:hAnsi="Courier New" w:cs="Courier New"/>
                <w:color w:val="000000"/>
                <w:kern w:val="0"/>
                <w:sz w:val="18"/>
                <w:szCs w:val="18"/>
              </w:rPr>
            </w:pPr>
            <w:r>
              <w:rPr>
                <w:rFonts w:ascii="Courier New" w:hAnsi="Courier New" w:cs="Courier New"/>
                <w:color w:val="000000"/>
                <w:kern w:val="0"/>
                <w:sz w:val="18"/>
                <w:szCs w:val="18"/>
              </w:rPr>
              <w:t>年度目标完成情况</w:t>
            </w:r>
          </w:p>
        </w:tc>
      </w:tr>
      <w:tr>
        <w:tblPrEx>
          <w:tblCellMar>
            <w:top w:w="0" w:type="dxa"/>
            <w:left w:w="108" w:type="dxa"/>
            <w:bottom w:w="0" w:type="dxa"/>
            <w:right w:w="108" w:type="dxa"/>
          </w:tblCellMar>
        </w:tblPrEx>
        <w:trPr>
          <w:trHeight w:val="709"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每月按时发放人员工资，保障人员基本生活。</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每月按时发放人员事业津补贴，预算执行率100%</w:t>
            </w:r>
          </w:p>
        </w:tc>
      </w:tr>
      <w:tr>
        <w:tblPrEx>
          <w:tblCellMar>
            <w:top w:w="0" w:type="dxa"/>
            <w:left w:w="108" w:type="dxa"/>
            <w:bottom w:w="0" w:type="dxa"/>
            <w:right w:w="108" w:type="dxa"/>
          </w:tblCellMar>
        </w:tblPrEx>
        <w:trPr>
          <w:trHeight w:val="69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按照人社局工资审批表和人员工资档案，每月按时足额发放人员事业津补贴。</w:t>
            </w:r>
          </w:p>
        </w:tc>
      </w:tr>
      <w:tr>
        <w:tblPrEx>
          <w:tblCellMar>
            <w:top w:w="0" w:type="dxa"/>
            <w:left w:w="108" w:type="dxa"/>
            <w:bottom w:w="0" w:type="dxa"/>
            <w:right w:w="108" w:type="dxa"/>
          </w:tblCellMar>
        </w:tblPrEx>
        <w:trPr>
          <w:trHeight w:val="360" w:hRule="atLeast"/>
        </w:trPr>
        <w:tc>
          <w:tcPr>
            <w:tcW w:w="1344"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2030"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756"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2229" w:type="dxa"/>
            <w:tcBorders>
              <w:top w:val="single" w:color="auto" w:sz="4" w:space="0"/>
              <w:left w:val="nil"/>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2693" w:type="dxa"/>
            <w:gridSpan w:val="3"/>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161" w:type="dxa"/>
            <w:tcBorders>
              <w:top w:val="single" w:color="auto" w:sz="4" w:space="0"/>
              <w:left w:val="nil"/>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613" w:type="dxa"/>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single" w:color="auto" w:sz="4" w:space="0"/>
              <w:left w:val="nil"/>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trHeight w:val="387"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756"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0.38</w:t>
            </w:r>
          </w:p>
        </w:tc>
        <w:tc>
          <w:tcPr>
            <w:tcW w:w="2693" w:type="dxa"/>
            <w:gridSpan w:val="3"/>
            <w:tcBorders>
              <w:top w:val="single" w:color="000000"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0.38</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662"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vMerge w:val="restart"/>
            <w:tcBorders>
              <w:top w:val="nil"/>
              <w:left w:val="single" w:color="000000"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2022年新成立单位</w:t>
            </w:r>
          </w:p>
        </w:tc>
      </w:tr>
      <w:tr>
        <w:tblPrEx>
          <w:tblCellMar>
            <w:top w:w="0" w:type="dxa"/>
            <w:left w:w="108" w:type="dxa"/>
            <w:bottom w:w="0" w:type="dxa"/>
            <w:right w:w="108" w:type="dxa"/>
          </w:tblCellMar>
        </w:tblPrEx>
        <w:trPr>
          <w:trHeight w:val="432" w:hRule="atLeast"/>
        </w:trPr>
        <w:tc>
          <w:tcPr>
            <w:tcW w:w="134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756"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single" w:color="auto" w:sz="4" w:space="0"/>
              <w:left w:val="nil"/>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0.38</w:t>
            </w:r>
          </w:p>
        </w:tc>
        <w:tc>
          <w:tcPr>
            <w:tcW w:w="2693" w:type="dxa"/>
            <w:gridSpan w:val="3"/>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0.38</w:t>
            </w:r>
          </w:p>
        </w:tc>
        <w:tc>
          <w:tcPr>
            <w:tcW w:w="1161" w:type="dxa"/>
            <w:tcBorders>
              <w:top w:val="single" w:color="auto" w:sz="4" w:space="0"/>
              <w:left w:val="nil"/>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single" w:color="auto" w:sz="4" w:space="0"/>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47" w:hRule="atLeast"/>
        </w:trPr>
        <w:tc>
          <w:tcPr>
            <w:tcW w:w="134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75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single" w:color="000000" w:sz="4" w:space="0"/>
              <w:left w:val="nil"/>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single" w:color="000000" w:sz="4" w:space="0"/>
              <w:left w:val="nil"/>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single" w:color="000000"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single" w:color="000000" w:sz="4" w:space="0"/>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02" w:hRule="atLeast"/>
        </w:trPr>
        <w:tc>
          <w:tcPr>
            <w:tcW w:w="134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tcBorders>
              <w:top w:val="single" w:color="000000"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756" w:type="dxa"/>
            <w:tcBorders>
              <w:top w:val="single" w:color="000000"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single" w:color="000000"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single" w:color="000000"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single" w:color="000000"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single" w:color="000000"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single" w:color="000000" w:sz="4" w:space="0"/>
              <w:left w:val="single" w:color="000000"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379"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756"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229" w:type="dxa"/>
            <w:tcBorders>
              <w:top w:val="single" w:color="auto" w:sz="4" w:space="0"/>
              <w:left w:val="nil"/>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693" w:type="dxa"/>
            <w:gridSpan w:val="3"/>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61" w:type="dxa"/>
            <w:tcBorders>
              <w:top w:val="single" w:color="auto" w:sz="4" w:space="0"/>
              <w:left w:val="nil"/>
              <w:bottom w:val="single" w:color="000000"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613" w:type="dxa"/>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single" w:color="auto" w:sz="4" w:space="0"/>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54" w:hRule="atLeast"/>
        </w:trPr>
        <w:tc>
          <w:tcPr>
            <w:tcW w:w="1344" w:type="dxa"/>
            <w:vMerge w:val="restart"/>
            <w:tcBorders>
              <w:top w:val="nil"/>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2030" w:type="dxa"/>
            <w:tcBorders>
              <w:top w:val="nil"/>
              <w:left w:val="single" w:color="000000"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756"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54" w:type="dxa"/>
            <w:tcBorders>
              <w:top w:val="nil"/>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1213"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826"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613" w:type="dxa"/>
            <w:tcBorders>
              <w:top w:val="nil"/>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trHeight w:val="338" w:hRule="atLeast"/>
        </w:trPr>
        <w:tc>
          <w:tcPr>
            <w:tcW w:w="1344"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1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22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科目调整次数</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足额保障率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04"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时效指标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按时发放率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574"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经济效益指标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结余率（计算方法为：结余数/预算数）</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34" w:hRule="atLeast"/>
        </w:trPr>
        <w:tc>
          <w:tcPr>
            <w:tcW w:w="1121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80"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按照人社局工资审批表和人员工资档案，每月按时足额发放人员事业津补贴。</w:t>
            </w:r>
          </w:p>
        </w:tc>
      </w:tr>
      <w:tr>
        <w:tblPrEx>
          <w:tblCellMar>
            <w:top w:w="0" w:type="dxa"/>
            <w:left w:w="108" w:type="dxa"/>
            <w:bottom w:w="0" w:type="dxa"/>
            <w:right w:w="108" w:type="dxa"/>
          </w:tblCellMar>
        </w:tblPrEx>
        <w:trPr>
          <w:trHeight w:val="495"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616"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285" w:hRule="atLeast"/>
        </w:trPr>
        <w:tc>
          <w:tcPr>
            <w:tcW w:w="801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项目负责人：熊文彬</w:t>
            </w:r>
          </w:p>
        </w:tc>
        <w:tc>
          <w:tcPr>
            <w:tcW w:w="6807"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财务负责人：刘敏</w:t>
            </w:r>
          </w:p>
        </w:tc>
      </w:tr>
      <w:tr>
        <w:tblPrEx>
          <w:tblCellMar>
            <w:top w:w="0" w:type="dxa"/>
            <w:left w:w="108" w:type="dxa"/>
            <w:bottom w:w="0" w:type="dxa"/>
            <w:right w:w="108" w:type="dxa"/>
          </w:tblCellMar>
        </w:tblPrEx>
        <w:trPr>
          <w:trHeight w:val="285" w:hRule="atLeast"/>
        </w:trPr>
        <w:tc>
          <w:tcPr>
            <w:tcW w:w="1482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部门预算项目支出绩效自评表（2022年度）</w:t>
            </w:r>
          </w:p>
        </w:tc>
      </w:tr>
      <w:tr>
        <w:tblPrEx>
          <w:tblCellMar>
            <w:top w:w="0" w:type="dxa"/>
            <w:left w:w="108" w:type="dxa"/>
            <w:bottom w:w="0" w:type="dxa"/>
            <w:right w:w="108" w:type="dxa"/>
          </w:tblCellMar>
        </w:tblPrEx>
        <w:trPr>
          <w:trHeight w:val="709"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51200221R000000026302-奖金</w:t>
            </w:r>
          </w:p>
        </w:tc>
      </w:tr>
    </w:tbl>
    <w:p>
      <w:pPr>
        <w:widowControl/>
        <w:jc w:val="left"/>
        <w:rPr>
          <w:rFonts w:hint="eastAsia" w:ascii="宋体" w:hAnsi="宋体" w:cs="宋体"/>
          <w:color w:val="000000"/>
          <w:kern w:val="0"/>
          <w:sz w:val="18"/>
          <w:szCs w:val="18"/>
        </w:rPr>
        <w:sectPr>
          <w:footerReference r:id="rId12" w:type="first"/>
          <w:footerReference r:id="rId11" w:type="default"/>
          <w:pgSz w:w="16838" w:h="11906" w:orient="landscape"/>
          <w:pgMar w:top="1531" w:right="1440" w:bottom="1797" w:left="1440" w:header="851" w:footer="992" w:gutter="0"/>
          <w:pgNumType w:fmt="decimal" w:start="18"/>
          <w:cols w:space="425" w:num="1"/>
          <w:titlePg/>
          <w:docGrid w:type="lines" w:linePitch="312" w:charSpace="0"/>
        </w:sectPr>
      </w:pPr>
    </w:p>
    <w:tbl>
      <w:tblPr>
        <w:tblStyle w:val="12"/>
        <w:tblW w:w="14820" w:type="dxa"/>
        <w:tblInd w:w="93" w:type="dxa"/>
        <w:tblLayout w:type="fixed"/>
        <w:tblCellMar>
          <w:top w:w="0" w:type="dxa"/>
          <w:left w:w="108" w:type="dxa"/>
          <w:bottom w:w="0" w:type="dxa"/>
          <w:right w:w="108" w:type="dxa"/>
        </w:tblCellMar>
      </w:tblPr>
      <w:tblGrid>
        <w:gridCol w:w="1344"/>
        <w:gridCol w:w="2030"/>
        <w:gridCol w:w="1756"/>
        <w:gridCol w:w="2229"/>
        <w:gridCol w:w="654"/>
        <w:gridCol w:w="1213"/>
        <w:gridCol w:w="826"/>
        <w:gridCol w:w="1161"/>
        <w:gridCol w:w="613"/>
        <w:gridCol w:w="662"/>
        <w:gridCol w:w="2332"/>
      </w:tblGrid>
      <w:tr>
        <w:tblPrEx>
          <w:tblCellMar>
            <w:top w:w="0" w:type="dxa"/>
            <w:left w:w="108" w:type="dxa"/>
            <w:bottom w:w="0" w:type="dxa"/>
            <w:right w:w="108" w:type="dxa"/>
          </w:tblCellMar>
        </w:tblPrEx>
        <w:trPr>
          <w:trHeight w:val="694"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6678" w:type="dxa"/>
            <w:gridSpan w:val="5"/>
            <w:tcBorders>
              <w:top w:val="single" w:color="000000" w:sz="4" w:space="0"/>
              <w:left w:val="nil"/>
              <w:bottom w:val="single" w:color="000000"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资阳市雁江区宝莲社区卫生服务中心本级</w:t>
            </w:r>
          </w:p>
        </w:tc>
        <w:tc>
          <w:tcPr>
            <w:tcW w:w="11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实施单位 （盖章）</w:t>
            </w:r>
          </w:p>
        </w:tc>
        <w:tc>
          <w:tcPr>
            <w:tcW w:w="3607" w:type="dxa"/>
            <w:gridSpan w:val="3"/>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w:t>
            </w:r>
          </w:p>
        </w:tc>
      </w:tr>
      <w:tr>
        <w:tblPrEx>
          <w:tblCellMar>
            <w:top w:w="0" w:type="dxa"/>
            <w:left w:w="108" w:type="dxa"/>
            <w:bottom w:w="0" w:type="dxa"/>
            <w:right w:w="108" w:type="dxa"/>
          </w:tblCellMar>
        </w:tblPrEx>
        <w:trPr>
          <w:trHeight w:val="360"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203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Courier New" w:hAnsi="Courier New" w:cs="Courier New"/>
                <w:color w:val="000000"/>
                <w:kern w:val="0"/>
                <w:sz w:val="18"/>
                <w:szCs w:val="18"/>
              </w:rPr>
            </w:pPr>
            <w:r>
              <w:rPr>
                <w:rFonts w:ascii="Courier New" w:hAnsi="Courier New" w:cs="Courier New"/>
                <w:color w:val="000000"/>
                <w:kern w:val="0"/>
                <w:sz w:val="18"/>
                <w:szCs w:val="18"/>
              </w:rPr>
              <w:t>年度目标完成情况</w:t>
            </w:r>
          </w:p>
        </w:tc>
      </w:tr>
      <w:tr>
        <w:tblPrEx>
          <w:tblCellMar>
            <w:top w:w="0" w:type="dxa"/>
            <w:left w:w="108" w:type="dxa"/>
            <w:bottom w:w="0" w:type="dxa"/>
            <w:right w:w="108" w:type="dxa"/>
          </w:tblCellMar>
        </w:tblPrEx>
        <w:trPr>
          <w:trHeight w:val="387"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每月按时发放人员工资，保障人员基本生活。</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每月按时发放人员奖金，预算执行率100%</w:t>
            </w:r>
          </w:p>
        </w:tc>
      </w:tr>
      <w:tr>
        <w:tblPrEx>
          <w:tblCellMar>
            <w:top w:w="0" w:type="dxa"/>
            <w:left w:w="108" w:type="dxa"/>
            <w:bottom w:w="0" w:type="dxa"/>
            <w:right w:w="108" w:type="dxa"/>
          </w:tblCellMar>
        </w:tblPrEx>
        <w:trPr>
          <w:trHeight w:val="432" w:hRule="atLeast"/>
        </w:trPr>
        <w:tc>
          <w:tcPr>
            <w:tcW w:w="1344" w:type="dxa"/>
            <w:vMerge w:val="continue"/>
            <w:tcBorders>
              <w:top w:val="nil"/>
              <w:left w:val="single" w:color="000000" w:sz="4" w:space="0"/>
              <w:bottom w:val="single" w:color="auto"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auto"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11446" w:type="dxa"/>
            <w:gridSpan w:val="9"/>
            <w:tcBorders>
              <w:top w:val="single" w:color="000000" w:sz="4" w:space="0"/>
              <w:left w:val="nil"/>
              <w:bottom w:val="single" w:color="auto"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按照人社局工资审批表和人员工资档案，每月按时足额发放人员奖金。</w:t>
            </w:r>
          </w:p>
        </w:tc>
      </w:tr>
      <w:tr>
        <w:tblPrEx>
          <w:tblCellMar>
            <w:top w:w="0" w:type="dxa"/>
            <w:left w:w="108" w:type="dxa"/>
            <w:bottom w:w="0" w:type="dxa"/>
            <w:right w:w="108" w:type="dxa"/>
          </w:tblCellMar>
        </w:tblPrEx>
        <w:trPr>
          <w:trHeight w:val="452" w:hRule="atLeast"/>
        </w:trPr>
        <w:tc>
          <w:tcPr>
            <w:tcW w:w="1344"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2030"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756"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2229"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2693" w:type="dxa"/>
            <w:gridSpan w:val="3"/>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161"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613"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single" w:color="auto" w:sz="4" w:space="0"/>
              <w:left w:val="nil"/>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trHeight w:val="402"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0.60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0.60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vMerge w:val="restart"/>
            <w:tcBorders>
              <w:top w:val="nil"/>
              <w:left w:val="single" w:color="000000"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2022年新成立单位</w:t>
            </w:r>
          </w:p>
        </w:tc>
      </w:tr>
      <w:tr>
        <w:tblPrEx>
          <w:tblCellMar>
            <w:top w:w="0" w:type="dxa"/>
            <w:left w:w="108" w:type="dxa"/>
            <w:bottom w:w="0" w:type="dxa"/>
            <w:right w:w="108" w:type="dxa"/>
          </w:tblCellMar>
        </w:tblPrEx>
        <w:trPr>
          <w:trHeight w:val="379"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0.60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0.60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54"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338"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604" w:hRule="atLeast"/>
        </w:trPr>
        <w:tc>
          <w:tcPr>
            <w:tcW w:w="1344" w:type="dxa"/>
            <w:vMerge w:val="restart"/>
            <w:tcBorders>
              <w:top w:val="nil"/>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2030" w:type="dxa"/>
            <w:tcBorders>
              <w:top w:val="nil"/>
              <w:left w:val="single" w:color="000000"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756"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2229"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54"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1213"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826"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161"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613"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trHeight w:val="574" w:hRule="atLeast"/>
        </w:trPr>
        <w:tc>
          <w:tcPr>
            <w:tcW w:w="1344"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1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22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科目调整次数</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45"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足额保障率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时效指标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按时发放率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95" w:hRule="atLeast"/>
        </w:trPr>
        <w:tc>
          <w:tcPr>
            <w:tcW w:w="134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175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经济效益指标</w:t>
            </w:r>
          </w:p>
        </w:tc>
        <w:tc>
          <w:tcPr>
            <w:tcW w:w="22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结余率（计算方法为：结余数/预算数）</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4" w:hRule="atLeast"/>
        </w:trPr>
        <w:tc>
          <w:tcPr>
            <w:tcW w:w="11213" w:type="dxa"/>
            <w:gridSpan w:val="8"/>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tcBorders>
              <w:top w:val="nil"/>
              <w:left w:val="nil"/>
              <w:bottom w:val="single" w:color="000000"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80" w:hRule="atLeast"/>
        </w:trPr>
        <w:tc>
          <w:tcPr>
            <w:tcW w:w="1344" w:type="dxa"/>
            <w:tcBorders>
              <w:top w:val="nil"/>
              <w:left w:val="single" w:color="000000"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13476" w:type="dxa"/>
            <w:gridSpan w:val="10"/>
            <w:tcBorders>
              <w:top w:val="single" w:color="000000"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按照人社局工资审批表和人员工资档案，每月按时足额发放人员奖金。</w:t>
            </w:r>
          </w:p>
        </w:tc>
      </w:tr>
      <w:tr>
        <w:tblPrEx>
          <w:tblCellMar>
            <w:top w:w="0" w:type="dxa"/>
            <w:left w:w="108" w:type="dxa"/>
            <w:bottom w:w="0" w:type="dxa"/>
            <w:right w:w="108" w:type="dxa"/>
          </w:tblCellMar>
        </w:tblPrEx>
        <w:trPr>
          <w:trHeight w:val="495"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13476" w:type="dxa"/>
            <w:gridSpan w:val="10"/>
            <w:tcBorders>
              <w:top w:val="single" w:color="auto"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904"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285" w:hRule="atLeast"/>
        </w:trPr>
        <w:tc>
          <w:tcPr>
            <w:tcW w:w="801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项目负责人：熊文彬</w:t>
            </w:r>
          </w:p>
        </w:tc>
        <w:tc>
          <w:tcPr>
            <w:tcW w:w="6807"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财务负责人：刘敏</w:t>
            </w:r>
          </w:p>
        </w:tc>
      </w:tr>
      <w:tr>
        <w:tblPrEx>
          <w:tblCellMar>
            <w:top w:w="0" w:type="dxa"/>
            <w:left w:w="108" w:type="dxa"/>
            <w:bottom w:w="0" w:type="dxa"/>
            <w:right w:w="108" w:type="dxa"/>
          </w:tblCellMar>
        </w:tblPrEx>
        <w:trPr>
          <w:trHeight w:val="514" w:hRule="atLeast"/>
        </w:trPr>
        <w:tc>
          <w:tcPr>
            <w:tcW w:w="1344"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030"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756"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229"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54"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213"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826"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161"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13"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62"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332"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285" w:hRule="atLeast"/>
        </w:trPr>
        <w:tc>
          <w:tcPr>
            <w:tcW w:w="1482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部门预算项目支出绩效自评表（2022年度）</w:t>
            </w:r>
          </w:p>
        </w:tc>
      </w:tr>
      <w:tr>
        <w:tblPrEx>
          <w:tblCellMar>
            <w:top w:w="0" w:type="dxa"/>
            <w:left w:w="108" w:type="dxa"/>
            <w:bottom w:w="0" w:type="dxa"/>
            <w:right w:w="108" w:type="dxa"/>
          </w:tblCellMar>
        </w:tblPrEx>
        <w:trPr>
          <w:trHeight w:val="314"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51200221R000000026303-绩效工资</w:t>
            </w:r>
          </w:p>
        </w:tc>
      </w:tr>
      <w:tr>
        <w:tblPrEx>
          <w:tblCellMar>
            <w:top w:w="0" w:type="dxa"/>
            <w:left w:w="108" w:type="dxa"/>
            <w:bottom w:w="0" w:type="dxa"/>
            <w:right w:w="108" w:type="dxa"/>
          </w:tblCellMar>
        </w:tblPrEx>
        <w:trPr>
          <w:trHeight w:val="534"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资阳市雁江区宝莲社区卫生服务中心本级</w:t>
            </w:r>
          </w:p>
        </w:tc>
        <w:tc>
          <w:tcPr>
            <w:tcW w:w="1161" w:type="dxa"/>
            <w:tcBorders>
              <w:top w:val="nil"/>
              <w:left w:val="nil"/>
              <w:bottom w:val="nil"/>
              <w:right w:val="nil"/>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实施单位 （盖章）</w:t>
            </w:r>
          </w:p>
        </w:tc>
        <w:tc>
          <w:tcPr>
            <w:tcW w:w="36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w:t>
            </w:r>
          </w:p>
        </w:tc>
      </w:tr>
      <w:tr>
        <w:tblPrEx>
          <w:tblCellMar>
            <w:top w:w="0" w:type="dxa"/>
            <w:left w:w="108" w:type="dxa"/>
            <w:bottom w:w="0" w:type="dxa"/>
            <w:right w:w="108" w:type="dxa"/>
          </w:tblCellMar>
        </w:tblPrEx>
        <w:trPr>
          <w:trHeight w:val="360"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203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Courier New" w:hAnsi="Courier New" w:cs="Courier New"/>
                <w:color w:val="000000"/>
                <w:kern w:val="0"/>
                <w:sz w:val="18"/>
                <w:szCs w:val="18"/>
              </w:rPr>
            </w:pPr>
            <w:r>
              <w:rPr>
                <w:rFonts w:ascii="Courier New" w:hAnsi="Courier New" w:cs="Courier New"/>
                <w:color w:val="000000"/>
                <w:kern w:val="0"/>
                <w:sz w:val="18"/>
                <w:szCs w:val="18"/>
              </w:rPr>
              <w:t>年度目标完成情况</w:t>
            </w:r>
          </w:p>
        </w:tc>
      </w:tr>
      <w:tr>
        <w:tblPrEx>
          <w:tblCellMar>
            <w:top w:w="0" w:type="dxa"/>
            <w:left w:w="108" w:type="dxa"/>
            <w:bottom w:w="0" w:type="dxa"/>
            <w:right w:w="108" w:type="dxa"/>
          </w:tblCellMar>
        </w:tblPrEx>
        <w:trPr>
          <w:trHeight w:val="90"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nil"/>
              <w:left w:val="single" w:color="000000" w:sz="4" w:space="0"/>
              <w:bottom w:val="single" w:color="auto" w:sz="4" w:space="0"/>
              <w:right w:val="single" w:color="000000" w:sz="4" w:space="0"/>
            </w:tcBorders>
            <w:vAlign w:val="center"/>
          </w:tcPr>
          <w:p>
            <w:pPr>
              <w:widowControl/>
              <w:jc w:val="left"/>
              <w:rPr>
                <w:rFonts w:ascii="宋体" w:hAnsi="宋体" w:cs="宋体"/>
                <w:color w:val="000000"/>
                <w:kern w:val="0"/>
                <w:sz w:val="18"/>
                <w:szCs w:val="18"/>
              </w:rPr>
            </w:pP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每月按时发放人员工资，保障人员基本生活。</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每月按时发放人员奖金，预算执行率100%</w:t>
            </w:r>
          </w:p>
        </w:tc>
      </w:tr>
      <w:tr>
        <w:tblPrEx>
          <w:tblCellMar>
            <w:top w:w="0" w:type="dxa"/>
            <w:left w:w="108" w:type="dxa"/>
            <w:bottom w:w="0" w:type="dxa"/>
            <w:right w:w="108" w:type="dxa"/>
          </w:tblCellMar>
        </w:tblPrEx>
        <w:trPr>
          <w:trHeight w:val="386" w:hRule="atLeast"/>
        </w:trPr>
        <w:tc>
          <w:tcPr>
            <w:tcW w:w="1344" w:type="dxa"/>
            <w:vMerge w:val="continue"/>
            <w:tcBorders>
              <w:top w:val="nil"/>
              <w:left w:val="single" w:color="000000"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0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11446" w:type="dxa"/>
            <w:gridSpan w:val="9"/>
            <w:tcBorders>
              <w:top w:val="single" w:color="000000" w:sz="4" w:space="0"/>
              <w:left w:val="single" w:color="auto" w:sz="4" w:space="0"/>
              <w:bottom w:val="single" w:color="auto"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按照人社局工资审批表和人员工资档案，每月按时足额发放人员绩效工资。</w:t>
            </w:r>
          </w:p>
        </w:tc>
      </w:tr>
      <w:tr>
        <w:tblPrEx>
          <w:tblCellMar>
            <w:top w:w="0" w:type="dxa"/>
            <w:left w:w="108" w:type="dxa"/>
            <w:bottom w:w="0" w:type="dxa"/>
            <w:right w:w="108" w:type="dxa"/>
          </w:tblCellMar>
        </w:tblPrEx>
        <w:trPr>
          <w:trHeight w:val="364" w:hRule="atLeast"/>
        </w:trPr>
        <w:tc>
          <w:tcPr>
            <w:tcW w:w="134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20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756" w:type="dxa"/>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2229"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2693" w:type="dxa"/>
            <w:gridSpan w:val="3"/>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161" w:type="dxa"/>
            <w:tcBorders>
              <w:top w:val="single" w:color="auto" w:sz="4" w:space="0"/>
              <w:left w:val="nil"/>
              <w:bottom w:val="single" w:color="000000" w:sz="4" w:space="0"/>
              <w:right w:val="single" w:color="000000" w:sz="4" w:space="0"/>
            </w:tcBorders>
            <w:shd w:val="clear" w:color="auto" w:fill="auto"/>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613"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single" w:color="auto" w:sz="4" w:space="0"/>
              <w:left w:val="nil"/>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trHeight w:val="402" w:hRule="atLeast"/>
        </w:trPr>
        <w:tc>
          <w:tcPr>
            <w:tcW w:w="1344" w:type="dxa"/>
            <w:vMerge w:val="continue"/>
            <w:tcBorders>
              <w:top w:val="nil"/>
              <w:left w:val="single" w:color="auto" w:sz="4" w:space="0"/>
              <w:bottom w:val="single" w:color="auto"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756"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8.73</w:t>
            </w:r>
          </w:p>
        </w:tc>
        <w:tc>
          <w:tcPr>
            <w:tcW w:w="2693" w:type="dxa"/>
            <w:gridSpan w:val="3"/>
            <w:tcBorders>
              <w:top w:val="single" w:color="000000"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8.73</w:t>
            </w:r>
          </w:p>
        </w:tc>
        <w:tc>
          <w:tcPr>
            <w:tcW w:w="1161"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662"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vMerge w:val="restart"/>
            <w:tcBorders>
              <w:top w:val="nil"/>
              <w:left w:val="single" w:color="000000"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2022年新成立单位</w:t>
            </w:r>
          </w:p>
        </w:tc>
      </w:tr>
      <w:tr>
        <w:tblPrEx>
          <w:tblCellMar>
            <w:top w:w="0" w:type="dxa"/>
            <w:left w:w="108" w:type="dxa"/>
            <w:bottom w:w="0" w:type="dxa"/>
            <w:right w:w="108" w:type="dxa"/>
          </w:tblCellMar>
        </w:tblPrEx>
        <w:trPr>
          <w:trHeight w:val="379" w:hRule="atLeast"/>
        </w:trPr>
        <w:tc>
          <w:tcPr>
            <w:tcW w:w="1344"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756"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8.73</w:t>
            </w:r>
          </w:p>
        </w:tc>
        <w:tc>
          <w:tcPr>
            <w:tcW w:w="2693" w:type="dxa"/>
            <w:gridSpan w:val="3"/>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8.73</w:t>
            </w:r>
          </w:p>
        </w:tc>
        <w:tc>
          <w:tcPr>
            <w:tcW w:w="1161"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single" w:color="auto" w:sz="4" w:space="0"/>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54"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338"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756" w:type="dxa"/>
            <w:tcBorders>
              <w:top w:val="nil"/>
              <w:left w:val="nil"/>
              <w:bottom w:val="single" w:color="auto"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229" w:type="dxa"/>
            <w:tcBorders>
              <w:top w:val="nil"/>
              <w:left w:val="nil"/>
              <w:bottom w:val="single" w:color="auto"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693" w:type="dxa"/>
            <w:gridSpan w:val="3"/>
            <w:tcBorders>
              <w:top w:val="single" w:color="000000" w:sz="4" w:space="0"/>
              <w:left w:val="nil"/>
              <w:bottom w:val="single" w:color="auto"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61" w:type="dxa"/>
            <w:tcBorders>
              <w:top w:val="nil"/>
              <w:left w:val="nil"/>
              <w:bottom w:val="single" w:color="auto"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613"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604" w:hRule="atLeast"/>
        </w:trPr>
        <w:tc>
          <w:tcPr>
            <w:tcW w:w="1344" w:type="dxa"/>
            <w:tcBorders>
              <w:top w:val="nil"/>
              <w:left w:val="single" w:color="000000"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2030"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756"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2229"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54"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1213"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826"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161"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613"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bl>
    <w:p>
      <w:pPr>
        <w:widowControl/>
        <w:jc w:val="left"/>
        <w:rPr>
          <w:rFonts w:ascii="宋体" w:hAnsi="宋体" w:cs="宋体"/>
          <w:color w:val="000000"/>
          <w:kern w:val="0"/>
          <w:sz w:val="18"/>
          <w:szCs w:val="18"/>
        </w:rPr>
        <w:sectPr>
          <w:footerReference r:id="rId14" w:type="first"/>
          <w:footerReference r:id="rId13" w:type="default"/>
          <w:pgSz w:w="16838" w:h="11906" w:orient="landscape"/>
          <w:pgMar w:top="1531" w:right="1440" w:bottom="1797" w:left="1440" w:header="851" w:footer="992" w:gutter="0"/>
          <w:pgNumType w:fmt="decimal" w:start="1"/>
          <w:cols w:space="425" w:num="1"/>
          <w:titlePg/>
          <w:docGrid w:type="lines" w:linePitch="312" w:charSpace="0"/>
        </w:sectPr>
      </w:pPr>
    </w:p>
    <w:tbl>
      <w:tblPr>
        <w:tblStyle w:val="12"/>
        <w:tblW w:w="14820" w:type="dxa"/>
        <w:tblInd w:w="93" w:type="dxa"/>
        <w:tblLayout w:type="fixed"/>
        <w:tblCellMar>
          <w:top w:w="0" w:type="dxa"/>
          <w:left w:w="108" w:type="dxa"/>
          <w:bottom w:w="0" w:type="dxa"/>
          <w:right w:w="108" w:type="dxa"/>
        </w:tblCellMar>
      </w:tblPr>
      <w:tblGrid>
        <w:gridCol w:w="1344"/>
        <w:gridCol w:w="2030"/>
        <w:gridCol w:w="1756"/>
        <w:gridCol w:w="2229"/>
        <w:gridCol w:w="654"/>
        <w:gridCol w:w="1213"/>
        <w:gridCol w:w="826"/>
        <w:gridCol w:w="1161"/>
        <w:gridCol w:w="613"/>
        <w:gridCol w:w="662"/>
        <w:gridCol w:w="2332"/>
      </w:tblGrid>
      <w:tr>
        <w:trPr>
          <w:trHeight w:val="574" w:hRule="atLeast"/>
        </w:trPr>
        <w:tc>
          <w:tcPr>
            <w:tcW w:w="1344" w:type="dxa"/>
            <w:vMerge w:val="restart"/>
            <w:tcBorders>
              <w:top w:val="nil"/>
              <w:left w:val="single" w:color="000000" w:sz="4" w:space="0"/>
              <w:right w:val="single" w:color="000000" w:sz="4" w:space="0"/>
            </w:tcBorders>
            <w:vAlign w:val="center"/>
          </w:tcPr>
          <w:p>
            <w:pPr>
              <w:pStyle w:val="2"/>
            </w:pPr>
          </w:p>
        </w:tc>
        <w:tc>
          <w:tcPr>
            <w:tcW w:w="2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1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22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科目调整次数</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3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足额保障率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时效指标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按时发放率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80"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经济效益指标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结余率（计算方法为：结余数/预算数）</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1121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95"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按照人社局工资审批表和人员工资档案，每月按时足额发放人员奖金。</w:t>
            </w:r>
          </w:p>
        </w:tc>
      </w:tr>
      <w:tr>
        <w:tblPrEx>
          <w:tblCellMar>
            <w:top w:w="0" w:type="dxa"/>
            <w:left w:w="108" w:type="dxa"/>
            <w:bottom w:w="0" w:type="dxa"/>
            <w:right w:w="108" w:type="dxa"/>
          </w:tblCellMar>
        </w:tblPrEx>
        <w:trPr>
          <w:trHeight w:val="514"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510"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315" w:hRule="atLeast"/>
        </w:trPr>
        <w:tc>
          <w:tcPr>
            <w:tcW w:w="801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项目负责人：熊文彬</w:t>
            </w:r>
          </w:p>
        </w:tc>
        <w:tc>
          <w:tcPr>
            <w:tcW w:w="6807"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财务负责人：刘敏</w:t>
            </w:r>
          </w:p>
        </w:tc>
      </w:tr>
      <w:tr>
        <w:tblPrEx>
          <w:tblCellMar>
            <w:top w:w="0" w:type="dxa"/>
            <w:left w:w="108" w:type="dxa"/>
            <w:bottom w:w="0" w:type="dxa"/>
            <w:right w:w="108" w:type="dxa"/>
          </w:tblCellMar>
        </w:tblPrEx>
        <w:trPr>
          <w:trHeight w:val="360" w:hRule="atLeast"/>
        </w:trPr>
        <w:tc>
          <w:tcPr>
            <w:tcW w:w="1344"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030"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756"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229"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54"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213"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826"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161"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13"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62"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332"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387" w:hRule="atLeast"/>
        </w:trPr>
        <w:tc>
          <w:tcPr>
            <w:tcW w:w="1482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部门预算项目支出绩效自评表（2022年度）</w:t>
            </w:r>
          </w:p>
        </w:tc>
      </w:tr>
      <w:tr>
        <w:tblPrEx>
          <w:tblCellMar>
            <w:top w:w="0" w:type="dxa"/>
            <w:left w:w="108" w:type="dxa"/>
            <w:bottom w:w="0" w:type="dxa"/>
            <w:right w:w="108" w:type="dxa"/>
          </w:tblCellMar>
        </w:tblPrEx>
        <w:trPr>
          <w:trHeight w:val="432"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51200221R000000026304-机关事业单位基本养老保险</w:t>
            </w:r>
          </w:p>
        </w:tc>
      </w:tr>
      <w:tr>
        <w:tblPrEx>
          <w:tblCellMar>
            <w:top w:w="0" w:type="dxa"/>
            <w:left w:w="108" w:type="dxa"/>
            <w:bottom w:w="0" w:type="dxa"/>
            <w:right w:w="108" w:type="dxa"/>
          </w:tblCellMar>
        </w:tblPrEx>
        <w:trPr>
          <w:trHeight w:val="471"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资阳市雁江区宝莲社区卫生服务中心本级</w:t>
            </w:r>
          </w:p>
        </w:tc>
        <w:tc>
          <w:tcPr>
            <w:tcW w:w="1161" w:type="dxa"/>
            <w:tcBorders>
              <w:top w:val="nil"/>
              <w:left w:val="nil"/>
              <w:bottom w:val="nil"/>
              <w:right w:val="nil"/>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实施单位 （盖章）</w:t>
            </w:r>
          </w:p>
        </w:tc>
        <w:tc>
          <w:tcPr>
            <w:tcW w:w="36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w:t>
            </w:r>
          </w:p>
        </w:tc>
      </w:tr>
      <w:tr>
        <w:tblPrEx>
          <w:tblCellMar>
            <w:top w:w="0" w:type="dxa"/>
            <w:left w:w="108" w:type="dxa"/>
            <w:bottom w:w="0" w:type="dxa"/>
            <w:right w:w="108" w:type="dxa"/>
          </w:tblCellMar>
        </w:tblPrEx>
        <w:trPr>
          <w:trHeight w:val="277"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203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Courier New" w:hAnsi="Courier New" w:cs="Courier New"/>
                <w:color w:val="000000"/>
                <w:kern w:val="0"/>
                <w:sz w:val="18"/>
                <w:szCs w:val="18"/>
              </w:rPr>
            </w:pPr>
            <w:r>
              <w:rPr>
                <w:rFonts w:ascii="Courier New" w:hAnsi="Courier New" w:cs="Courier New"/>
                <w:color w:val="000000"/>
                <w:kern w:val="0"/>
                <w:sz w:val="18"/>
                <w:szCs w:val="18"/>
              </w:rPr>
              <w:t>年度目标完成情况</w:t>
            </w:r>
          </w:p>
        </w:tc>
      </w:tr>
      <w:tr>
        <w:tblPrEx>
          <w:tblCellMar>
            <w:top w:w="0" w:type="dxa"/>
            <w:left w:w="108" w:type="dxa"/>
            <w:bottom w:w="0" w:type="dxa"/>
            <w:right w:w="108" w:type="dxa"/>
          </w:tblCellMar>
        </w:tblPrEx>
        <w:trPr>
          <w:trHeight w:val="437"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严格执行相关政策，每月按时足额缴纳职工基本养老保险。</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每月按时足额缴纳职工基本养老保险，预算执行率100%。</w:t>
            </w:r>
          </w:p>
        </w:tc>
      </w:tr>
      <w:tr>
        <w:tblPrEx>
          <w:tblCellMar>
            <w:top w:w="0" w:type="dxa"/>
            <w:left w:w="108" w:type="dxa"/>
            <w:bottom w:w="0" w:type="dxa"/>
            <w:right w:w="108" w:type="dxa"/>
          </w:tblCellMar>
        </w:tblPrEx>
        <w:trPr>
          <w:trHeight w:val="45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按照人事核定的职工基本养老保险缴纳数，每月足额按时缴纳职工基本养老保险。</w:t>
            </w:r>
          </w:p>
        </w:tc>
      </w:tr>
      <w:tr>
        <w:tblPrEx>
          <w:tblCellMar>
            <w:top w:w="0" w:type="dxa"/>
            <w:left w:w="108" w:type="dxa"/>
            <w:bottom w:w="0" w:type="dxa"/>
            <w:right w:w="108" w:type="dxa"/>
          </w:tblCellMar>
        </w:tblPrEx>
        <w:trPr>
          <w:trHeight w:val="338" w:hRule="atLeast"/>
        </w:trPr>
        <w:tc>
          <w:tcPr>
            <w:tcW w:w="1344" w:type="dxa"/>
            <w:vMerge w:val="restart"/>
            <w:tcBorders>
              <w:top w:val="nil"/>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auto" w:sz="4" w:space="0"/>
              <w:bottom w:val="single" w:color="auto"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756"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1.71</w:t>
            </w:r>
          </w:p>
        </w:tc>
        <w:tc>
          <w:tcPr>
            <w:tcW w:w="2693" w:type="dxa"/>
            <w:gridSpan w:val="3"/>
            <w:tcBorders>
              <w:top w:val="single" w:color="000000"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1.71</w:t>
            </w:r>
          </w:p>
        </w:tc>
        <w:tc>
          <w:tcPr>
            <w:tcW w:w="1161"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662"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vMerge w:val="restart"/>
            <w:tcBorders>
              <w:top w:val="nil"/>
              <w:left w:val="single" w:color="000000"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2022年新成立单位</w:t>
            </w:r>
          </w:p>
        </w:tc>
      </w:tr>
      <w:tr>
        <w:tblPrEx>
          <w:tblCellMar>
            <w:top w:w="0" w:type="dxa"/>
            <w:left w:w="108" w:type="dxa"/>
            <w:bottom w:w="0" w:type="dxa"/>
            <w:right w:w="108" w:type="dxa"/>
          </w:tblCellMar>
        </w:tblPrEx>
        <w:trPr>
          <w:trHeight w:val="604" w:hRule="atLeast"/>
        </w:trPr>
        <w:tc>
          <w:tcPr>
            <w:tcW w:w="134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756"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1.71</w:t>
            </w:r>
          </w:p>
        </w:tc>
        <w:tc>
          <w:tcPr>
            <w:tcW w:w="2693" w:type="dxa"/>
            <w:gridSpan w:val="3"/>
            <w:tcBorders>
              <w:top w:val="single" w:color="auto" w:sz="4" w:space="0"/>
              <w:left w:val="nil"/>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1.71</w:t>
            </w:r>
          </w:p>
        </w:tc>
        <w:tc>
          <w:tcPr>
            <w:tcW w:w="1161" w:type="dxa"/>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single" w:color="auto" w:sz="4" w:space="0"/>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574" w:hRule="atLeast"/>
        </w:trPr>
        <w:tc>
          <w:tcPr>
            <w:tcW w:w="13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030" w:type="dxa"/>
            <w:tcBorders>
              <w:top w:val="nil"/>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756"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634" w:hRule="atLeast"/>
        </w:trPr>
        <w:tc>
          <w:tcPr>
            <w:tcW w:w="134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756"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single" w:color="auto" w:sz="4" w:space="0"/>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756"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229"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693" w:type="dxa"/>
            <w:gridSpan w:val="3"/>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80"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2030" w:type="dxa"/>
            <w:tcBorders>
              <w:top w:val="nil"/>
              <w:left w:val="single" w:color="000000" w:sz="4" w:space="0"/>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756"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2229"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54"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1213"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826"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161"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613"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trHeight w:val="90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1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22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科目调整次数</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足额保障率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51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时效指标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按时发放率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4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经济效益指标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结余率（计算方法为：结余数/预算数）</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709" w:hRule="atLeast"/>
        </w:trPr>
        <w:tc>
          <w:tcPr>
            <w:tcW w:w="1121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94"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按照人事核定的职工基本养老保险缴纳数，每月足额按时缴纳职工基本养老保险。</w:t>
            </w:r>
          </w:p>
        </w:tc>
      </w:tr>
      <w:tr>
        <w:tblPrEx>
          <w:tblCellMar>
            <w:top w:w="0" w:type="dxa"/>
            <w:left w:w="108" w:type="dxa"/>
            <w:bottom w:w="0" w:type="dxa"/>
            <w:right w:w="108" w:type="dxa"/>
          </w:tblCellMar>
        </w:tblPrEx>
        <w:trPr>
          <w:trHeight w:val="705"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387"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432" w:hRule="atLeast"/>
        </w:trPr>
        <w:tc>
          <w:tcPr>
            <w:tcW w:w="801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项目负责人：熊文彬</w:t>
            </w:r>
          </w:p>
        </w:tc>
        <w:tc>
          <w:tcPr>
            <w:tcW w:w="6807"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财务负责人：刘敏</w:t>
            </w:r>
          </w:p>
        </w:tc>
      </w:tr>
    </w:tbl>
    <w:p>
      <w:pPr>
        <w:widowControl/>
        <w:jc w:val="center"/>
        <w:rPr>
          <w:rFonts w:hint="eastAsia" w:ascii="黑体" w:hAnsi="黑体" w:eastAsia="黑体" w:cs="宋体"/>
          <w:b/>
          <w:bCs/>
          <w:color w:val="000000"/>
          <w:kern w:val="0"/>
          <w:sz w:val="30"/>
          <w:szCs w:val="30"/>
        </w:rPr>
        <w:sectPr>
          <w:footerReference r:id="rId16" w:type="first"/>
          <w:footerReference r:id="rId15" w:type="default"/>
          <w:pgSz w:w="16838" w:h="11906" w:orient="landscape"/>
          <w:pgMar w:top="1531" w:right="1440" w:bottom="1797" w:left="1440" w:header="851" w:footer="992" w:gutter="0"/>
          <w:pgNumType w:fmt="decimal" w:start="1"/>
          <w:cols w:space="425" w:num="1"/>
          <w:titlePg/>
          <w:docGrid w:type="lines" w:linePitch="312" w:charSpace="0"/>
        </w:sectPr>
      </w:pPr>
    </w:p>
    <w:tbl>
      <w:tblPr>
        <w:tblStyle w:val="12"/>
        <w:tblW w:w="14820" w:type="dxa"/>
        <w:tblInd w:w="93" w:type="dxa"/>
        <w:tblLayout w:type="fixed"/>
        <w:tblCellMar>
          <w:top w:w="0" w:type="dxa"/>
          <w:left w:w="108" w:type="dxa"/>
          <w:bottom w:w="0" w:type="dxa"/>
          <w:right w:w="108" w:type="dxa"/>
        </w:tblCellMar>
      </w:tblPr>
      <w:tblGrid>
        <w:gridCol w:w="1344"/>
        <w:gridCol w:w="2030"/>
        <w:gridCol w:w="1756"/>
        <w:gridCol w:w="2229"/>
        <w:gridCol w:w="654"/>
        <w:gridCol w:w="1213"/>
        <w:gridCol w:w="826"/>
        <w:gridCol w:w="1161"/>
        <w:gridCol w:w="613"/>
        <w:gridCol w:w="662"/>
        <w:gridCol w:w="2332"/>
      </w:tblGrid>
      <w:tr>
        <w:tblPrEx>
          <w:tblCellMar>
            <w:top w:w="0" w:type="dxa"/>
            <w:left w:w="108" w:type="dxa"/>
            <w:bottom w:w="0" w:type="dxa"/>
            <w:right w:w="108" w:type="dxa"/>
          </w:tblCellMar>
        </w:tblPrEx>
        <w:trPr>
          <w:trHeight w:val="402" w:hRule="atLeast"/>
        </w:trPr>
        <w:tc>
          <w:tcPr>
            <w:tcW w:w="1482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部门预算项目支出绩效自评表（2022年度）</w:t>
            </w:r>
          </w:p>
        </w:tc>
      </w:tr>
      <w:tr>
        <w:tblPrEx>
          <w:tblCellMar>
            <w:top w:w="0" w:type="dxa"/>
            <w:left w:w="108" w:type="dxa"/>
            <w:bottom w:w="0" w:type="dxa"/>
            <w:right w:w="108" w:type="dxa"/>
          </w:tblCellMar>
        </w:tblPrEx>
        <w:trPr>
          <w:trHeight w:val="379"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51200221R000000026306-事业基本医疗保险</w:t>
            </w:r>
          </w:p>
        </w:tc>
      </w:tr>
      <w:tr>
        <w:tblPrEx>
          <w:tblCellMar>
            <w:top w:w="0" w:type="dxa"/>
            <w:left w:w="108" w:type="dxa"/>
            <w:bottom w:w="0" w:type="dxa"/>
            <w:right w:w="108" w:type="dxa"/>
          </w:tblCellMar>
        </w:tblPrEx>
        <w:trPr>
          <w:trHeight w:val="454"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资阳市雁江区宝莲社区卫生服务中心本级</w:t>
            </w:r>
          </w:p>
        </w:tc>
        <w:tc>
          <w:tcPr>
            <w:tcW w:w="1161" w:type="dxa"/>
            <w:tcBorders>
              <w:top w:val="nil"/>
              <w:left w:val="nil"/>
              <w:bottom w:val="nil"/>
              <w:right w:val="nil"/>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实施单位 （盖章）</w:t>
            </w:r>
          </w:p>
        </w:tc>
        <w:tc>
          <w:tcPr>
            <w:tcW w:w="36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w:t>
            </w:r>
          </w:p>
        </w:tc>
      </w:tr>
      <w:tr>
        <w:tblPrEx>
          <w:tblCellMar>
            <w:top w:w="0" w:type="dxa"/>
            <w:left w:w="108" w:type="dxa"/>
            <w:bottom w:w="0" w:type="dxa"/>
            <w:right w:w="108" w:type="dxa"/>
          </w:tblCellMar>
        </w:tblPrEx>
        <w:trPr>
          <w:trHeight w:val="525"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203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Courier New" w:hAnsi="Courier New" w:cs="Courier New"/>
                <w:color w:val="000000"/>
                <w:kern w:val="0"/>
                <w:sz w:val="18"/>
                <w:szCs w:val="18"/>
              </w:rPr>
            </w:pPr>
            <w:r>
              <w:rPr>
                <w:rFonts w:ascii="Courier New" w:hAnsi="Courier New" w:cs="Courier New"/>
                <w:color w:val="000000"/>
                <w:kern w:val="0"/>
                <w:sz w:val="18"/>
                <w:szCs w:val="18"/>
              </w:rPr>
              <w:t>年度目标完成情况</w:t>
            </w:r>
          </w:p>
        </w:tc>
      </w:tr>
      <w:tr>
        <w:tblPrEx>
          <w:tblCellMar>
            <w:top w:w="0" w:type="dxa"/>
            <w:left w:w="108" w:type="dxa"/>
            <w:bottom w:w="0" w:type="dxa"/>
            <w:right w:w="108" w:type="dxa"/>
          </w:tblCellMar>
        </w:tblPrEx>
        <w:trPr>
          <w:trHeight w:val="540"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严格执行相关政策，每月按时足额缴纳职工基本医疗保险。</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每月按时足额缴纳职工基本医疗保险，预算执行率100%。</w:t>
            </w:r>
          </w:p>
        </w:tc>
      </w:tr>
      <w:tr>
        <w:tblPrEx>
          <w:tblCellMar>
            <w:top w:w="0" w:type="dxa"/>
            <w:left w:w="108" w:type="dxa"/>
            <w:bottom w:w="0" w:type="dxa"/>
            <w:right w:w="108" w:type="dxa"/>
          </w:tblCellMar>
        </w:tblPrEx>
        <w:trPr>
          <w:trHeight w:val="60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按照人事核定的职工基本医疗保险缴纳数，每月足额按时缴纳职工基本医疗保险。</w:t>
            </w:r>
          </w:p>
        </w:tc>
      </w:tr>
      <w:tr>
        <w:tblPrEx>
          <w:tblCellMar>
            <w:top w:w="0" w:type="dxa"/>
            <w:left w:w="108" w:type="dxa"/>
            <w:bottom w:w="0" w:type="dxa"/>
            <w:right w:w="108" w:type="dxa"/>
          </w:tblCellMar>
        </w:tblPrEx>
        <w:trPr>
          <w:trHeight w:val="574"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trHeight w:val="63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2022年新成立单位</w:t>
            </w: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629"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514"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2030" w:type="dxa"/>
            <w:tcBorders>
              <w:top w:val="nil"/>
              <w:left w:val="single" w:color="000000" w:sz="4" w:space="0"/>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756"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2229"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54"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1213"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826"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161"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613"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1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22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科目调整次数</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4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足额保障率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时效指标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按时发放率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60" w:hRule="atLeast"/>
        </w:trPr>
        <w:tc>
          <w:tcPr>
            <w:tcW w:w="1344" w:type="dxa"/>
            <w:vMerge w:val="continue"/>
            <w:tcBorders>
              <w:top w:val="nil"/>
              <w:left w:val="single" w:color="000000" w:sz="4" w:space="0"/>
              <w:bottom w:val="single" w:color="auto"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经济效益指标</w:t>
            </w:r>
          </w:p>
        </w:tc>
        <w:tc>
          <w:tcPr>
            <w:tcW w:w="22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结余率（计算方法为：结余数/预算数）</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87" w:hRule="atLeast"/>
        </w:trPr>
        <w:tc>
          <w:tcPr>
            <w:tcW w:w="11213" w:type="dxa"/>
            <w:gridSpan w:val="8"/>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613" w:type="dxa"/>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2" w:type="dxa"/>
            <w:tcBorders>
              <w:top w:val="single" w:color="auto"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tcBorders>
              <w:top w:val="single" w:color="auto" w:sz="4" w:space="0"/>
              <w:left w:val="nil"/>
              <w:bottom w:val="single" w:color="000000"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32" w:hRule="atLeast"/>
        </w:trPr>
        <w:tc>
          <w:tcPr>
            <w:tcW w:w="1344" w:type="dxa"/>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13476" w:type="dxa"/>
            <w:gridSpan w:val="10"/>
            <w:tcBorders>
              <w:top w:val="single" w:color="000000" w:sz="4" w:space="0"/>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按照人事核定的职工基本医疗保险缴纳数，每月足额按时缴纳职工基本医疗保险。</w:t>
            </w:r>
          </w:p>
        </w:tc>
      </w:tr>
      <w:tr>
        <w:tblPrEx>
          <w:tblCellMar>
            <w:top w:w="0" w:type="dxa"/>
            <w:left w:w="108" w:type="dxa"/>
            <w:bottom w:w="0" w:type="dxa"/>
            <w:right w:w="108" w:type="dxa"/>
          </w:tblCellMar>
        </w:tblPrEx>
        <w:trPr>
          <w:trHeight w:val="447" w:hRule="atLeast"/>
        </w:trPr>
        <w:tc>
          <w:tcPr>
            <w:tcW w:w="1344" w:type="dxa"/>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13476" w:type="dxa"/>
            <w:gridSpan w:val="10"/>
            <w:tcBorders>
              <w:top w:val="single" w:color="000000" w:sz="4" w:space="0"/>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402" w:hRule="atLeast"/>
        </w:trPr>
        <w:tc>
          <w:tcPr>
            <w:tcW w:w="13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13476" w:type="dxa"/>
            <w:gridSpan w:val="10"/>
            <w:tcBorders>
              <w:top w:val="single" w:color="000000"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379" w:hRule="atLeast"/>
        </w:trPr>
        <w:tc>
          <w:tcPr>
            <w:tcW w:w="8013" w:type="dxa"/>
            <w:gridSpan w:val="5"/>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项目负责人：熊文彬</w:t>
            </w:r>
          </w:p>
        </w:tc>
        <w:tc>
          <w:tcPr>
            <w:tcW w:w="6807" w:type="dxa"/>
            <w:gridSpan w:val="6"/>
            <w:tcBorders>
              <w:top w:val="single" w:color="auto" w:sz="4" w:space="0"/>
              <w:left w:val="nil"/>
              <w:bottom w:val="single" w:color="000000" w:sz="4" w:space="0"/>
              <w:right w:val="single" w:color="auto"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财务负责人：刘敏</w:t>
            </w:r>
          </w:p>
        </w:tc>
      </w:tr>
      <w:tr>
        <w:tblPrEx>
          <w:tblCellMar>
            <w:top w:w="0" w:type="dxa"/>
            <w:left w:w="108" w:type="dxa"/>
            <w:bottom w:w="0" w:type="dxa"/>
            <w:right w:w="108" w:type="dxa"/>
          </w:tblCellMar>
        </w:tblPrEx>
        <w:trPr>
          <w:trHeight w:val="454" w:hRule="atLeast"/>
        </w:trPr>
        <w:tc>
          <w:tcPr>
            <w:tcW w:w="1344"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030"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756" w:type="dxa"/>
            <w:tcBorders>
              <w:top w:val="nil"/>
              <w:left w:val="nil"/>
              <w:bottom w:val="nil"/>
              <w:right w:val="single" w:color="auto" w:sz="4" w:space="0"/>
            </w:tcBorders>
            <w:shd w:val="clear" w:color="auto" w:fill="auto"/>
            <w:vAlign w:val="center"/>
          </w:tcPr>
          <w:p>
            <w:pPr>
              <w:widowControl/>
              <w:jc w:val="left"/>
              <w:rPr>
                <w:rFonts w:ascii="宋体" w:hAnsi="宋体" w:cs="宋体"/>
                <w:kern w:val="0"/>
                <w:sz w:val="18"/>
                <w:szCs w:val="18"/>
              </w:rPr>
            </w:pPr>
          </w:p>
        </w:tc>
        <w:tc>
          <w:tcPr>
            <w:tcW w:w="2229" w:type="dxa"/>
            <w:tcBorders>
              <w:top w:val="nil"/>
              <w:left w:val="single" w:color="auto" w:sz="4" w:space="0"/>
              <w:bottom w:val="single" w:color="auto" w:sz="4" w:space="0"/>
              <w:right w:val="nil"/>
            </w:tcBorders>
            <w:shd w:val="clear" w:color="auto" w:fill="auto"/>
            <w:vAlign w:val="center"/>
          </w:tcPr>
          <w:p>
            <w:pPr>
              <w:widowControl/>
              <w:jc w:val="left"/>
              <w:rPr>
                <w:rFonts w:ascii="宋体" w:hAnsi="宋体" w:cs="宋体"/>
                <w:kern w:val="0"/>
                <w:sz w:val="18"/>
                <w:szCs w:val="18"/>
              </w:rPr>
            </w:pPr>
          </w:p>
        </w:tc>
        <w:tc>
          <w:tcPr>
            <w:tcW w:w="654" w:type="dxa"/>
            <w:tcBorders>
              <w:top w:val="nil"/>
              <w:left w:val="nil"/>
              <w:bottom w:val="single" w:color="auto" w:sz="4" w:space="0"/>
              <w:right w:val="nil"/>
            </w:tcBorders>
            <w:shd w:val="clear" w:color="auto" w:fill="auto"/>
            <w:vAlign w:val="center"/>
          </w:tcPr>
          <w:p>
            <w:pPr>
              <w:widowControl/>
              <w:jc w:val="left"/>
              <w:rPr>
                <w:rFonts w:ascii="宋体" w:hAnsi="宋体" w:cs="宋体"/>
                <w:kern w:val="0"/>
                <w:sz w:val="18"/>
                <w:szCs w:val="18"/>
              </w:rPr>
            </w:pPr>
          </w:p>
        </w:tc>
        <w:tc>
          <w:tcPr>
            <w:tcW w:w="1213" w:type="dxa"/>
            <w:tcBorders>
              <w:top w:val="nil"/>
              <w:left w:val="nil"/>
              <w:bottom w:val="single" w:color="auto" w:sz="4" w:space="0"/>
              <w:right w:val="nil"/>
            </w:tcBorders>
            <w:shd w:val="clear" w:color="auto" w:fill="auto"/>
            <w:vAlign w:val="center"/>
          </w:tcPr>
          <w:p>
            <w:pPr>
              <w:widowControl/>
              <w:jc w:val="left"/>
              <w:rPr>
                <w:rFonts w:ascii="宋体" w:hAnsi="宋体" w:cs="宋体"/>
                <w:kern w:val="0"/>
                <w:sz w:val="18"/>
                <w:szCs w:val="18"/>
              </w:rPr>
            </w:pPr>
          </w:p>
        </w:tc>
        <w:tc>
          <w:tcPr>
            <w:tcW w:w="826" w:type="dxa"/>
            <w:tcBorders>
              <w:top w:val="nil"/>
              <w:left w:val="nil"/>
              <w:bottom w:val="single" w:color="auto" w:sz="4" w:space="0"/>
              <w:right w:val="nil"/>
            </w:tcBorders>
            <w:shd w:val="clear" w:color="auto" w:fill="auto"/>
            <w:vAlign w:val="center"/>
          </w:tcPr>
          <w:p>
            <w:pPr>
              <w:widowControl/>
              <w:jc w:val="left"/>
              <w:rPr>
                <w:rFonts w:ascii="宋体" w:hAnsi="宋体" w:cs="宋体"/>
                <w:kern w:val="0"/>
                <w:sz w:val="18"/>
                <w:szCs w:val="18"/>
              </w:rPr>
            </w:pPr>
          </w:p>
        </w:tc>
        <w:tc>
          <w:tcPr>
            <w:tcW w:w="116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p>
        </w:tc>
        <w:tc>
          <w:tcPr>
            <w:tcW w:w="613" w:type="dxa"/>
            <w:tcBorders>
              <w:top w:val="nil"/>
              <w:left w:val="single" w:color="auto" w:sz="4" w:space="0"/>
              <w:bottom w:val="nil"/>
              <w:right w:val="nil"/>
            </w:tcBorders>
            <w:shd w:val="clear" w:color="auto" w:fill="auto"/>
            <w:vAlign w:val="center"/>
          </w:tcPr>
          <w:p>
            <w:pPr>
              <w:widowControl/>
              <w:jc w:val="left"/>
              <w:rPr>
                <w:rFonts w:ascii="宋体" w:hAnsi="宋体" w:cs="宋体"/>
                <w:kern w:val="0"/>
                <w:sz w:val="18"/>
                <w:szCs w:val="18"/>
              </w:rPr>
            </w:pPr>
          </w:p>
        </w:tc>
        <w:tc>
          <w:tcPr>
            <w:tcW w:w="662"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332"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338" w:hRule="atLeast"/>
        </w:trPr>
        <w:tc>
          <w:tcPr>
            <w:tcW w:w="1482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部门预算项目支出绩效自评表（2022年度）</w:t>
            </w:r>
          </w:p>
        </w:tc>
      </w:tr>
      <w:tr>
        <w:tblPrEx>
          <w:tblCellMar>
            <w:top w:w="0" w:type="dxa"/>
            <w:left w:w="108" w:type="dxa"/>
            <w:bottom w:w="0" w:type="dxa"/>
            <w:right w:w="108" w:type="dxa"/>
          </w:tblCellMar>
        </w:tblPrEx>
        <w:trPr>
          <w:trHeight w:val="285"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51200221R000000026307-公务员医疗补助</w:t>
            </w:r>
          </w:p>
        </w:tc>
      </w:tr>
      <w:tr>
        <w:tblPrEx>
          <w:tblCellMar>
            <w:top w:w="0" w:type="dxa"/>
            <w:left w:w="108" w:type="dxa"/>
            <w:bottom w:w="0" w:type="dxa"/>
            <w:right w:w="108" w:type="dxa"/>
          </w:tblCellMar>
        </w:tblPrEx>
        <w:trPr>
          <w:trHeight w:val="604"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资阳市雁江区宝莲社区卫生服务中心本级</w:t>
            </w:r>
          </w:p>
        </w:tc>
        <w:tc>
          <w:tcPr>
            <w:tcW w:w="1161" w:type="dxa"/>
            <w:tcBorders>
              <w:top w:val="nil"/>
              <w:left w:val="nil"/>
              <w:bottom w:val="nil"/>
              <w:right w:val="nil"/>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实施单位 （盖章）</w:t>
            </w:r>
          </w:p>
        </w:tc>
        <w:tc>
          <w:tcPr>
            <w:tcW w:w="36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w:t>
            </w:r>
          </w:p>
        </w:tc>
      </w:tr>
      <w:tr>
        <w:tblPrEx>
          <w:tblCellMar>
            <w:top w:w="0" w:type="dxa"/>
            <w:left w:w="108" w:type="dxa"/>
            <w:bottom w:w="0" w:type="dxa"/>
            <w:right w:w="108" w:type="dxa"/>
          </w:tblCellMar>
        </w:tblPrEx>
        <w:trPr>
          <w:trHeight w:val="574"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203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Courier New" w:hAnsi="Courier New" w:cs="Courier New"/>
                <w:color w:val="000000"/>
                <w:kern w:val="0"/>
                <w:sz w:val="18"/>
                <w:szCs w:val="18"/>
              </w:rPr>
            </w:pPr>
            <w:r>
              <w:rPr>
                <w:rFonts w:ascii="Courier New" w:hAnsi="Courier New" w:cs="Courier New"/>
                <w:color w:val="000000"/>
                <w:kern w:val="0"/>
                <w:sz w:val="18"/>
                <w:szCs w:val="18"/>
              </w:rPr>
              <w:t>年度目标完成情况</w:t>
            </w:r>
          </w:p>
        </w:tc>
      </w:tr>
      <w:tr>
        <w:tblPrEx>
          <w:tblCellMar>
            <w:top w:w="0" w:type="dxa"/>
            <w:left w:w="108" w:type="dxa"/>
            <w:bottom w:w="0" w:type="dxa"/>
            <w:right w:w="108" w:type="dxa"/>
          </w:tblCellMar>
        </w:tblPrEx>
        <w:trPr>
          <w:trHeight w:val="63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严格执行相关政策，每月按时足额缴纳职工公务员医疗补助。</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每月按时足额缴纳职工基本医疗保险，预算执行率100%。</w:t>
            </w:r>
          </w:p>
        </w:tc>
      </w:tr>
      <w:tr>
        <w:tblPrEx>
          <w:tblCellMar>
            <w:top w:w="0" w:type="dxa"/>
            <w:left w:w="108" w:type="dxa"/>
            <w:bottom w:w="0" w:type="dxa"/>
            <w:right w:w="108" w:type="dxa"/>
          </w:tblCellMar>
        </w:tblPrEx>
        <w:trPr>
          <w:trHeight w:val="70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按照人事核定的职工公务员医疗补助缴纳数，每月足额按时缴纳职工公务员医疗补助。</w:t>
            </w:r>
          </w:p>
        </w:tc>
      </w:tr>
      <w:tr>
        <w:tblPrEx>
          <w:tblCellMar>
            <w:top w:w="0" w:type="dxa"/>
            <w:left w:w="108" w:type="dxa"/>
            <w:bottom w:w="0" w:type="dxa"/>
            <w:right w:w="108" w:type="dxa"/>
          </w:tblCellMar>
        </w:tblPrEx>
        <w:trPr>
          <w:trHeight w:val="412"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trHeight w:val="391"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0.11</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0.11</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2022年新成立单位</w:t>
            </w:r>
          </w:p>
        </w:tc>
      </w:tr>
      <w:tr>
        <w:tblPrEx>
          <w:tblCellMar>
            <w:top w:w="0" w:type="dxa"/>
            <w:left w:w="108" w:type="dxa"/>
            <w:bottom w:w="0" w:type="dxa"/>
            <w:right w:w="108" w:type="dxa"/>
          </w:tblCellMar>
        </w:tblPrEx>
        <w:trPr>
          <w:trHeight w:val="387"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0.11</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0.11</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387"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34" w:hRule="atLeast"/>
        </w:trPr>
        <w:tc>
          <w:tcPr>
            <w:tcW w:w="1344" w:type="dxa"/>
            <w:vMerge w:val="continue"/>
            <w:tcBorders>
              <w:top w:val="nil"/>
              <w:left w:val="single" w:color="000000" w:sz="4" w:space="0"/>
              <w:bottom w:val="single" w:color="auto"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756" w:type="dxa"/>
            <w:tcBorders>
              <w:top w:val="nil"/>
              <w:left w:val="nil"/>
              <w:bottom w:val="single" w:color="auto"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229" w:type="dxa"/>
            <w:tcBorders>
              <w:top w:val="nil"/>
              <w:left w:val="nil"/>
              <w:bottom w:val="single" w:color="auto"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693" w:type="dxa"/>
            <w:gridSpan w:val="3"/>
            <w:tcBorders>
              <w:top w:val="single" w:color="000000" w:sz="4" w:space="0"/>
              <w:left w:val="nil"/>
              <w:bottom w:val="single" w:color="auto"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61" w:type="dxa"/>
            <w:tcBorders>
              <w:top w:val="nil"/>
              <w:left w:val="nil"/>
              <w:bottom w:val="single" w:color="auto"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613"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auto" w:sz="4" w:space="0"/>
              <w:right w:val="single" w:color="000000" w:sz="4" w:space="0"/>
            </w:tcBorders>
            <w:vAlign w:val="center"/>
          </w:tcPr>
          <w:p>
            <w:pPr>
              <w:widowControl/>
              <w:jc w:val="left"/>
              <w:rPr>
                <w:rFonts w:ascii="宋体" w:hAnsi="宋体" w:cs="宋体"/>
                <w:color w:val="000000"/>
                <w:kern w:val="0"/>
                <w:sz w:val="18"/>
                <w:szCs w:val="18"/>
              </w:rPr>
            </w:pPr>
          </w:p>
        </w:tc>
      </w:tr>
    </w:tbl>
    <w:p>
      <w:pPr>
        <w:widowControl/>
        <w:jc w:val="center"/>
        <w:rPr>
          <w:rFonts w:hint="eastAsia" w:ascii="宋体" w:hAnsi="宋体" w:cs="宋体"/>
          <w:color w:val="000000"/>
          <w:kern w:val="0"/>
          <w:sz w:val="18"/>
          <w:szCs w:val="18"/>
        </w:rPr>
        <w:sectPr>
          <w:footerReference r:id="rId18" w:type="first"/>
          <w:footerReference r:id="rId17" w:type="default"/>
          <w:pgSz w:w="16838" w:h="11906" w:orient="landscape"/>
          <w:pgMar w:top="1531" w:right="1440" w:bottom="1797" w:left="1440" w:header="851" w:footer="992" w:gutter="0"/>
          <w:pgNumType w:fmt="decimal" w:start="1"/>
          <w:cols w:space="425" w:num="1"/>
          <w:titlePg/>
          <w:docGrid w:type="lines" w:linePitch="312" w:charSpace="0"/>
        </w:sectPr>
      </w:pPr>
    </w:p>
    <w:tbl>
      <w:tblPr>
        <w:tblStyle w:val="12"/>
        <w:tblW w:w="14820" w:type="dxa"/>
        <w:tblInd w:w="93" w:type="dxa"/>
        <w:tblLayout w:type="fixed"/>
        <w:tblCellMar>
          <w:top w:w="0" w:type="dxa"/>
          <w:left w:w="108" w:type="dxa"/>
          <w:bottom w:w="0" w:type="dxa"/>
          <w:right w:w="108" w:type="dxa"/>
        </w:tblCellMar>
      </w:tblPr>
      <w:tblGrid>
        <w:gridCol w:w="1344"/>
        <w:gridCol w:w="2030"/>
        <w:gridCol w:w="1756"/>
        <w:gridCol w:w="2229"/>
        <w:gridCol w:w="654"/>
        <w:gridCol w:w="1213"/>
        <w:gridCol w:w="826"/>
        <w:gridCol w:w="1161"/>
        <w:gridCol w:w="613"/>
        <w:gridCol w:w="662"/>
        <w:gridCol w:w="2332"/>
      </w:tblGrid>
      <w:tr>
        <w:tblPrEx>
          <w:tblCellMar>
            <w:top w:w="0" w:type="dxa"/>
            <w:left w:w="108" w:type="dxa"/>
            <w:bottom w:w="0" w:type="dxa"/>
            <w:right w:w="108" w:type="dxa"/>
          </w:tblCellMar>
        </w:tblPrEx>
        <w:trPr>
          <w:trHeight w:val="694" w:hRule="atLeast"/>
        </w:trPr>
        <w:tc>
          <w:tcPr>
            <w:tcW w:w="1344"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2030" w:type="dxa"/>
            <w:tcBorders>
              <w:top w:val="single" w:color="auto" w:sz="4" w:space="0"/>
              <w:left w:val="single" w:color="000000" w:sz="4" w:space="0"/>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756" w:type="dxa"/>
            <w:tcBorders>
              <w:top w:val="single" w:color="auto" w:sz="4" w:space="0"/>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2229" w:type="dxa"/>
            <w:tcBorders>
              <w:top w:val="single" w:color="auto" w:sz="4" w:space="0"/>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54" w:type="dxa"/>
            <w:tcBorders>
              <w:top w:val="single" w:color="auto" w:sz="4" w:space="0"/>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1213" w:type="dxa"/>
            <w:tcBorders>
              <w:top w:val="single" w:color="auto" w:sz="4" w:space="0"/>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826" w:type="dxa"/>
            <w:tcBorders>
              <w:top w:val="single" w:color="auto" w:sz="4" w:space="0"/>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161" w:type="dxa"/>
            <w:tcBorders>
              <w:top w:val="single" w:color="auto" w:sz="4" w:space="0"/>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613" w:type="dxa"/>
            <w:tcBorders>
              <w:top w:val="single" w:color="auto" w:sz="4" w:space="0"/>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single" w:color="auto" w:sz="4" w:space="0"/>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single" w:color="auto" w:sz="4" w:space="0"/>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trHeight w:val="360"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1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22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科目调整次数</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87"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足额保障率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32" w:hRule="atLeast"/>
        </w:trPr>
        <w:tc>
          <w:tcPr>
            <w:tcW w:w="1344" w:type="dxa"/>
            <w:vMerge w:val="continue"/>
            <w:tcBorders>
              <w:top w:val="nil"/>
              <w:left w:val="single" w:color="auto" w:sz="4" w:space="0"/>
              <w:bottom w:val="single" w:color="auto"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时效指标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按时发放率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47" w:hRule="atLeast"/>
        </w:trPr>
        <w:tc>
          <w:tcPr>
            <w:tcW w:w="1344"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175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经济效益指标</w:t>
            </w:r>
          </w:p>
        </w:tc>
        <w:tc>
          <w:tcPr>
            <w:tcW w:w="22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结余率（计算方法为：结余数/预算数）</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02" w:hRule="atLeast"/>
        </w:trPr>
        <w:tc>
          <w:tcPr>
            <w:tcW w:w="1121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79"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按照人事核定的职工公务员医疗补助缴纳数，每月足额按时缴纳职工公务员医疗补助。</w:t>
            </w:r>
          </w:p>
        </w:tc>
      </w:tr>
      <w:tr>
        <w:tblPrEx>
          <w:tblCellMar>
            <w:top w:w="0" w:type="dxa"/>
            <w:left w:w="108" w:type="dxa"/>
            <w:bottom w:w="0" w:type="dxa"/>
            <w:right w:w="108" w:type="dxa"/>
          </w:tblCellMar>
        </w:tblPrEx>
        <w:trPr>
          <w:trHeight w:val="454"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338"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285" w:hRule="atLeast"/>
        </w:trPr>
        <w:tc>
          <w:tcPr>
            <w:tcW w:w="801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项目负责人：熊文彬</w:t>
            </w:r>
          </w:p>
        </w:tc>
        <w:tc>
          <w:tcPr>
            <w:tcW w:w="6807"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财务负责人：刘敏</w:t>
            </w:r>
          </w:p>
        </w:tc>
      </w:tr>
      <w:tr>
        <w:tblPrEx>
          <w:tblCellMar>
            <w:top w:w="0" w:type="dxa"/>
            <w:left w:w="108" w:type="dxa"/>
            <w:bottom w:w="0" w:type="dxa"/>
            <w:right w:w="108" w:type="dxa"/>
          </w:tblCellMar>
        </w:tblPrEx>
        <w:trPr>
          <w:trHeight w:val="604" w:hRule="atLeast"/>
        </w:trPr>
        <w:tc>
          <w:tcPr>
            <w:tcW w:w="1344"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030"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756"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229"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54"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213"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826"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161"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13"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62"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332"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574" w:hRule="atLeast"/>
        </w:trPr>
        <w:tc>
          <w:tcPr>
            <w:tcW w:w="1482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部门预算项目支出绩效自评表（2022年度）</w:t>
            </w:r>
          </w:p>
        </w:tc>
      </w:tr>
      <w:tr>
        <w:tblPrEx>
          <w:tblCellMar>
            <w:top w:w="0" w:type="dxa"/>
            <w:left w:w="108" w:type="dxa"/>
            <w:bottom w:w="0" w:type="dxa"/>
            <w:right w:w="108" w:type="dxa"/>
          </w:tblCellMar>
        </w:tblPrEx>
        <w:trPr>
          <w:trHeight w:val="536"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51200221R000000026308-失业保险</w:t>
            </w:r>
          </w:p>
        </w:tc>
      </w:tr>
      <w:tr>
        <w:tblPrEx>
          <w:tblCellMar>
            <w:top w:w="0" w:type="dxa"/>
            <w:left w:w="108" w:type="dxa"/>
            <w:bottom w:w="0" w:type="dxa"/>
            <w:right w:w="108" w:type="dxa"/>
          </w:tblCellMar>
        </w:tblPrEx>
        <w:trPr>
          <w:trHeight w:val="285"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资阳市雁江区宝莲社区卫生服务中心本级</w:t>
            </w:r>
          </w:p>
        </w:tc>
        <w:tc>
          <w:tcPr>
            <w:tcW w:w="1161" w:type="dxa"/>
            <w:tcBorders>
              <w:top w:val="nil"/>
              <w:left w:val="nil"/>
              <w:bottom w:val="nil"/>
              <w:right w:val="nil"/>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实施单位 （盖章）</w:t>
            </w:r>
          </w:p>
        </w:tc>
        <w:tc>
          <w:tcPr>
            <w:tcW w:w="36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w:t>
            </w:r>
          </w:p>
        </w:tc>
      </w:tr>
      <w:tr>
        <w:tblPrEx>
          <w:tblCellMar>
            <w:top w:w="0" w:type="dxa"/>
            <w:left w:w="108" w:type="dxa"/>
            <w:bottom w:w="0" w:type="dxa"/>
            <w:right w:w="108" w:type="dxa"/>
          </w:tblCellMar>
        </w:tblPrEx>
        <w:trPr>
          <w:trHeight w:val="285"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203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Courier New" w:hAnsi="Courier New" w:cs="Courier New"/>
                <w:color w:val="000000"/>
                <w:kern w:val="0"/>
                <w:sz w:val="18"/>
                <w:szCs w:val="18"/>
              </w:rPr>
            </w:pPr>
            <w:r>
              <w:rPr>
                <w:rFonts w:ascii="Courier New" w:hAnsi="Courier New" w:cs="Courier New"/>
                <w:color w:val="000000"/>
                <w:kern w:val="0"/>
                <w:sz w:val="18"/>
                <w:szCs w:val="18"/>
              </w:rPr>
              <w:t>年度目标完成情况</w:t>
            </w:r>
          </w:p>
        </w:tc>
      </w:tr>
      <w:tr>
        <w:tblPrEx>
          <w:tblCellMar>
            <w:top w:w="0" w:type="dxa"/>
            <w:left w:w="108" w:type="dxa"/>
            <w:bottom w:w="0" w:type="dxa"/>
            <w:right w:w="108" w:type="dxa"/>
          </w:tblCellMar>
        </w:tblPrEx>
        <w:trPr>
          <w:trHeight w:val="680"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严格执行相关政策，每月按时足额缴纳职工基本失业保险。</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每月按时足额缴纳职工基本失业保险，预算执行率100%。</w:t>
            </w:r>
          </w:p>
        </w:tc>
      </w:tr>
      <w:tr>
        <w:tblPrEx>
          <w:tblCellMar>
            <w:top w:w="0" w:type="dxa"/>
            <w:left w:w="108" w:type="dxa"/>
            <w:bottom w:w="0" w:type="dxa"/>
            <w:right w:w="108" w:type="dxa"/>
          </w:tblCellMar>
        </w:tblPrEx>
        <w:trPr>
          <w:trHeight w:val="390" w:hRule="atLeast"/>
        </w:trPr>
        <w:tc>
          <w:tcPr>
            <w:tcW w:w="1344" w:type="dxa"/>
            <w:vMerge w:val="continue"/>
            <w:tcBorders>
              <w:top w:val="nil"/>
              <w:left w:val="single" w:color="000000" w:sz="4" w:space="0"/>
              <w:bottom w:val="single" w:color="auto"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auto"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11446" w:type="dxa"/>
            <w:gridSpan w:val="9"/>
            <w:tcBorders>
              <w:top w:val="single" w:color="000000" w:sz="4" w:space="0"/>
              <w:left w:val="nil"/>
              <w:bottom w:val="single" w:color="auto"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按照人事核定的职工基本失业缴纳数，每月足额按时缴纳职工失业保险。</w:t>
            </w:r>
          </w:p>
        </w:tc>
      </w:tr>
      <w:tr>
        <w:tblPrEx>
          <w:tblCellMar>
            <w:top w:w="0" w:type="dxa"/>
            <w:left w:w="108" w:type="dxa"/>
            <w:bottom w:w="0" w:type="dxa"/>
            <w:right w:w="108" w:type="dxa"/>
          </w:tblCellMar>
        </w:tblPrEx>
        <w:trPr>
          <w:trHeight w:val="514" w:hRule="atLeast"/>
        </w:trPr>
        <w:tc>
          <w:tcPr>
            <w:tcW w:w="1344"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2030"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756"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2229"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2693" w:type="dxa"/>
            <w:gridSpan w:val="3"/>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161"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613"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single" w:color="auto" w:sz="4" w:space="0"/>
              <w:left w:val="nil"/>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auto" w:sz="4" w:space="0"/>
              <w:bottom w:val="single" w:color="auto"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756"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0.11</w:t>
            </w:r>
          </w:p>
        </w:tc>
        <w:tc>
          <w:tcPr>
            <w:tcW w:w="2693" w:type="dxa"/>
            <w:gridSpan w:val="3"/>
            <w:tcBorders>
              <w:top w:val="single" w:color="000000"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0.11</w:t>
            </w:r>
          </w:p>
        </w:tc>
        <w:tc>
          <w:tcPr>
            <w:tcW w:w="1161"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662"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vMerge w:val="restart"/>
            <w:tcBorders>
              <w:top w:val="nil"/>
              <w:left w:val="single" w:color="000000"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2022年新成立单位</w:t>
            </w:r>
          </w:p>
        </w:tc>
      </w:tr>
      <w:tr>
        <w:tblPrEx>
          <w:tblCellMar>
            <w:top w:w="0" w:type="dxa"/>
            <w:left w:w="108" w:type="dxa"/>
            <w:bottom w:w="0" w:type="dxa"/>
            <w:right w:w="108" w:type="dxa"/>
          </w:tblCellMar>
        </w:tblPrEx>
        <w:trPr>
          <w:trHeight w:val="709" w:hRule="atLeast"/>
        </w:trPr>
        <w:tc>
          <w:tcPr>
            <w:tcW w:w="1344"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756"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0.11</w:t>
            </w:r>
          </w:p>
        </w:tc>
        <w:tc>
          <w:tcPr>
            <w:tcW w:w="2693" w:type="dxa"/>
            <w:gridSpan w:val="3"/>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0.11</w:t>
            </w:r>
          </w:p>
        </w:tc>
        <w:tc>
          <w:tcPr>
            <w:tcW w:w="1161"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single" w:color="auto" w:sz="4" w:space="0"/>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694"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360"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387"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32"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2030" w:type="dxa"/>
            <w:tcBorders>
              <w:top w:val="nil"/>
              <w:left w:val="single" w:color="000000" w:sz="4" w:space="0"/>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756"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2229"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54"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1213"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826"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161"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613"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trHeight w:val="447"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1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22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科目调整次数</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02"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足额保障率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79"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时效指标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按时发放率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经济效益指标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结余率（计算方法为：结余数/预算数）</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8" w:hRule="atLeast"/>
        </w:trPr>
        <w:tc>
          <w:tcPr>
            <w:tcW w:w="1121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按照人事核定的职工基本失业保险缴纳数，每月足额按时缴纳职工基本失业保险。</w:t>
            </w:r>
          </w:p>
        </w:tc>
      </w:tr>
      <w:tr>
        <w:tblPrEx>
          <w:tblCellMar>
            <w:top w:w="0" w:type="dxa"/>
            <w:left w:w="108" w:type="dxa"/>
            <w:bottom w:w="0" w:type="dxa"/>
            <w:right w:w="108" w:type="dxa"/>
          </w:tblCellMar>
        </w:tblPrEx>
        <w:trPr>
          <w:trHeight w:val="604"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574"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634" w:hRule="atLeast"/>
        </w:trPr>
        <w:tc>
          <w:tcPr>
            <w:tcW w:w="801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项目负责人：熊文彬</w:t>
            </w:r>
          </w:p>
        </w:tc>
        <w:tc>
          <w:tcPr>
            <w:tcW w:w="6807"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财务负责人：刘敏</w:t>
            </w:r>
          </w:p>
        </w:tc>
      </w:tr>
      <w:tr>
        <w:tblPrEx>
          <w:tblCellMar>
            <w:top w:w="0" w:type="dxa"/>
            <w:left w:w="108" w:type="dxa"/>
            <w:bottom w:w="0" w:type="dxa"/>
            <w:right w:w="108" w:type="dxa"/>
          </w:tblCellMar>
        </w:tblPrEx>
        <w:trPr>
          <w:trHeight w:val="285" w:hRule="atLeast"/>
        </w:trPr>
        <w:tc>
          <w:tcPr>
            <w:tcW w:w="1344"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030"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756"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229"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54"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213"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826"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161"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13"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62"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332"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r>
    </w:tbl>
    <w:p>
      <w:pPr>
        <w:widowControl/>
        <w:jc w:val="center"/>
        <w:rPr>
          <w:rFonts w:hint="eastAsia" w:ascii="黑体" w:hAnsi="黑体" w:eastAsia="黑体" w:cs="宋体"/>
          <w:b/>
          <w:bCs/>
          <w:color w:val="000000"/>
          <w:kern w:val="0"/>
          <w:sz w:val="30"/>
          <w:szCs w:val="30"/>
        </w:rPr>
        <w:sectPr>
          <w:footerReference r:id="rId20" w:type="first"/>
          <w:footerReference r:id="rId19" w:type="default"/>
          <w:pgSz w:w="16838" w:h="11906" w:orient="landscape"/>
          <w:pgMar w:top="1531" w:right="1440" w:bottom="1797" w:left="1440" w:header="851" w:footer="992" w:gutter="0"/>
          <w:pgNumType w:fmt="decimal" w:start="1"/>
          <w:cols w:space="425" w:num="1"/>
          <w:titlePg/>
          <w:docGrid w:type="lines" w:linePitch="312" w:charSpace="0"/>
        </w:sectPr>
      </w:pPr>
    </w:p>
    <w:tbl>
      <w:tblPr>
        <w:tblStyle w:val="12"/>
        <w:tblW w:w="14820" w:type="dxa"/>
        <w:tblInd w:w="93" w:type="dxa"/>
        <w:tblLayout w:type="fixed"/>
        <w:tblCellMar>
          <w:top w:w="0" w:type="dxa"/>
          <w:left w:w="108" w:type="dxa"/>
          <w:bottom w:w="0" w:type="dxa"/>
          <w:right w:w="108" w:type="dxa"/>
        </w:tblCellMar>
      </w:tblPr>
      <w:tblGrid>
        <w:gridCol w:w="1344"/>
        <w:gridCol w:w="2030"/>
        <w:gridCol w:w="1756"/>
        <w:gridCol w:w="2229"/>
        <w:gridCol w:w="654"/>
        <w:gridCol w:w="1213"/>
        <w:gridCol w:w="826"/>
        <w:gridCol w:w="1161"/>
        <w:gridCol w:w="613"/>
        <w:gridCol w:w="662"/>
        <w:gridCol w:w="2332"/>
      </w:tblGrid>
      <w:tr>
        <w:tblPrEx>
          <w:tblCellMar>
            <w:top w:w="0" w:type="dxa"/>
            <w:left w:w="108" w:type="dxa"/>
            <w:bottom w:w="0" w:type="dxa"/>
            <w:right w:w="108" w:type="dxa"/>
          </w:tblCellMar>
        </w:tblPrEx>
        <w:trPr>
          <w:trHeight w:val="285" w:hRule="atLeast"/>
        </w:trPr>
        <w:tc>
          <w:tcPr>
            <w:tcW w:w="1482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部门预算项目支出绩效自评表（2022年度）</w:t>
            </w:r>
          </w:p>
        </w:tc>
      </w:tr>
      <w:tr>
        <w:tblPrEx>
          <w:tblCellMar>
            <w:top w:w="0" w:type="dxa"/>
            <w:left w:w="108" w:type="dxa"/>
            <w:bottom w:w="0" w:type="dxa"/>
            <w:right w:w="108" w:type="dxa"/>
          </w:tblCellMar>
        </w:tblPrEx>
        <w:trPr>
          <w:trHeight w:val="744"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51200221R000000026310-事业工伤保险</w:t>
            </w:r>
          </w:p>
        </w:tc>
      </w:tr>
      <w:tr>
        <w:tblPrEx>
          <w:tblCellMar>
            <w:top w:w="0" w:type="dxa"/>
            <w:left w:w="108" w:type="dxa"/>
            <w:bottom w:w="0" w:type="dxa"/>
            <w:right w:w="108" w:type="dxa"/>
          </w:tblCellMar>
        </w:tblPrEx>
        <w:trPr>
          <w:trHeight w:val="347"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资阳市雁江区宝莲社区卫生服务中心本级</w:t>
            </w:r>
          </w:p>
        </w:tc>
        <w:tc>
          <w:tcPr>
            <w:tcW w:w="1161" w:type="dxa"/>
            <w:tcBorders>
              <w:top w:val="nil"/>
              <w:left w:val="nil"/>
              <w:bottom w:val="nil"/>
              <w:right w:val="nil"/>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实施单位 （盖章）</w:t>
            </w:r>
          </w:p>
        </w:tc>
        <w:tc>
          <w:tcPr>
            <w:tcW w:w="36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w:t>
            </w:r>
          </w:p>
        </w:tc>
      </w:tr>
      <w:tr>
        <w:tblPrEx>
          <w:tblCellMar>
            <w:top w:w="0" w:type="dxa"/>
            <w:left w:w="108" w:type="dxa"/>
            <w:bottom w:w="0" w:type="dxa"/>
            <w:right w:w="108" w:type="dxa"/>
          </w:tblCellMar>
        </w:tblPrEx>
        <w:trPr>
          <w:trHeight w:val="489"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203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Courier New" w:hAnsi="Courier New" w:cs="Courier New"/>
                <w:color w:val="000000"/>
                <w:kern w:val="0"/>
                <w:sz w:val="18"/>
                <w:szCs w:val="18"/>
              </w:rPr>
            </w:pPr>
            <w:r>
              <w:rPr>
                <w:rFonts w:ascii="Courier New" w:hAnsi="Courier New" w:cs="Courier New"/>
                <w:color w:val="000000"/>
                <w:kern w:val="0"/>
                <w:sz w:val="18"/>
                <w:szCs w:val="18"/>
              </w:rPr>
              <w:t>年度目标完成情况</w:t>
            </w:r>
          </w:p>
        </w:tc>
      </w:tr>
      <w:tr>
        <w:tblPrEx>
          <w:tblCellMar>
            <w:top w:w="0" w:type="dxa"/>
            <w:left w:w="108" w:type="dxa"/>
            <w:bottom w:w="0" w:type="dxa"/>
            <w:right w:w="108" w:type="dxa"/>
          </w:tblCellMar>
        </w:tblPrEx>
        <w:trPr>
          <w:trHeight w:val="45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严格执行相关政策，每月按时足额缴纳职工基本工伤保险。</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每月按时足额缴纳职工基本工伤保险，预算执行率100%。</w:t>
            </w:r>
          </w:p>
        </w:tc>
      </w:tr>
      <w:tr>
        <w:tblPrEx>
          <w:tblCellMar>
            <w:top w:w="0" w:type="dxa"/>
            <w:left w:w="108" w:type="dxa"/>
            <w:bottom w:w="0" w:type="dxa"/>
            <w:right w:w="108" w:type="dxa"/>
          </w:tblCellMar>
        </w:tblPrEx>
        <w:trPr>
          <w:trHeight w:val="512"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按照人事核定的职工基本工伤缴纳数，每月足额按时缴纳职工工伤保险。</w:t>
            </w:r>
          </w:p>
        </w:tc>
      </w:tr>
      <w:tr>
        <w:tblPrEx>
          <w:tblCellMar>
            <w:top w:w="0" w:type="dxa"/>
            <w:left w:w="108" w:type="dxa"/>
            <w:bottom w:w="0" w:type="dxa"/>
            <w:right w:w="108" w:type="dxa"/>
          </w:tblCellMar>
        </w:tblPrEx>
        <w:trPr>
          <w:trHeight w:val="444"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trHeight w:val="360"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0.09</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0.09</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2022年新成立单位</w:t>
            </w:r>
          </w:p>
        </w:tc>
      </w:tr>
      <w:tr>
        <w:tblPrEx>
          <w:tblCellMar>
            <w:top w:w="0" w:type="dxa"/>
            <w:left w:w="108" w:type="dxa"/>
            <w:bottom w:w="0" w:type="dxa"/>
            <w:right w:w="108" w:type="dxa"/>
          </w:tblCellMar>
        </w:tblPrEx>
        <w:trPr>
          <w:trHeight w:val="387"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0.09</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0.09</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32"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47"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02"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379"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2030" w:type="dxa"/>
            <w:tcBorders>
              <w:top w:val="nil"/>
              <w:left w:val="single" w:color="000000" w:sz="4" w:space="0"/>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756"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2229"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54"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1213"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826"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161"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613"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trHeight w:val="45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1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22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科目调整次数</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8"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足额保障率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时效指标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按时发放率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04" w:hRule="atLeast"/>
        </w:trPr>
        <w:tc>
          <w:tcPr>
            <w:tcW w:w="1344" w:type="dxa"/>
            <w:vMerge w:val="continue"/>
            <w:tcBorders>
              <w:top w:val="nil"/>
              <w:left w:val="single" w:color="000000" w:sz="4" w:space="0"/>
              <w:bottom w:val="single" w:color="auto"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经济效益指标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结余率（计算方法为：结余数/预算数）</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34" w:hRule="atLeast"/>
        </w:trPr>
        <w:tc>
          <w:tcPr>
            <w:tcW w:w="11213" w:type="dxa"/>
            <w:gridSpan w:val="8"/>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613"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2" w:type="dxa"/>
            <w:tcBorders>
              <w:top w:val="single" w:color="auto"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tcBorders>
              <w:top w:val="single" w:color="auto" w:sz="4" w:space="0"/>
              <w:left w:val="nil"/>
              <w:bottom w:val="single" w:color="000000"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1344" w:type="dxa"/>
            <w:tcBorders>
              <w:top w:val="nil"/>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13476" w:type="dxa"/>
            <w:gridSpan w:val="10"/>
            <w:tcBorders>
              <w:top w:val="single" w:color="000000"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按照人事核定的职工基本工伤保险缴纳数，每月足额按时缴纳职工基本工伤保险。</w:t>
            </w:r>
          </w:p>
        </w:tc>
      </w:tr>
      <w:tr>
        <w:tblPrEx>
          <w:tblCellMar>
            <w:top w:w="0" w:type="dxa"/>
            <w:left w:w="108" w:type="dxa"/>
            <w:bottom w:w="0" w:type="dxa"/>
            <w:right w:w="108" w:type="dxa"/>
          </w:tblCellMar>
        </w:tblPrEx>
        <w:trPr>
          <w:trHeight w:val="285" w:hRule="atLeast"/>
        </w:trPr>
        <w:tc>
          <w:tcPr>
            <w:tcW w:w="1344"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13476" w:type="dxa"/>
            <w:gridSpan w:val="10"/>
            <w:tcBorders>
              <w:top w:val="single" w:color="auto"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904"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285" w:hRule="atLeast"/>
        </w:trPr>
        <w:tc>
          <w:tcPr>
            <w:tcW w:w="801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项目负责人：熊文彬</w:t>
            </w:r>
          </w:p>
        </w:tc>
        <w:tc>
          <w:tcPr>
            <w:tcW w:w="6807"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财务负责人：刘敏</w:t>
            </w:r>
          </w:p>
        </w:tc>
      </w:tr>
      <w:tr>
        <w:tblPrEx>
          <w:tblCellMar>
            <w:top w:w="0" w:type="dxa"/>
            <w:left w:w="108" w:type="dxa"/>
            <w:bottom w:w="0" w:type="dxa"/>
            <w:right w:w="108" w:type="dxa"/>
          </w:tblCellMar>
        </w:tblPrEx>
        <w:trPr>
          <w:trHeight w:val="514" w:hRule="atLeast"/>
        </w:trPr>
        <w:tc>
          <w:tcPr>
            <w:tcW w:w="1344"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030"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756"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229"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54"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213"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826"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161"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13"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62"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332"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285" w:hRule="atLeast"/>
        </w:trPr>
        <w:tc>
          <w:tcPr>
            <w:tcW w:w="1482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部门预算项目支出绩效自评表（2022年度）</w:t>
            </w:r>
          </w:p>
        </w:tc>
      </w:tr>
      <w:tr>
        <w:tblPrEx>
          <w:tblCellMar>
            <w:top w:w="0" w:type="dxa"/>
            <w:left w:w="108" w:type="dxa"/>
            <w:bottom w:w="0" w:type="dxa"/>
            <w:right w:w="108" w:type="dxa"/>
          </w:tblCellMar>
        </w:tblPrEx>
        <w:trPr>
          <w:trHeight w:val="709"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51200221R000000026311-住房公积金</w:t>
            </w:r>
          </w:p>
        </w:tc>
      </w:tr>
      <w:tr>
        <w:tblPrEx>
          <w:tblCellMar>
            <w:top w:w="0" w:type="dxa"/>
            <w:left w:w="108" w:type="dxa"/>
            <w:bottom w:w="0" w:type="dxa"/>
            <w:right w:w="108" w:type="dxa"/>
          </w:tblCellMar>
        </w:tblPrEx>
        <w:trPr>
          <w:trHeight w:val="694"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资阳市雁江区宝莲社区卫生服务中心本级</w:t>
            </w:r>
          </w:p>
        </w:tc>
        <w:tc>
          <w:tcPr>
            <w:tcW w:w="1161" w:type="dxa"/>
            <w:tcBorders>
              <w:top w:val="nil"/>
              <w:left w:val="nil"/>
              <w:bottom w:val="nil"/>
              <w:right w:val="nil"/>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实施单位 （盖章）</w:t>
            </w:r>
          </w:p>
        </w:tc>
        <w:tc>
          <w:tcPr>
            <w:tcW w:w="36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w:t>
            </w:r>
          </w:p>
        </w:tc>
      </w:tr>
      <w:tr>
        <w:tblPrEx>
          <w:tblCellMar>
            <w:top w:w="0" w:type="dxa"/>
            <w:left w:w="108" w:type="dxa"/>
            <w:bottom w:w="0" w:type="dxa"/>
            <w:right w:w="108" w:type="dxa"/>
          </w:tblCellMar>
        </w:tblPrEx>
        <w:trPr>
          <w:trHeight w:val="360"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203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Courier New" w:hAnsi="Courier New" w:cs="Courier New"/>
                <w:color w:val="000000"/>
                <w:kern w:val="0"/>
                <w:sz w:val="18"/>
                <w:szCs w:val="18"/>
              </w:rPr>
            </w:pPr>
            <w:r>
              <w:rPr>
                <w:rFonts w:ascii="Courier New" w:hAnsi="Courier New" w:cs="Courier New"/>
                <w:color w:val="000000"/>
                <w:kern w:val="0"/>
                <w:sz w:val="18"/>
                <w:szCs w:val="18"/>
              </w:rPr>
              <w:t>年度目标完成情况</w:t>
            </w:r>
          </w:p>
        </w:tc>
      </w:tr>
      <w:tr>
        <w:tblPrEx>
          <w:tblCellMar>
            <w:top w:w="0" w:type="dxa"/>
            <w:left w:w="108" w:type="dxa"/>
            <w:bottom w:w="0" w:type="dxa"/>
            <w:right w:w="108" w:type="dxa"/>
          </w:tblCellMar>
        </w:tblPrEx>
        <w:trPr>
          <w:trHeight w:val="387"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严格执行相关政策，每月按时足额缴纳职工住房公积金。</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每月按时足额缴纳职工住房公积金，预算执行率100%。</w:t>
            </w:r>
          </w:p>
        </w:tc>
      </w:tr>
      <w:tr>
        <w:tblPrEx>
          <w:tblCellMar>
            <w:top w:w="0" w:type="dxa"/>
            <w:left w:w="108" w:type="dxa"/>
            <w:bottom w:w="0" w:type="dxa"/>
            <w:right w:w="108" w:type="dxa"/>
          </w:tblCellMar>
        </w:tblPrEx>
        <w:trPr>
          <w:trHeight w:val="432"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按照人事核定的职工住房公积金缴纳数，每月足额按时缴纳职工住房公积金。</w:t>
            </w:r>
          </w:p>
        </w:tc>
      </w:tr>
      <w:tr>
        <w:tblPrEx>
          <w:tblCellMar>
            <w:top w:w="0" w:type="dxa"/>
            <w:left w:w="108" w:type="dxa"/>
            <w:bottom w:w="0" w:type="dxa"/>
            <w:right w:w="108" w:type="dxa"/>
          </w:tblCellMar>
        </w:tblPrEx>
        <w:trPr>
          <w:trHeight w:val="447"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trHeight w:val="402"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2.76</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2.76</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vMerge w:val="restart"/>
            <w:tcBorders>
              <w:top w:val="nil"/>
              <w:left w:val="single" w:color="000000"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2022年新成立单位</w:t>
            </w:r>
          </w:p>
        </w:tc>
      </w:tr>
      <w:tr>
        <w:tblPrEx>
          <w:tblCellMar>
            <w:top w:w="0" w:type="dxa"/>
            <w:left w:w="108" w:type="dxa"/>
            <w:bottom w:w="0" w:type="dxa"/>
            <w:right w:w="108" w:type="dxa"/>
          </w:tblCellMar>
        </w:tblPrEx>
        <w:trPr>
          <w:trHeight w:val="379"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2.76</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2.76</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5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756"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338" w:hRule="atLeast"/>
        </w:trPr>
        <w:tc>
          <w:tcPr>
            <w:tcW w:w="1344"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756"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single" w:color="auto" w:sz="4" w:space="0"/>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tcBorders>
              <w:top w:val="nil"/>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65" w:hRule="atLeast"/>
        </w:trPr>
        <w:tc>
          <w:tcPr>
            <w:tcW w:w="1344" w:type="dxa"/>
            <w:vMerge w:val="restart"/>
            <w:tcBorders>
              <w:top w:val="nil"/>
              <w:left w:val="single" w:color="000000"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2030" w:type="dxa"/>
            <w:tcBorders>
              <w:top w:val="nil"/>
              <w:left w:val="single" w:color="auto" w:sz="4" w:space="0"/>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756"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2229"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54"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1213"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826"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161"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613"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trHeight w:val="514" w:hRule="atLeast"/>
        </w:trPr>
        <w:tc>
          <w:tcPr>
            <w:tcW w:w="1344"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1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22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科目调整次数</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足额保障率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709" w:hRule="atLeast"/>
        </w:trPr>
        <w:tc>
          <w:tcPr>
            <w:tcW w:w="1344"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时效指标</w:t>
            </w:r>
          </w:p>
        </w:tc>
        <w:tc>
          <w:tcPr>
            <w:tcW w:w="22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按时发放率</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9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经济效益指标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结余率（计算方法为：结余数/预算数）</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60" w:hRule="atLeast"/>
        </w:trPr>
        <w:tc>
          <w:tcPr>
            <w:tcW w:w="1121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87"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按照人事核定的职工住房公积金缴纳数，每月足额按时缴纳职工住房公积金。</w:t>
            </w:r>
          </w:p>
        </w:tc>
      </w:tr>
      <w:tr>
        <w:tblPrEx>
          <w:tblCellMar>
            <w:top w:w="0" w:type="dxa"/>
            <w:left w:w="108" w:type="dxa"/>
            <w:bottom w:w="0" w:type="dxa"/>
            <w:right w:w="108" w:type="dxa"/>
          </w:tblCellMar>
        </w:tblPrEx>
        <w:trPr>
          <w:trHeight w:val="432"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447"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402" w:hRule="atLeast"/>
        </w:trPr>
        <w:tc>
          <w:tcPr>
            <w:tcW w:w="801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项目负责人：熊文彬</w:t>
            </w:r>
          </w:p>
        </w:tc>
        <w:tc>
          <w:tcPr>
            <w:tcW w:w="6807"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财务负责人：刘敏</w:t>
            </w:r>
          </w:p>
        </w:tc>
      </w:tr>
      <w:tr>
        <w:tblPrEx>
          <w:tblCellMar>
            <w:top w:w="0" w:type="dxa"/>
            <w:left w:w="108" w:type="dxa"/>
            <w:bottom w:w="0" w:type="dxa"/>
            <w:right w:w="108" w:type="dxa"/>
          </w:tblCellMar>
        </w:tblPrEx>
        <w:trPr>
          <w:trHeight w:val="379" w:hRule="atLeast"/>
        </w:trPr>
        <w:tc>
          <w:tcPr>
            <w:tcW w:w="1344"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030"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756"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229"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54"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213"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826"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161"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13"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62"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332"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454" w:hRule="atLeast"/>
        </w:trPr>
        <w:tc>
          <w:tcPr>
            <w:tcW w:w="1482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部门预算项目支出绩效自评表（2022年度）</w:t>
            </w:r>
          </w:p>
        </w:tc>
      </w:tr>
      <w:tr>
        <w:tblPrEx>
          <w:tblCellMar>
            <w:top w:w="0" w:type="dxa"/>
            <w:left w:w="108" w:type="dxa"/>
            <w:bottom w:w="0" w:type="dxa"/>
            <w:right w:w="108" w:type="dxa"/>
          </w:tblCellMar>
        </w:tblPrEx>
        <w:trPr>
          <w:trHeight w:val="338"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51200222R000000271960-机关事业单位基本养老保险（事业）</w:t>
            </w:r>
          </w:p>
        </w:tc>
      </w:tr>
      <w:tr>
        <w:tblPrEx>
          <w:tblCellMar>
            <w:top w:w="0" w:type="dxa"/>
            <w:left w:w="108" w:type="dxa"/>
            <w:bottom w:w="0" w:type="dxa"/>
            <w:right w:w="108" w:type="dxa"/>
          </w:tblCellMar>
        </w:tblPrEx>
        <w:trPr>
          <w:trHeight w:val="285" w:hRule="atLeast"/>
        </w:trPr>
        <w:tc>
          <w:tcPr>
            <w:tcW w:w="3374"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6678" w:type="dxa"/>
            <w:gridSpan w:val="5"/>
            <w:tcBorders>
              <w:top w:val="single" w:color="000000" w:sz="4" w:space="0"/>
              <w:left w:val="nil"/>
              <w:bottom w:val="single" w:color="auto"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资阳市雁江区宝莲社区卫生服务中心本级</w:t>
            </w:r>
          </w:p>
        </w:tc>
        <w:tc>
          <w:tcPr>
            <w:tcW w:w="1161" w:type="dxa"/>
            <w:tcBorders>
              <w:top w:val="nil"/>
              <w:left w:val="nil"/>
              <w:bottom w:val="nil"/>
              <w:right w:val="nil"/>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实施单位 （盖章）</w:t>
            </w:r>
          </w:p>
        </w:tc>
        <w:tc>
          <w:tcPr>
            <w:tcW w:w="36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w:t>
            </w:r>
          </w:p>
        </w:tc>
      </w:tr>
      <w:tr>
        <w:tblPrEx>
          <w:tblCellMar>
            <w:top w:w="0" w:type="dxa"/>
            <w:left w:w="108" w:type="dxa"/>
            <w:bottom w:w="0" w:type="dxa"/>
            <w:right w:w="108" w:type="dxa"/>
          </w:tblCellMar>
        </w:tblPrEx>
        <w:trPr>
          <w:trHeight w:val="604" w:hRule="atLeast"/>
        </w:trPr>
        <w:tc>
          <w:tcPr>
            <w:tcW w:w="134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2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667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4768" w:type="dxa"/>
            <w:gridSpan w:val="4"/>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Courier New" w:hAnsi="Courier New" w:cs="Courier New"/>
                <w:color w:val="000000"/>
                <w:kern w:val="0"/>
                <w:sz w:val="18"/>
                <w:szCs w:val="18"/>
              </w:rPr>
            </w:pPr>
            <w:r>
              <w:rPr>
                <w:rFonts w:ascii="Courier New" w:hAnsi="Courier New" w:cs="Courier New"/>
                <w:color w:val="000000"/>
                <w:kern w:val="0"/>
                <w:sz w:val="18"/>
                <w:szCs w:val="18"/>
              </w:rPr>
              <w:t>年度目标完成情况</w:t>
            </w:r>
          </w:p>
        </w:tc>
      </w:tr>
      <w:tr>
        <w:tblPrEx>
          <w:tblCellMar>
            <w:top w:w="0" w:type="dxa"/>
            <w:left w:w="108" w:type="dxa"/>
            <w:bottom w:w="0" w:type="dxa"/>
            <w:right w:w="108" w:type="dxa"/>
          </w:tblCellMar>
        </w:tblPrEx>
        <w:trPr>
          <w:trHeight w:val="574" w:hRule="atLeast"/>
        </w:trPr>
        <w:tc>
          <w:tcPr>
            <w:tcW w:w="1344" w:type="dxa"/>
            <w:vMerge w:val="continue"/>
            <w:tcBorders>
              <w:top w:val="single" w:color="auto" w:sz="4" w:space="0"/>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667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严格执行相关政策，每月按时足额缴纳职工基本养老保险。</w:t>
            </w:r>
          </w:p>
        </w:tc>
        <w:tc>
          <w:tcPr>
            <w:tcW w:w="4768" w:type="dxa"/>
            <w:gridSpan w:val="4"/>
            <w:tcBorders>
              <w:top w:val="single" w:color="000000" w:sz="4" w:space="0"/>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每月按时足额缴纳职工基本养老保险，预算执行率100%。</w:t>
            </w:r>
          </w:p>
        </w:tc>
      </w:tr>
      <w:tr>
        <w:tblPrEx>
          <w:tblCellMar>
            <w:top w:w="0" w:type="dxa"/>
            <w:left w:w="108" w:type="dxa"/>
            <w:bottom w:w="0" w:type="dxa"/>
            <w:right w:w="108" w:type="dxa"/>
          </w:tblCellMar>
        </w:tblPrEx>
        <w:trPr>
          <w:trHeight w:val="634" w:hRule="atLeast"/>
        </w:trPr>
        <w:tc>
          <w:tcPr>
            <w:tcW w:w="1344"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11446"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按照人事核定的职工基本养老保险缴纳数，每月足额按时缴纳职工基本养老保险。</w:t>
            </w:r>
          </w:p>
        </w:tc>
      </w:tr>
      <w:tr>
        <w:tblPrEx>
          <w:tblCellMar>
            <w:top w:w="0" w:type="dxa"/>
            <w:left w:w="108" w:type="dxa"/>
            <w:bottom w:w="0" w:type="dxa"/>
            <w:right w:w="108" w:type="dxa"/>
          </w:tblCellMar>
        </w:tblPrEx>
        <w:trPr>
          <w:trHeight w:val="285" w:hRule="atLeast"/>
        </w:trPr>
        <w:tc>
          <w:tcPr>
            <w:tcW w:w="1344" w:type="dxa"/>
            <w:vMerge w:val="restart"/>
            <w:tcBorders>
              <w:top w:val="nil"/>
              <w:left w:val="single" w:color="000000"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20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7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22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2693" w:type="dxa"/>
            <w:gridSpan w:val="3"/>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613" w:type="dxa"/>
            <w:tcBorders>
              <w:top w:val="nil"/>
              <w:left w:val="nil"/>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756"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2.85</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2.85</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662" w:type="dxa"/>
            <w:tcBorders>
              <w:top w:val="nil"/>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2022年新成立单位</w:t>
            </w:r>
          </w:p>
        </w:tc>
      </w:tr>
      <w:tr>
        <w:tblPrEx>
          <w:tblCellMar>
            <w:top w:w="0" w:type="dxa"/>
            <w:left w:w="108" w:type="dxa"/>
            <w:bottom w:w="0" w:type="dxa"/>
            <w:right w:w="108" w:type="dxa"/>
          </w:tblCellMar>
        </w:tblPrEx>
        <w:trPr>
          <w:trHeight w:val="904" w:hRule="atLeast"/>
        </w:trPr>
        <w:tc>
          <w:tcPr>
            <w:tcW w:w="1344"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tcBorders>
              <w:top w:val="nil"/>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2.85</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2.85</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tcBorders>
              <w:top w:val="nil"/>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756"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51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756"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02"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2030" w:type="dxa"/>
            <w:tcBorders>
              <w:top w:val="nil"/>
              <w:left w:val="single" w:color="000000" w:sz="4" w:space="0"/>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756"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2229"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54"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1213"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826"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161"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613"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trHeight w:val="379"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1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22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科目调整次数</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5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足额保障率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38"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时效指标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按时发放率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经济效益指标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结余率（计算方法为：结余数/预算数）</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79" w:hRule="atLeast"/>
        </w:trPr>
        <w:tc>
          <w:tcPr>
            <w:tcW w:w="1121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512"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按照人事核定的职工基本养老保险缴纳数，每月足额按时缴纳职工基本养老保险。</w:t>
            </w:r>
          </w:p>
        </w:tc>
      </w:tr>
      <w:tr>
        <w:tblPrEx>
          <w:tblCellMar>
            <w:top w:w="0" w:type="dxa"/>
            <w:left w:w="108" w:type="dxa"/>
            <w:bottom w:w="0" w:type="dxa"/>
            <w:right w:w="108" w:type="dxa"/>
          </w:tblCellMar>
        </w:tblPrEx>
        <w:trPr>
          <w:trHeight w:val="434"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285"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285" w:hRule="atLeast"/>
        </w:trPr>
        <w:tc>
          <w:tcPr>
            <w:tcW w:w="801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项目负责人：熊文彬</w:t>
            </w:r>
          </w:p>
        </w:tc>
        <w:tc>
          <w:tcPr>
            <w:tcW w:w="6807"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财务负责人：刘敏</w:t>
            </w:r>
          </w:p>
        </w:tc>
      </w:tr>
      <w:tr>
        <w:tblPrEx>
          <w:tblCellMar>
            <w:top w:w="0" w:type="dxa"/>
            <w:left w:w="108" w:type="dxa"/>
            <w:bottom w:w="0" w:type="dxa"/>
            <w:right w:w="108" w:type="dxa"/>
          </w:tblCellMar>
        </w:tblPrEx>
        <w:trPr>
          <w:trHeight w:val="514" w:hRule="atLeast"/>
        </w:trPr>
        <w:tc>
          <w:tcPr>
            <w:tcW w:w="1482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部门预算项目支出绩效自评表（2022年度）</w:t>
            </w:r>
          </w:p>
        </w:tc>
      </w:tr>
      <w:tr>
        <w:tblPrEx>
          <w:tblCellMar>
            <w:top w:w="0" w:type="dxa"/>
            <w:left w:w="108" w:type="dxa"/>
            <w:bottom w:w="0" w:type="dxa"/>
            <w:right w:w="108" w:type="dxa"/>
          </w:tblCellMar>
        </w:tblPrEx>
        <w:trPr>
          <w:trHeight w:val="285"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51200222R000000271961-住房公积金（事业）</w:t>
            </w:r>
          </w:p>
        </w:tc>
      </w:tr>
      <w:tr>
        <w:tblPrEx>
          <w:tblCellMar>
            <w:top w:w="0" w:type="dxa"/>
            <w:left w:w="108" w:type="dxa"/>
            <w:bottom w:w="0" w:type="dxa"/>
            <w:right w:w="108" w:type="dxa"/>
          </w:tblCellMar>
        </w:tblPrEx>
        <w:trPr>
          <w:trHeight w:val="709"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资阳市雁江区宝莲社区卫生服务中心本级</w:t>
            </w:r>
          </w:p>
        </w:tc>
        <w:tc>
          <w:tcPr>
            <w:tcW w:w="1161" w:type="dxa"/>
            <w:tcBorders>
              <w:top w:val="nil"/>
              <w:left w:val="nil"/>
              <w:bottom w:val="nil"/>
              <w:right w:val="nil"/>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实施单位 （盖章）</w:t>
            </w:r>
          </w:p>
        </w:tc>
        <w:tc>
          <w:tcPr>
            <w:tcW w:w="36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w:t>
            </w:r>
          </w:p>
        </w:tc>
      </w:tr>
      <w:tr>
        <w:tblPrEx>
          <w:tblCellMar>
            <w:top w:w="0" w:type="dxa"/>
            <w:left w:w="108" w:type="dxa"/>
            <w:bottom w:w="0" w:type="dxa"/>
            <w:right w:w="108" w:type="dxa"/>
          </w:tblCellMar>
        </w:tblPrEx>
        <w:trPr>
          <w:trHeight w:val="694"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203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Courier New" w:hAnsi="Courier New" w:cs="Courier New"/>
                <w:color w:val="000000"/>
                <w:kern w:val="0"/>
                <w:sz w:val="18"/>
                <w:szCs w:val="18"/>
              </w:rPr>
            </w:pPr>
            <w:r>
              <w:rPr>
                <w:rFonts w:ascii="Courier New" w:hAnsi="Courier New" w:cs="Courier New"/>
                <w:color w:val="000000"/>
                <w:kern w:val="0"/>
                <w:sz w:val="18"/>
                <w:szCs w:val="18"/>
              </w:rPr>
              <w:t>年度目标完成情况</w:t>
            </w:r>
          </w:p>
        </w:tc>
      </w:tr>
      <w:tr>
        <w:tblPrEx>
          <w:tblCellMar>
            <w:top w:w="0" w:type="dxa"/>
            <w:left w:w="108" w:type="dxa"/>
            <w:bottom w:w="0" w:type="dxa"/>
            <w:right w:w="108" w:type="dxa"/>
          </w:tblCellMar>
        </w:tblPrEx>
        <w:trPr>
          <w:trHeight w:val="360"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严格执行相关政策，每月按时足额缴纳职工住房公积金。</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每月按时足额缴纳职工住房公积金，预算执行率100%。</w:t>
            </w:r>
          </w:p>
        </w:tc>
      </w:tr>
      <w:tr>
        <w:tblPrEx>
          <w:tblCellMar>
            <w:top w:w="0" w:type="dxa"/>
            <w:left w:w="108" w:type="dxa"/>
            <w:bottom w:w="0" w:type="dxa"/>
            <w:right w:w="108" w:type="dxa"/>
          </w:tblCellMar>
        </w:tblPrEx>
        <w:trPr>
          <w:trHeight w:val="387"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按照人事核定的职工住房公积金缴纳数，每月足额按时缴纳职工住房公积金。</w:t>
            </w:r>
          </w:p>
        </w:tc>
      </w:tr>
      <w:tr>
        <w:tblPrEx>
          <w:tblCellMar>
            <w:top w:w="0" w:type="dxa"/>
            <w:left w:w="108" w:type="dxa"/>
            <w:bottom w:w="0" w:type="dxa"/>
            <w:right w:w="108" w:type="dxa"/>
          </w:tblCellMar>
        </w:tblPrEx>
        <w:trPr>
          <w:trHeight w:val="432"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trHeight w:val="447"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0.14</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0.14</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2022年新成立单位</w:t>
            </w:r>
          </w:p>
        </w:tc>
      </w:tr>
      <w:tr>
        <w:tblPrEx>
          <w:tblCellMar>
            <w:top w:w="0" w:type="dxa"/>
            <w:left w:w="108" w:type="dxa"/>
            <w:bottom w:w="0" w:type="dxa"/>
            <w:right w:w="108" w:type="dxa"/>
          </w:tblCellMar>
        </w:tblPrEx>
        <w:trPr>
          <w:trHeight w:val="402"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0.14</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0.14</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379"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5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338"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85" w:hRule="atLeast"/>
        </w:trPr>
        <w:tc>
          <w:tcPr>
            <w:tcW w:w="1344" w:type="dxa"/>
            <w:vMerge w:val="restart"/>
            <w:tcBorders>
              <w:top w:val="nil"/>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2030" w:type="dxa"/>
            <w:tcBorders>
              <w:top w:val="nil"/>
              <w:left w:val="single" w:color="000000" w:sz="4" w:space="0"/>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756"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2229"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54"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1213"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826"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161"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613"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trHeight w:val="542"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1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22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科目调整次数</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86" w:hRule="atLeast"/>
        </w:trPr>
        <w:tc>
          <w:tcPr>
            <w:tcW w:w="1344" w:type="dxa"/>
            <w:vMerge w:val="continue"/>
            <w:tcBorders>
              <w:top w:val="nil"/>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足额保障率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96" w:hRule="atLeast"/>
        </w:trPr>
        <w:tc>
          <w:tcPr>
            <w:tcW w:w="1344" w:type="dxa"/>
            <w:vMerge w:val="continue"/>
            <w:tcBorders>
              <w:top w:val="nil"/>
              <w:left w:val="single" w:color="auto" w:sz="4" w:space="0"/>
              <w:bottom w:val="single" w:color="auto"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时效指标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按时发放率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62" w:hRule="atLeast"/>
        </w:trPr>
        <w:tc>
          <w:tcPr>
            <w:tcW w:w="1344"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175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经济效益指标</w:t>
            </w:r>
          </w:p>
        </w:tc>
        <w:tc>
          <w:tcPr>
            <w:tcW w:w="22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结余率（计算方法为：结余数/预算数）</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11213" w:type="dxa"/>
            <w:gridSpan w:val="8"/>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tcBorders>
              <w:top w:val="nil"/>
              <w:left w:val="nil"/>
              <w:bottom w:val="single" w:color="000000"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904" w:hRule="atLeast"/>
        </w:trPr>
        <w:tc>
          <w:tcPr>
            <w:tcW w:w="1344" w:type="dxa"/>
            <w:tcBorders>
              <w:top w:val="nil"/>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13476" w:type="dxa"/>
            <w:gridSpan w:val="10"/>
            <w:tcBorders>
              <w:top w:val="single" w:color="000000" w:sz="4" w:space="0"/>
              <w:left w:val="nil"/>
              <w:bottom w:val="single" w:color="000000"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按照人事核定的职工住房公积金缴纳数，每月足额按时缴纳职工住房公积金。</w:t>
            </w:r>
          </w:p>
        </w:tc>
      </w:tr>
      <w:tr>
        <w:tblPrEx>
          <w:tblCellMar>
            <w:top w:w="0" w:type="dxa"/>
            <w:left w:w="108" w:type="dxa"/>
            <w:bottom w:w="0" w:type="dxa"/>
            <w:right w:w="108" w:type="dxa"/>
          </w:tblCellMar>
        </w:tblPrEx>
        <w:trPr>
          <w:trHeight w:val="285" w:hRule="atLeast"/>
        </w:trPr>
        <w:tc>
          <w:tcPr>
            <w:tcW w:w="1344" w:type="dxa"/>
            <w:tcBorders>
              <w:top w:val="nil"/>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13476" w:type="dxa"/>
            <w:gridSpan w:val="10"/>
            <w:tcBorders>
              <w:top w:val="single" w:color="000000" w:sz="4" w:space="0"/>
              <w:left w:val="nil"/>
              <w:bottom w:val="single" w:color="000000"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514" w:hRule="atLeast"/>
        </w:trPr>
        <w:tc>
          <w:tcPr>
            <w:tcW w:w="1344" w:type="dxa"/>
            <w:tcBorders>
              <w:top w:val="nil"/>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13476" w:type="dxa"/>
            <w:gridSpan w:val="10"/>
            <w:tcBorders>
              <w:top w:val="single" w:color="000000" w:sz="4" w:space="0"/>
              <w:left w:val="nil"/>
              <w:bottom w:val="single" w:color="000000"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285" w:hRule="atLeast"/>
        </w:trPr>
        <w:tc>
          <w:tcPr>
            <w:tcW w:w="8013" w:type="dxa"/>
            <w:gridSpan w:val="5"/>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项目负责人：熊文彬</w:t>
            </w:r>
          </w:p>
        </w:tc>
        <w:tc>
          <w:tcPr>
            <w:tcW w:w="6807" w:type="dxa"/>
            <w:gridSpan w:val="6"/>
            <w:tcBorders>
              <w:top w:val="single" w:color="000000" w:sz="4" w:space="0"/>
              <w:left w:val="nil"/>
              <w:bottom w:val="single" w:color="000000" w:sz="4" w:space="0"/>
              <w:right w:val="single" w:color="auto"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财务负责人：刘敏</w:t>
            </w:r>
          </w:p>
        </w:tc>
      </w:tr>
      <w:tr>
        <w:tblPrEx>
          <w:tblCellMar>
            <w:top w:w="0" w:type="dxa"/>
            <w:left w:w="108" w:type="dxa"/>
            <w:bottom w:w="0" w:type="dxa"/>
            <w:right w:w="108" w:type="dxa"/>
          </w:tblCellMar>
        </w:tblPrEx>
        <w:trPr>
          <w:trHeight w:val="709" w:hRule="atLeast"/>
        </w:trPr>
        <w:tc>
          <w:tcPr>
            <w:tcW w:w="1344" w:type="dxa"/>
            <w:tcBorders>
              <w:top w:val="nil"/>
              <w:left w:val="single" w:color="auto" w:sz="4" w:space="0"/>
              <w:bottom w:val="nil"/>
              <w:right w:val="nil"/>
            </w:tcBorders>
            <w:shd w:val="clear" w:color="auto" w:fill="auto"/>
            <w:vAlign w:val="center"/>
          </w:tcPr>
          <w:p>
            <w:pPr>
              <w:widowControl/>
              <w:jc w:val="left"/>
              <w:rPr>
                <w:rFonts w:ascii="宋体" w:hAnsi="宋体" w:cs="宋体"/>
                <w:kern w:val="0"/>
                <w:sz w:val="18"/>
                <w:szCs w:val="18"/>
              </w:rPr>
            </w:pPr>
          </w:p>
        </w:tc>
        <w:tc>
          <w:tcPr>
            <w:tcW w:w="2030"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756"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229"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54"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213"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826"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161"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13"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62"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332" w:type="dxa"/>
            <w:tcBorders>
              <w:top w:val="nil"/>
              <w:left w:val="nil"/>
              <w:bottom w:val="nil"/>
              <w:right w:val="single" w:color="auto" w:sz="4" w:space="0"/>
            </w:tcBorders>
            <w:shd w:val="clear" w:color="auto" w:fill="auto"/>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694" w:hRule="atLeast"/>
        </w:trPr>
        <w:tc>
          <w:tcPr>
            <w:tcW w:w="14820" w:type="dxa"/>
            <w:gridSpan w:val="11"/>
            <w:tcBorders>
              <w:top w:val="single" w:color="000000"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部门预算项目支出绩效自评表（2022年度）</w:t>
            </w:r>
          </w:p>
        </w:tc>
      </w:tr>
      <w:tr>
        <w:tblPrEx>
          <w:tblCellMar>
            <w:top w:w="0" w:type="dxa"/>
            <w:left w:w="108" w:type="dxa"/>
            <w:bottom w:w="0" w:type="dxa"/>
            <w:right w:w="108" w:type="dxa"/>
          </w:tblCellMar>
        </w:tblPrEx>
        <w:trPr>
          <w:trHeight w:val="360" w:hRule="atLeast"/>
        </w:trPr>
        <w:tc>
          <w:tcPr>
            <w:tcW w:w="3374"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11446" w:type="dxa"/>
            <w:gridSpan w:val="9"/>
            <w:tcBorders>
              <w:top w:val="single" w:color="auto"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51200222R000000276472-公务员医疗补助（事业）</w:t>
            </w:r>
          </w:p>
        </w:tc>
      </w:tr>
      <w:tr>
        <w:tblPrEx>
          <w:tblCellMar>
            <w:top w:w="0" w:type="dxa"/>
            <w:left w:w="108" w:type="dxa"/>
            <w:bottom w:w="0" w:type="dxa"/>
            <w:right w:w="108" w:type="dxa"/>
          </w:tblCellMar>
        </w:tblPrEx>
        <w:trPr>
          <w:trHeight w:val="338"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资阳市雁江区宝莲社区卫生服务中心本级</w:t>
            </w:r>
          </w:p>
        </w:tc>
        <w:tc>
          <w:tcPr>
            <w:tcW w:w="1161" w:type="dxa"/>
            <w:tcBorders>
              <w:top w:val="nil"/>
              <w:left w:val="nil"/>
              <w:bottom w:val="nil"/>
              <w:right w:val="nil"/>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实施单位 （盖章）</w:t>
            </w:r>
          </w:p>
        </w:tc>
        <w:tc>
          <w:tcPr>
            <w:tcW w:w="36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w:t>
            </w:r>
          </w:p>
        </w:tc>
      </w:tr>
      <w:tr>
        <w:tblPrEx>
          <w:tblCellMar>
            <w:top w:w="0" w:type="dxa"/>
            <w:left w:w="108" w:type="dxa"/>
            <w:bottom w:w="0" w:type="dxa"/>
            <w:right w:w="108" w:type="dxa"/>
          </w:tblCellMar>
        </w:tblPrEx>
        <w:trPr>
          <w:trHeight w:val="285"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203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Courier New" w:hAnsi="Courier New" w:cs="Courier New"/>
                <w:color w:val="000000"/>
                <w:kern w:val="0"/>
                <w:sz w:val="18"/>
                <w:szCs w:val="18"/>
              </w:rPr>
            </w:pPr>
            <w:r>
              <w:rPr>
                <w:rFonts w:ascii="Courier New" w:hAnsi="Courier New" w:cs="Courier New"/>
                <w:color w:val="000000"/>
                <w:kern w:val="0"/>
                <w:sz w:val="18"/>
                <w:szCs w:val="18"/>
              </w:rPr>
              <w:t>年度目标完成情况</w:t>
            </w:r>
          </w:p>
        </w:tc>
      </w:tr>
      <w:tr>
        <w:tblPrEx>
          <w:tblCellMar>
            <w:top w:w="0" w:type="dxa"/>
            <w:left w:w="108" w:type="dxa"/>
            <w:bottom w:w="0" w:type="dxa"/>
            <w:right w:w="108" w:type="dxa"/>
          </w:tblCellMar>
        </w:tblPrEx>
        <w:trPr>
          <w:trHeight w:val="60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6678" w:type="dxa"/>
            <w:gridSpan w:val="5"/>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严格执行相关政策，每月按时足额缴纳职工公务员医疗补助。</w:t>
            </w:r>
          </w:p>
        </w:tc>
        <w:tc>
          <w:tcPr>
            <w:tcW w:w="4768"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每月按时足额缴纳职工基本医疗保险，预算执行率100%。</w:t>
            </w:r>
          </w:p>
        </w:tc>
      </w:tr>
      <w:tr>
        <w:tblPrEx>
          <w:tblCellMar>
            <w:top w:w="0" w:type="dxa"/>
            <w:left w:w="108" w:type="dxa"/>
            <w:bottom w:w="0" w:type="dxa"/>
            <w:right w:w="108" w:type="dxa"/>
          </w:tblCellMar>
        </w:tblPrEx>
        <w:trPr>
          <w:trHeight w:val="57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11446"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按照人事核定的职工公务员医疗补助缴纳数，每月足额按时缴纳职工公务员医疗补助。</w:t>
            </w:r>
          </w:p>
        </w:tc>
      </w:tr>
      <w:tr>
        <w:tblPrEx>
          <w:tblCellMar>
            <w:top w:w="0" w:type="dxa"/>
            <w:left w:w="108" w:type="dxa"/>
            <w:bottom w:w="0" w:type="dxa"/>
            <w:right w:w="108" w:type="dxa"/>
          </w:tblCellMar>
        </w:tblPrEx>
        <w:trPr>
          <w:trHeight w:val="634"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0.12</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0.12</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vMerge w:val="restart"/>
            <w:tcBorders>
              <w:top w:val="nil"/>
              <w:left w:val="single" w:color="000000"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2022年新成立单位</w:t>
            </w: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756"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0.12</w:t>
            </w:r>
          </w:p>
        </w:tc>
        <w:tc>
          <w:tcPr>
            <w:tcW w:w="2693" w:type="dxa"/>
            <w:gridSpan w:val="3"/>
            <w:tcBorders>
              <w:top w:val="single" w:color="000000"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0.12</w:t>
            </w:r>
          </w:p>
        </w:tc>
        <w:tc>
          <w:tcPr>
            <w:tcW w:w="1161"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904" w:hRule="atLeast"/>
        </w:trPr>
        <w:tc>
          <w:tcPr>
            <w:tcW w:w="1344"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756"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single" w:color="auto" w:sz="4" w:space="0"/>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tcBorders>
              <w:top w:val="nil"/>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514" w:hRule="atLeast"/>
        </w:trPr>
        <w:tc>
          <w:tcPr>
            <w:tcW w:w="1344"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tcBorders>
              <w:top w:val="nil"/>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85" w:hRule="atLeast"/>
        </w:trPr>
        <w:tc>
          <w:tcPr>
            <w:tcW w:w="1344" w:type="dxa"/>
            <w:vMerge w:val="restart"/>
            <w:tcBorders>
              <w:top w:val="nil"/>
              <w:left w:val="single" w:color="000000"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2030" w:type="dxa"/>
            <w:tcBorders>
              <w:top w:val="nil"/>
              <w:left w:val="single" w:color="auto" w:sz="4" w:space="0"/>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756"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2229"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54"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1213"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826"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161"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613"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trHeight w:val="709" w:hRule="atLeast"/>
        </w:trPr>
        <w:tc>
          <w:tcPr>
            <w:tcW w:w="1344"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1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22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科目调整次数</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94" w:hRule="atLeast"/>
        </w:trPr>
        <w:tc>
          <w:tcPr>
            <w:tcW w:w="1344"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2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足额保障率</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60" w:hRule="atLeast"/>
        </w:trPr>
        <w:tc>
          <w:tcPr>
            <w:tcW w:w="1344"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时效指标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按时发放率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87"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经济效益指标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结余率（计算方法为：结余数/预算数）</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32" w:hRule="atLeast"/>
        </w:trPr>
        <w:tc>
          <w:tcPr>
            <w:tcW w:w="1121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47"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按照人事核定的职工公务员医疗补助缴纳数，每月足额按时缴纳职工公务员医疗补助。</w:t>
            </w:r>
          </w:p>
        </w:tc>
      </w:tr>
      <w:tr>
        <w:tblPrEx>
          <w:tblCellMar>
            <w:top w:w="0" w:type="dxa"/>
            <w:left w:w="108" w:type="dxa"/>
            <w:bottom w:w="0" w:type="dxa"/>
            <w:right w:w="108" w:type="dxa"/>
          </w:tblCellMar>
        </w:tblPrEx>
        <w:trPr>
          <w:trHeight w:val="402"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379"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454" w:hRule="atLeast"/>
        </w:trPr>
        <w:tc>
          <w:tcPr>
            <w:tcW w:w="801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项目负责人：熊文彬</w:t>
            </w:r>
          </w:p>
        </w:tc>
        <w:tc>
          <w:tcPr>
            <w:tcW w:w="6807"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财务负责人：刘敏</w:t>
            </w:r>
          </w:p>
        </w:tc>
      </w:tr>
      <w:tr>
        <w:tblPrEx>
          <w:tblCellMar>
            <w:top w:w="0" w:type="dxa"/>
            <w:left w:w="108" w:type="dxa"/>
            <w:bottom w:w="0" w:type="dxa"/>
            <w:right w:w="108" w:type="dxa"/>
          </w:tblCellMar>
        </w:tblPrEx>
        <w:trPr>
          <w:trHeight w:val="454" w:hRule="atLeast"/>
        </w:trPr>
        <w:tc>
          <w:tcPr>
            <w:tcW w:w="1344"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030"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756"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229"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54"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213"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826"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1161"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13"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662"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c>
          <w:tcPr>
            <w:tcW w:w="2332" w:type="dxa"/>
            <w:tcBorders>
              <w:top w:val="nil"/>
              <w:left w:val="nil"/>
              <w:bottom w:val="nil"/>
              <w:right w:val="nil"/>
            </w:tcBorders>
            <w:shd w:val="clear" w:color="auto" w:fill="auto"/>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454" w:hRule="atLeast"/>
        </w:trPr>
        <w:tc>
          <w:tcPr>
            <w:tcW w:w="1482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宋体"/>
                <w:b/>
                <w:bCs/>
                <w:color w:val="000000"/>
                <w:kern w:val="0"/>
                <w:sz w:val="30"/>
                <w:szCs w:val="30"/>
              </w:rPr>
            </w:pPr>
            <w:r>
              <w:rPr>
                <w:rFonts w:hint="eastAsia" w:ascii="黑体" w:hAnsi="黑体" w:eastAsia="黑体" w:cs="宋体"/>
                <w:b/>
                <w:bCs/>
                <w:color w:val="000000"/>
                <w:kern w:val="0"/>
                <w:sz w:val="30"/>
                <w:szCs w:val="30"/>
              </w:rPr>
              <w:t>部门预算项目支出绩效自评表（2022年度）</w:t>
            </w:r>
          </w:p>
        </w:tc>
      </w:tr>
      <w:tr>
        <w:tblPrEx>
          <w:tblCellMar>
            <w:top w:w="0" w:type="dxa"/>
            <w:left w:w="108" w:type="dxa"/>
            <w:bottom w:w="0" w:type="dxa"/>
            <w:right w:w="108" w:type="dxa"/>
          </w:tblCellMar>
        </w:tblPrEx>
        <w:trPr>
          <w:trHeight w:val="454" w:hRule="atLeast"/>
        </w:trPr>
        <w:tc>
          <w:tcPr>
            <w:tcW w:w="33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项目名称</w:t>
            </w:r>
          </w:p>
        </w:tc>
        <w:tc>
          <w:tcPr>
            <w:tcW w:w="11446" w:type="dxa"/>
            <w:gridSpan w:val="9"/>
            <w:tcBorders>
              <w:top w:val="single" w:color="000000" w:sz="4" w:space="0"/>
              <w:left w:val="nil"/>
              <w:bottom w:val="single" w:color="auto"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51200222R000006390281-基础绩效奖</w:t>
            </w:r>
          </w:p>
        </w:tc>
      </w:tr>
      <w:tr>
        <w:tblPrEx>
          <w:tblCellMar>
            <w:top w:w="0" w:type="dxa"/>
            <w:left w:w="108" w:type="dxa"/>
            <w:bottom w:w="0" w:type="dxa"/>
            <w:right w:w="108" w:type="dxa"/>
          </w:tblCellMar>
        </w:tblPrEx>
        <w:trPr>
          <w:trHeight w:val="338" w:hRule="atLeast"/>
        </w:trPr>
        <w:tc>
          <w:tcPr>
            <w:tcW w:w="3374"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主管部门</w:t>
            </w:r>
          </w:p>
        </w:tc>
        <w:tc>
          <w:tcPr>
            <w:tcW w:w="6678" w:type="dxa"/>
            <w:gridSpan w:val="5"/>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资阳市雁江区宝莲社区卫生服务中心本级</w:t>
            </w:r>
          </w:p>
        </w:tc>
        <w:tc>
          <w:tcPr>
            <w:tcW w:w="1161" w:type="dxa"/>
            <w:tcBorders>
              <w:top w:val="single" w:color="auto" w:sz="4" w:space="0"/>
              <w:left w:val="nil"/>
              <w:bottom w:val="nil"/>
              <w:right w:val="nil"/>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实施单位 （盖章）</w:t>
            </w:r>
          </w:p>
        </w:tc>
        <w:tc>
          <w:tcPr>
            <w:tcW w:w="3607" w:type="dxa"/>
            <w:gridSpan w:val="3"/>
            <w:tcBorders>
              <w:top w:val="single" w:color="auto" w:sz="4" w:space="0"/>
              <w:left w:val="single" w:color="000000"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资阳市雁江区宝莲社区卫生服务中心</w:t>
            </w:r>
          </w:p>
        </w:tc>
      </w:tr>
      <w:tr>
        <w:tblPrEx>
          <w:tblCellMar>
            <w:top w:w="0" w:type="dxa"/>
            <w:left w:w="108" w:type="dxa"/>
            <w:bottom w:w="0" w:type="dxa"/>
            <w:right w:w="108" w:type="dxa"/>
          </w:tblCellMar>
        </w:tblPrEx>
        <w:trPr>
          <w:trHeight w:val="338"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项目基本情况</w:t>
            </w:r>
          </w:p>
        </w:tc>
        <w:tc>
          <w:tcPr>
            <w:tcW w:w="2030" w:type="dxa"/>
            <w:vMerge w:val="restart"/>
            <w:tcBorders>
              <w:top w:val="nil"/>
              <w:left w:val="single" w:color="000000" w:sz="4" w:space="0"/>
              <w:bottom w:val="single" w:color="000000"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6678" w:type="dxa"/>
            <w:gridSpan w:val="5"/>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项目年度目标</w:t>
            </w:r>
          </w:p>
        </w:tc>
        <w:tc>
          <w:tcPr>
            <w:tcW w:w="4768" w:type="dxa"/>
            <w:gridSpan w:val="4"/>
            <w:tcBorders>
              <w:top w:val="single" w:color="000000" w:sz="4" w:space="0"/>
              <w:left w:val="nil"/>
              <w:bottom w:val="single" w:color="000000" w:sz="4" w:space="0"/>
              <w:right w:val="single" w:color="auto" w:sz="4" w:space="0"/>
            </w:tcBorders>
            <w:shd w:val="clear" w:color="auto" w:fill="auto"/>
            <w:vAlign w:val="center"/>
          </w:tcPr>
          <w:p>
            <w:pPr>
              <w:widowControl/>
              <w:jc w:val="center"/>
              <w:rPr>
                <w:rFonts w:ascii="Courier New" w:hAnsi="Courier New" w:cs="Courier New"/>
                <w:color w:val="000000"/>
                <w:kern w:val="0"/>
                <w:sz w:val="18"/>
                <w:szCs w:val="18"/>
              </w:rPr>
            </w:pPr>
            <w:r>
              <w:rPr>
                <w:rFonts w:ascii="Courier New" w:hAnsi="Courier New" w:cs="Courier New"/>
                <w:color w:val="000000"/>
                <w:kern w:val="0"/>
                <w:sz w:val="18"/>
                <w:szCs w:val="18"/>
              </w:rPr>
              <w:t>年度目标完成情况</w:t>
            </w:r>
          </w:p>
        </w:tc>
      </w:tr>
      <w:tr>
        <w:tblPrEx>
          <w:tblCellMar>
            <w:top w:w="0" w:type="dxa"/>
            <w:left w:w="108" w:type="dxa"/>
            <w:bottom w:w="0" w:type="dxa"/>
            <w:right w:w="108" w:type="dxa"/>
          </w:tblCellMar>
        </w:tblPrEx>
        <w:trPr>
          <w:trHeight w:val="338"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nil"/>
              <w:left w:val="single" w:color="000000"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p>
        </w:tc>
        <w:tc>
          <w:tcPr>
            <w:tcW w:w="6678" w:type="dxa"/>
            <w:gridSpan w:val="5"/>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每月按时发放人员工资，保障人员基本生活。</w:t>
            </w:r>
          </w:p>
        </w:tc>
        <w:tc>
          <w:tcPr>
            <w:tcW w:w="4768" w:type="dxa"/>
            <w:gridSpan w:val="4"/>
            <w:tcBorders>
              <w:top w:val="single" w:color="000000" w:sz="4" w:space="0"/>
              <w:left w:val="nil"/>
              <w:bottom w:val="single" w:color="000000"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每月按时发放人员奖金，预算执行率100%</w:t>
            </w:r>
          </w:p>
        </w:tc>
      </w:tr>
      <w:tr>
        <w:tblPrEx>
          <w:tblCellMar>
            <w:top w:w="0" w:type="dxa"/>
            <w:left w:w="108" w:type="dxa"/>
            <w:bottom w:w="0" w:type="dxa"/>
            <w:right w:w="108" w:type="dxa"/>
          </w:tblCellMar>
        </w:tblPrEx>
        <w:trPr>
          <w:trHeight w:val="338"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11446" w:type="dxa"/>
            <w:gridSpan w:val="9"/>
            <w:tcBorders>
              <w:top w:val="single" w:color="000000" w:sz="4" w:space="0"/>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按照人社局工资审批表和人员工资档案，每月按时足额发放人员奖金。</w:t>
            </w:r>
          </w:p>
        </w:tc>
      </w:tr>
      <w:tr>
        <w:tblPrEx>
          <w:tblCellMar>
            <w:top w:w="0" w:type="dxa"/>
            <w:left w:w="108" w:type="dxa"/>
            <w:bottom w:w="0" w:type="dxa"/>
            <w:right w:w="108" w:type="dxa"/>
          </w:tblCellMar>
        </w:tblPrEx>
        <w:trPr>
          <w:trHeight w:val="338"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2030" w:type="dxa"/>
            <w:tcBorders>
              <w:top w:val="nil"/>
              <w:left w:val="nil"/>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756" w:type="dxa"/>
            <w:tcBorders>
              <w:top w:val="nil"/>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年初预算</w:t>
            </w:r>
          </w:p>
        </w:tc>
        <w:tc>
          <w:tcPr>
            <w:tcW w:w="2229"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调整后预算数</w:t>
            </w:r>
          </w:p>
        </w:tc>
        <w:tc>
          <w:tcPr>
            <w:tcW w:w="2693" w:type="dxa"/>
            <w:gridSpan w:val="3"/>
            <w:tcBorders>
              <w:top w:val="single" w:color="000000"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预算执行数</w:t>
            </w:r>
          </w:p>
        </w:tc>
        <w:tc>
          <w:tcPr>
            <w:tcW w:w="1161"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single" w:color="auto"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原因</w:t>
            </w:r>
          </w:p>
        </w:tc>
      </w:tr>
      <w:tr>
        <w:tblPrEx>
          <w:tblCellMar>
            <w:top w:w="0" w:type="dxa"/>
            <w:left w:w="108" w:type="dxa"/>
            <w:bottom w:w="0" w:type="dxa"/>
            <w:right w:w="108" w:type="dxa"/>
          </w:tblCellMar>
        </w:tblPrEx>
        <w:trPr>
          <w:trHeight w:val="45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总额</w:t>
            </w:r>
          </w:p>
        </w:tc>
        <w:tc>
          <w:tcPr>
            <w:tcW w:w="1756"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7.38</w:t>
            </w:r>
          </w:p>
        </w:tc>
        <w:tc>
          <w:tcPr>
            <w:tcW w:w="2693" w:type="dxa"/>
            <w:gridSpan w:val="3"/>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7.38</w:t>
            </w:r>
          </w:p>
        </w:tc>
        <w:tc>
          <w:tcPr>
            <w:tcW w:w="1161"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2022年新成立单位</w:t>
            </w: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其中：财政资金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7.38</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7.38</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60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99"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0.00%</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84"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其他资金</w:t>
            </w:r>
          </w:p>
        </w:tc>
        <w:tc>
          <w:tcPr>
            <w:tcW w:w="1756"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229"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2693"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1161" w:type="dxa"/>
            <w:tcBorders>
              <w:top w:val="nil"/>
              <w:left w:val="nil"/>
              <w:bottom w:val="single" w:color="000000" w:sz="4" w:space="0"/>
              <w:right w:val="single" w:color="000000"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　</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6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33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85" w:hRule="atLeast"/>
        </w:trPr>
        <w:tc>
          <w:tcPr>
            <w:tcW w:w="134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绩效指标（90分）</w:t>
            </w:r>
          </w:p>
        </w:tc>
        <w:tc>
          <w:tcPr>
            <w:tcW w:w="2030" w:type="dxa"/>
            <w:tcBorders>
              <w:top w:val="nil"/>
              <w:left w:val="single" w:color="000000" w:sz="4" w:space="0"/>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一级指标</w:t>
            </w:r>
          </w:p>
        </w:tc>
        <w:tc>
          <w:tcPr>
            <w:tcW w:w="1756"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二级指标</w:t>
            </w:r>
          </w:p>
        </w:tc>
        <w:tc>
          <w:tcPr>
            <w:tcW w:w="2229"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三级指标</w:t>
            </w:r>
          </w:p>
        </w:tc>
        <w:tc>
          <w:tcPr>
            <w:tcW w:w="654"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指标性质</w:t>
            </w:r>
          </w:p>
        </w:tc>
        <w:tc>
          <w:tcPr>
            <w:tcW w:w="1213"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指标值</w:t>
            </w:r>
          </w:p>
        </w:tc>
        <w:tc>
          <w:tcPr>
            <w:tcW w:w="826"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度量单位</w:t>
            </w:r>
          </w:p>
        </w:tc>
        <w:tc>
          <w:tcPr>
            <w:tcW w:w="1161"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完成值</w:t>
            </w:r>
          </w:p>
        </w:tc>
        <w:tc>
          <w:tcPr>
            <w:tcW w:w="613"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权重</w:t>
            </w:r>
          </w:p>
        </w:tc>
        <w:tc>
          <w:tcPr>
            <w:tcW w:w="662"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得分</w:t>
            </w:r>
          </w:p>
        </w:tc>
        <w:tc>
          <w:tcPr>
            <w:tcW w:w="2332" w:type="dxa"/>
            <w:tcBorders>
              <w:top w:val="nil"/>
              <w:left w:val="nil"/>
              <w:bottom w:val="nil"/>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未完成原因分析</w:t>
            </w: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产出指标</w:t>
            </w:r>
          </w:p>
        </w:tc>
        <w:tc>
          <w:tcPr>
            <w:tcW w:w="1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数量指标</w:t>
            </w:r>
          </w:p>
        </w:tc>
        <w:tc>
          <w:tcPr>
            <w:tcW w:w="222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科目调整次数</w:t>
            </w:r>
          </w:p>
        </w:tc>
        <w:tc>
          <w:tcPr>
            <w:tcW w:w="6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次</w:t>
            </w:r>
          </w:p>
        </w:tc>
        <w:tc>
          <w:tcPr>
            <w:tcW w:w="11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足额保障率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时效指标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按时发放率</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100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134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18"/>
                <w:szCs w:val="18"/>
              </w:rPr>
            </w:pPr>
          </w:p>
        </w:tc>
        <w:tc>
          <w:tcPr>
            <w:tcW w:w="203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效益指标</w:t>
            </w:r>
          </w:p>
        </w:tc>
        <w:tc>
          <w:tcPr>
            <w:tcW w:w="17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经济效益指标</w:t>
            </w:r>
          </w:p>
        </w:tc>
        <w:tc>
          <w:tcPr>
            <w:tcW w:w="222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结余率（计算方法为：结余数/预算数）</w:t>
            </w:r>
          </w:p>
        </w:tc>
        <w:tc>
          <w:tcPr>
            <w:tcW w:w="6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0</w:t>
            </w:r>
          </w:p>
        </w:tc>
        <w:tc>
          <w:tcPr>
            <w:tcW w:w="6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6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22.5</w:t>
            </w:r>
          </w:p>
        </w:tc>
        <w:tc>
          <w:tcPr>
            <w:tcW w:w="23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1121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61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66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332"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85"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评价结论</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按照人社局工资审批表和人员工资档案，每月按时足额发放人员奖金。</w:t>
            </w:r>
          </w:p>
        </w:tc>
      </w:tr>
      <w:tr>
        <w:tblPrEx>
          <w:tblCellMar>
            <w:top w:w="0" w:type="dxa"/>
            <w:left w:w="108" w:type="dxa"/>
            <w:bottom w:w="0" w:type="dxa"/>
            <w:right w:w="108" w:type="dxa"/>
          </w:tblCellMar>
        </w:tblPrEx>
        <w:trPr>
          <w:trHeight w:val="270"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存在问题</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270" w:hRule="atLeast"/>
        </w:trPr>
        <w:tc>
          <w:tcPr>
            <w:tcW w:w="134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改进措施</w:t>
            </w:r>
          </w:p>
        </w:tc>
        <w:tc>
          <w:tcPr>
            <w:tcW w:w="13476"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无</w:t>
            </w:r>
          </w:p>
        </w:tc>
      </w:tr>
      <w:tr>
        <w:tblPrEx>
          <w:tblCellMar>
            <w:top w:w="0" w:type="dxa"/>
            <w:left w:w="108" w:type="dxa"/>
            <w:bottom w:w="0" w:type="dxa"/>
            <w:right w:w="108" w:type="dxa"/>
          </w:tblCellMar>
        </w:tblPrEx>
        <w:trPr>
          <w:trHeight w:val="270" w:hRule="atLeast"/>
        </w:trPr>
        <w:tc>
          <w:tcPr>
            <w:tcW w:w="801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项目负责人：熊文彬</w:t>
            </w:r>
          </w:p>
        </w:tc>
        <w:tc>
          <w:tcPr>
            <w:tcW w:w="6807"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left"/>
              <w:rPr>
                <w:rFonts w:ascii="Courier New" w:hAnsi="Courier New" w:cs="Courier New"/>
                <w:color w:val="000000"/>
                <w:kern w:val="0"/>
                <w:sz w:val="18"/>
                <w:szCs w:val="18"/>
              </w:rPr>
            </w:pPr>
            <w:r>
              <w:rPr>
                <w:rFonts w:ascii="Courier New" w:hAnsi="Courier New" w:cs="Courier New"/>
                <w:color w:val="000000"/>
                <w:kern w:val="0"/>
                <w:sz w:val="18"/>
                <w:szCs w:val="18"/>
              </w:rPr>
              <w:t>财务负责人：刘敏</w:t>
            </w:r>
          </w:p>
        </w:tc>
      </w:tr>
    </w:tbl>
    <w:p>
      <w:pPr>
        <w:spacing w:line="600" w:lineRule="exact"/>
        <w:jc w:val="center"/>
        <w:outlineLvl w:val="0"/>
        <w:rPr>
          <w:rFonts w:ascii="黑体" w:hAnsi="黑体" w:eastAsia="黑体"/>
          <w:sz w:val="44"/>
          <w:szCs w:val="44"/>
        </w:rPr>
        <w:sectPr>
          <w:footerReference r:id="rId22" w:type="first"/>
          <w:footerReference r:id="rId21" w:type="default"/>
          <w:pgSz w:w="16838" w:h="11906" w:orient="landscape"/>
          <w:pgMar w:top="1531" w:right="1440" w:bottom="1797" w:left="1440" w:header="851" w:footer="992" w:gutter="0"/>
          <w:pgNumType w:fmt="decimal" w:start="28"/>
          <w:cols w:space="425" w:num="1"/>
          <w:titlePg/>
          <w:docGrid w:type="lines" w:linePitch="312" w:charSpace="0"/>
        </w:sectPr>
      </w:pPr>
    </w:p>
    <w:p>
      <w:pPr>
        <w:spacing w:line="600" w:lineRule="exact"/>
        <w:jc w:val="center"/>
        <w:outlineLvl w:val="0"/>
        <w:rPr>
          <w:rFonts w:ascii="黑体" w:hAnsi="黑体" w:eastAsia="黑体"/>
          <w:sz w:val="44"/>
          <w:szCs w:val="44"/>
        </w:rPr>
      </w:pPr>
      <w:r>
        <w:rPr>
          <w:rFonts w:hint="eastAsia" w:ascii="黑体" w:hAnsi="黑体" w:eastAsia="黑体"/>
          <w:sz w:val="44"/>
          <w:szCs w:val="44"/>
        </w:rPr>
        <w:t>第五部分 附表</w:t>
      </w:r>
      <w:bookmarkEnd w:id="51"/>
      <w:bookmarkEnd w:id="54"/>
      <w:bookmarkStart w:id="55" w:name="_Toc15396619"/>
    </w:p>
    <w:p>
      <w:pPr>
        <w:spacing w:line="600" w:lineRule="exact"/>
        <w:ind w:left="640" w:leftChars="305"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一、收入支出决算总表</w:t>
      </w:r>
      <w:bookmarkEnd w:id="55"/>
      <w:bookmarkStart w:id="56" w:name="_Toc15396620"/>
    </w:p>
    <w:p>
      <w:pPr>
        <w:spacing w:line="600" w:lineRule="exact"/>
        <w:ind w:left="640" w:leftChars="305"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二、收入决算表</w:t>
      </w:r>
      <w:bookmarkEnd w:id="56"/>
      <w:bookmarkStart w:id="57" w:name="_Toc15396621"/>
    </w:p>
    <w:p>
      <w:pPr>
        <w:spacing w:line="600" w:lineRule="exact"/>
        <w:ind w:left="640" w:leftChars="305"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三、支出决算表</w:t>
      </w:r>
      <w:bookmarkEnd w:id="57"/>
      <w:bookmarkStart w:id="58" w:name="_Toc15396622"/>
    </w:p>
    <w:p>
      <w:pPr>
        <w:spacing w:line="600" w:lineRule="exact"/>
        <w:ind w:left="640" w:leftChars="305" w:firstLine="320" w:firstLineChars="100"/>
        <w:rPr>
          <w:rStyle w:val="19"/>
          <w:rFonts w:ascii="方正仿宋_GBK" w:hAnsi="方正仿宋_GBK" w:eastAsia="方正仿宋_GBK" w:cs="方正仿宋_GBK"/>
          <w:b w:val="0"/>
          <w:bCs w:val="0"/>
        </w:rPr>
      </w:pPr>
      <w:r>
        <w:rPr>
          <w:rFonts w:hint="eastAsia" w:ascii="方正仿宋_GBK" w:hAnsi="方正仿宋_GBK" w:eastAsia="方正仿宋_GBK" w:cs="方正仿宋_GBK"/>
          <w:sz w:val="32"/>
          <w:szCs w:val="32"/>
        </w:rPr>
        <w:t>四、财政</w:t>
      </w:r>
      <w:r>
        <w:rPr>
          <w:rStyle w:val="19"/>
          <w:rFonts w:hint="eastAsia" w:ascii="方正仿宋_GBK" w:hAnsi="方正仿宋_GBK" w:eastAsia="方正仿宋_GBK" w:cs="方正仿宋_GBK"/>
          <w:b w:val="0"/>
          <w:bCs w:val="0"/>
        </w:rPr>
        <w:t>拨款收入支出决算总表</w:t>
      </w:r>
      <w:bookmarkEnd w:id="58"/>
      <w:bookmarkStart w:id="59" w:name="_Toc15396623"/>
    </w:p>
    <w:p>
      <w:pPr>
        <w:spacing w:line="600" w:lineRule="exact"/>
        <w:ind w:left="640" w:leftChars="305"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五、财政拨款支出决算明细表</w:t>
      </w:r>
      <w:bookmarkEnd w:id="59"/>
      <w:bookmarkStart w:id="60" w:name="_Toc15396624"/>
    </w:p>
    <w:p>
      <w:pPr>
        <w:spacing w:line="600" w:lineRule="exact"/>
        <w:ind w:left="640" w:leftChars="305"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六、一般公共预算财政拨款支出决算表</w:t>
      </w:r>
      <w:bookmarkEnd w:id="60"/>
      <w:bookmarkStart w:id="61" w:name="_Toc15396625"/>
    </w:p>
    <w:p>
      <w:pPr>
        <w:spacing w:line="600" w:lineRule="exact"/>
        <w:ind w:left="640" w:leftChars="305"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七、一般公共预算财政拨款支出决算明细表</w:t>
      </w:r>
      <w:bookmarkEnd w:id="61"/>
      <w:bookmarkStart w:id="62" w:name="_Toc15396626"/>
    </w:p>
    <w:p>
      <w:pPr>
        <w:spacing w:line="600" w:lineRule="exact"/>
        <w:ind w:left="640" w:leftChars="305"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八、一般公共预算财政拨款基本支出决算表</w:t>
      </w:r>
      <w:bookmarkEnd w:id="62"/>
      <w:bookmarkStart w:id="63" w:name="_Toc15396627"/>
    </w:p>
    <w:p>
      <w:pPr>
        <w:spacing w:line="600" w:lineRule="exact"/>
        <w:ind w:left="640" w:leftChars="305"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九、一般公共预算财政拨款项目支出决算表</w:t>
      </w:r>
      <w:bookmarkEnd w:id="63"/>
      <w:bookmarkStart w:id="64" w:name="_Toc15396628"/>
    </w:p>
    <w:p>
      <w:pPr>
        <w:spacing w:line="600" w:lineRule="exact"/>
        <w:ind w:left="640" w:leftChars="305"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十、</w:t>
      </w:r>
      <w:bookmarkEnd w:id="64"/>
      <w:r>
        <w:rPr>
          <w:rFonts w:hint="eastAsia" w:ascii="方正仿宋_GBK" w:hAnsi="方正仿宋_GBK" w:eastAsia="方正仿宋_GBK" w:cs="方正仿宋_GBK"/>
          <w:sz w:val="32"/>
          <w:szCs w:val="32"/>
        </w:rPr>
        <w:t>政府性基金预算财政拨款收入支出决算表</w:t>
      </w:r>
      <w:bookmarkStart w:id="65" w:name="_Toc15396629"/>
    </w:p>
    <w:p>
      <w:pPr>
        <w:spacing w:line="600" w:lineRule="exact"/>
        <w:ind w:left="640" w:leftChars="305"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十一、</w:t>
      </w:r>
      <w:bookmarkEnd w:id="65"/>
      <w:r>
        <w:rPr>
          <w:rFonts w:hint="eastAsia" w:ascii="方正仿宋_GBK" w:hAnsi="方正仿宋_GBK" w:eastAsia="方正仿宋_GBK" w:cs="方正仿宋_GBK"/>
          <w:sz w:val="32"/>
          <w:szCs w:val="32"/>
        </w:rPr>
        <w:t>国有资本经营预算财政拨款收入支出决算表</w:t>
      </w:r>
      <w:bookmarkStart w:id="66" w:name="_Toc15396630"/>
    </w:p>
    <w:p>
      <w:pPr>
        <w:spacing w:line="600" w:lineRule="exact"/>
        <w:ind w:left="640" w:leftChars="305"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十二、</w:t>
      </w:r>
      <w:bookmarkEnd w:id="66"/>
      <w:r>
        <w:rPr>
          <w:rFonts w:hint="eastAsia" w:ascii="方正仿宋_GBK" w:hAnsi="方正仿宋_GBK" w:eastAsia="方正仿宋_GBK" w:cs="方正仿宋_GBK"/>
          <w:sz w:val="32"/>
          <w:szCs w:val="32"/>
        </w:rPr>
        <w:t>国有资本经营预算财政拨款支出决算表</w:t>
      </w:r>
      <w:bookmarkStart w:id="67" w:name="_Toc15396631"/>
    </w:p>
    <w:p>
      <w:pPr>
        <w:spacing w:line="600" w:lineRule="exact"/>
        <w:ind w:left="640" w:leftChars="305" w:firstLine="320" w:firstLineChars="100"/>
        <w:rPr>
          <w:rFonts w:ascii="方正仿宋_GBK" w:hAnsi="方正仿宋_GBK" w:eastAsia="方正仿宋_GBK" w:cs="方正仿宋_GBK"/>
        </w:rPr>
      </w:pPr>
      <w:r>
        <w:rPr>
          <w:rFonts w:hint="eastAsia" w:ascii="方正仿宋_GBK" w:hAnsi="方正仿宋_GBK" w:eastAsia="方正仿宋_GBK" w:cs="方正仿宋_GBK"/>
          <w:sz w:val="32"/>
          <w:szCs w:val="32"/>
        </w:rPr>
        <w:t>十三、</w:t>
      </w:r>
      <w:bookmarkEnd w:id="67"/>
      <w:r>
        <w:rPr>
          <w:rFonts w:hint="eastAsia" w:ascii="方正仿宋_GBK" w:hAnsi="方正仿宋_GBK" w:eastAsia="方正仿宋_GBK" w:cs="方正仿宋_GBK"/>
          <w:sz w:val="32"/>
          <w:szCs w:val="32"/>
        </w:rPr>
        <w:t>财政拨款“三公”经</w:t>
      </w:r>
      <w:r>
        <w:rPr>
          <w:rStyle w:val="19"/>
          <w:rFonts w:hint="eastAsia" w:ascii="方正仿宋_GBK" w:hAnsi="方正仿宋_GBK" w:eastAsia="方正仿宋_GBK" w:cs="方正仿宋_GBK"/>
          <w:b w:val="0"/>
          <w:bCs w:val="0"/>
        </w:rPr>
        <w:t>费支出决算表</w:t>
      </w:r>
    </w:p>
    <w:sectPr>
      <w:pgSz w:w="11906" w:h="16838"/>
      <w:pgMar w:top="1440" w:right="1797" w:bottom="1440" w:left="1531" w:header="851" w:footer="99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9F5D169-84C7-455B-A9C2-CA6CC4CF66D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ED144E7-7254-4E39-9E4A-E0B8E575E26A}"/>
  </w:font>
  <w:font w:name="Cambria">
    <w:panose1 w:val="02040503050406030204"/>
    <w:charset w:val="00"/>
    <w:family w:val="roman"/>
    <w:pitch w:val="default"/>
    <w:sig w:usb0="E00006FF" w:usb1="420024FF" w:usb2="02000000" w:usb3="00000000" w:csb0="2000019F" w:csb1="00000000"/>
    <w:embedRegular r:id="rId3" w:fontKey="{2D6DF5EA-E6B1-4C37-91F9-EE8268AD4E50}"/>
  </w:font>
  <w:font w:name="仿宋_GB2312">
    <w:altName w:val="仿宋"/>
    <w:panose1 w:val="00000000000000000000"/>
    <w:charset w:val="86"/>
    <w:family w:val="modern"/>
    <w:pitch w:val="default"/>
    <w:sig w:usb0="00000000" w:usb1="00000000" w:usb2="00000000" w:usb3="00000000" w:csb0="00040000" w:csb1="00000000"/>
    <w:embedRegular r:id="rId4" w:fontKey="{6AA8FA6B-1918-4534-9D9D-08F6E44B4438}"/>
  </w:font>
  <w:font w:name="仿宋">
    <w:panose1 w:val="02010609060101010101"/>
    <w:charset w:val="86"/>
    <w:family w:val="modern"/>
    <w:pitch w:val="default"/>
    <w:sig w:usb0="800002BF" w:usb1="38CF7CFA" w:usb2="00000016" w:usb3="00000000" w:csb0="00040001" w:csb1="00000000"/>
    <w:embedRegular r:id="rId5" w:fontKey="{0FF4007C-7C88-40E1-8BF5-C67AFEE5E8E2}"/>
  </w:font>
  <w:font w:name="Courier New">
    <w:panose1 w:val="02070309020205020404"/>
    <w:charset w:val="00"/>
    <w:family w:val="modern"/>
    <w:pitch w:val="default"/>
    <w:sig w:usb0="E0002EFF" w:usb1="C0007843" w:usb2="00000009" w:usb3="00000000" w:csb0="400001FF" w:csb1="FFFF0000"/>
    <w:embedRegular r:id="rId6" w:fontKey="{CD92933F-9BE6-470F-8360-BAEF44A92102}"/>
  </w:font>
  <w:font w:name="微软雅黑">
    <w:panose1 w:val="020B0503020204020204"/>
    <w:charset w:val="86"/>
    <w:family w:val="swiss"/>
    <w:pitch w:val="default"/>
    <w:sig w:usb0="80000287" w:usb1="2ACF3C50" w:usb2="00000016" w:usb3="00000000" w:csb0="0004001F" w:csb1="00000000"/>
    <w:embedRegular r:id="rId7" w:fontKey="{A553C182-DE01-4FBB-A17E-F829482A7602}"/>
  </w:font>
  <w:font w:name="方正小标宋简体">
    <w:panose1 w:val="02000000000000000000"/>
    <w:charset w:val="86"/>
    <w:family w:val="script"/>
    <w:pitch w:val="default"/>
    <w:sig w:usb0="00000001" w:usb1="080E0000" w:usb2="00000000" w:usb3="00000000" w:csb0="00040000" w:csb1="00000000"/>
    <w:embedRegular r:id="rId8" w:fontKey="{6CF320FF-F4D7-452F-AEF5-DB5E73C98703}"/>
  </w:font>
  <w:font w:name="方正小标宋_GBK">
    <w:panose1 w:val="03000509000000000000"/>
    <w:charset w:val="86"/>
    <w:family w:val="auto"/>
    <w:pitch w:val="default"/>
    <w:sig w:usb0="00000001" w:usb1="080E0000" w:usb2="00000000" w:usb3="00000000" w:csb0="00040000" w:csb1="00000000"/>
    <w:embedRegular r:id="rId9" w:fontKey="{3D4BBEDB-18B6-4E23-A125-A7357AD1CE13}"/>
  </w:font>
  <w:font w:name="方正仿宋简体">
    <w:panose1 w:val="02000000000000000000"/>
    <w:charset w:val="86"/>
    <w:family w:val="auto"/>
    <w:pitch w:val="default"/>
    <w:sig w:usb0="00000001" w:usb1="080E0000" w:usb2="00000000" w:usb3="00000000" w:csb0="00040000" w:csb1="00000000"/>
    <w:embedRegular r:id="rId10" w:fontKey="{F3C61EDE-EFA1-40CE-A842-AAA1D67598DA}"/>
  </w:font>
  <w:font w:name="方正仿宋_GBK">
    <w:panose1 w:val="03000509000000000000"/>
    <w:charset w:val="86"/>
    <w:family w:val="auto"/>
    <w:pitch w:val="default"/>
    <w:sig w:usb0="00000001" w:usb1="080E0000" w:usb2="00000000" w:usb3="00000000" w:csb0="00040000" w:csb1="00000000"/>
    <w:embedRegular r:id="rId11" w:fontKey="{6D7E8382-59F6-44E9-AE5D-2FB37C70CF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683584401"/>
                          </w:sdtPr>
                          <w:sdtContent>
                            <w:p>
                              <w:pPr>
                                <w:pStyle w:val="8"/>
                                <w:jc w:val="right"/>
                              </w:pPr>
                              <w:r>
                                <w:fldChar w:fldCharType="begin"/>
                              </w:r>
                              <w:r>
                                <w:instrText xml:space="preserve">PAGE   \* MERGEFORMAT</w:instrText>
                              </w:r>
                              <w:r>
                                <w:fldChar w:fldCharType="separate"/>
                              </w:r>
                              <w:r>
                                <w:rPr>
                                  <w:lang w:val="zh-CN"/>
                                </w:rPr>
                                <w:t>13</w:t>
                              </w:r>
                              <w:r>
                                <w:fldChar w:fldCharType="end"/>
                              </w:r>
                            </w:p>
                          </w:sdtContent>
                        </w:sdt>
                        <w:p>
                          <w:pPr>
                            <w:pStyle w:val="2"/>
                            <w:spacing w:before="7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1683584401"/>
                    </w:sdtPr>
                    <w:sdtContent>
                      <w:p>
                        <w:pPr>
                          <w:pStyle w:val="8"/>
                          <w:jc w:val="right"/>
                        </w:pPr>
                        <w:r>
                          <w:fldChar w:fldCharType="begin"/>
                        </w:r>
                        <w:r>
                          <w:instrText xml:space="preserve">PAGE   \* MERGEFORMAT</w:instrText>
                        </w:r>
                        <w:r>
                          <w:fldChar w:fldCharType="separate"/>
                        </w:r>
                        <w:r>
                          <w:rPr>
                            <w:lang w:val="zh-CN"/>
                          </w:rPr>
                          <w:t>13</w:t>
                        </w:r>
                        <w:r>
                          <w:fldChar w:fldCharType="end"/>
                        </w:r>
                      </w:p>
                    </w:sdtContent>
                  </w:sdt>
                  <w:p>
                    <w:pPr>
                      <w:pStyle w:val="2"/>
                      <w:spacing w:before="72"/>
                    </w:pPr>
                  </w:p>
                </w:txbxContent>
              </v:textbox>
            </v:shape>
          </w:pict>
        </mc:Fallback>
      </mc:AlternateContent>
    </w:r>
  </w:p>
  <w:p>
    <w:pPr>
      <w:pStyle w:val="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9372"/>
        <w:tab w:val="right" w:pos="13958"/>
        <w:tab w:val="clear" w:pos="4153"/>
      </w:tabs>
      <w:ind w:firstLine="13680" w:firstLineChars="7600"/>
      <w:jc w:val="both"/>
      <w:rPr>
        <w:rFonts w:hint="default"/>
        <w:lang w:val="en-US"/>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pPr>
                      <w:pStyle w:val="8"/>
                    </w:pP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8"/>
                    </w:pPr>
                  </w:p>
                </w:txbxContent>
              </v:textbox>
            </v:shape>
          </w:pict>
        </mc:Fallback>
      </mc:AlternateContent>
    </w:r>
    <w:r>
      <w:rPr>
        <w:rFonts w:hint="eastAsia"/>
        <w:lang w:val="en-US" w:eastAsia="zh-CN"/>
      </w:rPr>
      <w:tab/>
    </w:r>
    <w:r>
      <w:rPr>
        <w:rFonts w:hint="eastAsia"/>
        <w:lang w:val="en-US" w:eastAsia="zh-CN"/>
      </w:rPr>
      <w:tab/>
    </w:r>
    <w:r>
      <w:rPr>
        <w:rFonts w:hint="eastAsia"/>
        <w:lang w:val="en-US" w:eastAsia="zh-CN"/>
      </w:rPr>
      <w:t>23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default" w:eastAsia="宋体"/>
        <w:lang w:val="en-US" w:eastAsia="zh-CN"/>
      </w:rPr>
    </w:pPr>
    <w:r>
      <w:rPr>
        <w:rFonts w:hint="eastAsia"/>
        <w:sz w:val="18"/>
        <w:lang w:val="en-US" w:eastAsia="zh-CN"/>
      </w:rPr>
      <w:t>22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9372"/>
        <w:tab w:val="right" w:pos="13958"/>
        <w:tab w:val="clear" w:pos="4153"/>
      </w:tabs>
      <w:ind w:firstLine="13680" w:firstLineChars="7600"/>
      <w:jc w:val="both"/>
      <w:rPr>
        <w:rFonts w:hint="default"/>
        <w:lang w:val="en-US"/>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spEF7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spEF7eAgAAJgYAAA4AAAAAAAAAAQAgAAAAHwEAAGRycy9lMm9Eb2MueG1sUEsF&#10;BgAAAAAGAAYAWQEAAG8GAAAAAA==&#10;">
              <v:fill on="f" focussize="0,0"/>
              <v:stroke on="f" weight="0.5pt"/>
              <v:imagedata o:title=""/>
              <o:lock v:ext="edit" aspectratio="f"/>
              <v:textbox inset="0mm,0mm,0mm,0mm" style="mso-fit-shape-to-text:t;">
                <w:txbxContent>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8"/>
                    </w:pPr>
                  </w:p>
                </w:txbxContent>
              </v:textbox>
            </v:shape>
          </w:pict>
        </mc:Fallback>
      </mc:AlternateContent>
    </w:r>
    <w:r>
      <w:rPr>
        <w:rFonts w:hint="eastAsia"/>
        <w:lang w:val="en-US" w:eastAsia="zh-CN"/>
      </w:rPr>
      <w:tab/>
    </w:r>
    <w:r>
      <w:rPr>
        <w:rFonts w:hint="eastAsia"/>
        <w:lang w:val="en-US" w:eastAsia="zh-CN"/>
      </w:rPr>
      <w:tab/>
    </w:r>
    <w:r>
      <w:rPr>
        <w:rFonts w:hint="eastAsia"/>
        <w:lang w:val="en-US" w:eastAsia="zh-CN"/>
      </w:rPr>
      <w:t>25</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default" w:eastAsia="宋体"/>
        <w:lang w:val="en-US" w:eastAsia="zh-CN"/>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WLvT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Y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0WLvTeAgAAJgYAAA4AAAAAAAAAAQAgAAAAHwEAAGRycy9lMm9Eb2MueG1sUEsF&#10;BgAAAAAGAAYAWQEAAG8GAAAAAA==&#10;">
              <v:fill on="f" focussize="0,0"/>
              <v:stroke on="f" weight="0.5pt"/>
              <v:imagedata o:title=""/>
              <o:lock v:ext="edit" aspectratio="f"/>
              <v:textbox inset="0mm,0mm,0mm,0mm" style="mso-fit-shape-to-text:t;">
                <w:txbxContent>
                  <w:p>
                    <w:pPr>
                      <w:pStyle w:val="8"/>
                    </w:pPr>
                  </w:p>
                </w:txbxContent>
              </v:textbox>
            </v:shape>
          </w:pict>
        </mc:Fallback>
      </mc:AlternateContent>
    </w:r>
    <w:r>
      <w:rPr>
        <w:rFonts w:hint="eastAsia"/>
        <w:sz w:val="18"/>
        <w:lang w:val="en-US" w:eastAsia="zh-CN"/>
      </w:rPr>
      <w:t>24</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8292"/>
        <w:tab w:val="left" w:pos="9372"/>
        <w:tab w:val="right" w:pos="13958"/>
        <w:tab w:val="clear" w:pos="4153"/>
      </w:tabs>
      <w:ind w:firstLine="13680" w:firstLineChars="7600"/>
      <w:jc w:val="both"/>
      <w:rPr>
        <w:rFonts w:hint="default"/>
        <w:lang w:val="en-US"/>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I42D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EI42DeAgAAJgYAAA4AAAAAAAAAAQAgAAAAHwEAAGRycy9lMm9Eb2MueG1sUEsF&#10;BgAAAAAGAAYAWQEAAG8GAAAAAA==&#10;">
              <v:fill on="f" focussize="0,0"/>
              <v:stroke on="f" weight="0.5pt"/>
              <v:imagedata o:title=""/>
              <o:lock v:ext="edit" aspectratio="f"/>
              <v:textbox inset="0mm,0mm,0mm,0mm" style="mso-fit-shape-to-text:t;">
                <w:txbxContent>
                  <w:p>
                    <w:pPr>
                      <w:pStyle w:val="8"/>
                    </w:pPr>
                  </w:p>
                </w:txbxContent>
              </v:textbox>
            </v:shape>
          </w:pict>
        </mc:Fallback>
      </mc:AlternateContent>
    </w: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txbxContent>
              </v:textbox>
            </v:shape>
          </w:pict>
        </mc:Fallback>
      </mc:AlternateContent>
    </w: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8"/>
                    </w:pPr>
                  </w:p>
                </w:txbxContent>
              </v:textbox>
            </v:shape>
          </w:pict>
        </mc:Fallback>
      </mc:AlternateContent>
    </w:r>
    <w:r>
      <w:rPr>
        <w:rFonts w:hint="eastAsia"/>
        <w:lang w:val="en-US" w:eastAsia="zh-CN"/>
      </w:rPr>
      <w:t>27</w:t>
    </w:r>
    <w:r>
      <w:rPr>
        <w:rFonts w:hint="eastAsia"/>
        <w:lang w:val="en-US" w:eastAsia="zh-CN"/>
      </w:rPr>
      <w:tab/>
      <w:t/>
    </w:r>
    <w:r>
      <w:rPr>
        <w:rFonts w:hint="eastAsia"/>
        <w:lang w:val="en-US" w:eastAsia="zh-CN"/>
      </w:rPr>
      <w:tab/>
      <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27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default" w:eastAsia="宋体"/>
        <w:lang w:val="en-US" w:eastAsia="zh-CN"/>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4U2Rn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4U2RneAgAAJgYAAA4AAAAAAAAAAQAgAAAAHwEAAGRycy9lMm9Eb2MueG1sUEsF&#10;BgAAAAAGAAYAWQEAAG8GAAAAAA==&#10;">
              <v:fill on="f" focussize="0,0"/>
              <v:stroke on="f" weight="0.5pt"/>
              <v:imagedata o:title=""/>
              <o:lock v:ext="edit" aspectratio="f"/>
              <v:textbox inset="0mm,0mm,0mm,0mm" style="mso-fit-shape-to-text:t;">
                <w:txbxContent>
                  <w:p/>
                </w:txbxContent>
              </v:textbox>
            </v:shape>
          </w:pict>
        </mc:Fallback>
      </mc:AlternateContent>
    </w: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8"/>
                    </w:pPr>
                  </w:p>
                </w:txbxContent>
              </v:textbox>
            </v:shape>
          </w:pict>
        </mc:Fallback>
      </mc:AlternateContent>
    </w:r>
    <w:r>
      <w:rPr>
        <w:rFonts w:hint="eastAsia"/>
        <w:sz w:val="18"/>
        <w:lang w:val="en-US" w:eastAsia="zh-CN"/>
      </w:rPr>
      <w:t>26</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8292"/>
        <w:tab w:val="left" w:pos="9372"/>
        <w:tab w:val="right" w:pos="13958"/>
        <w:tab w:val="clear" w:pos="4153"/>
      </w:tabs>
      <w:ind w:firstLine="13680" w:firstLineChars="7600"/>
      <w:jc w:val="both"/>
      <w:rPr>
        <w:rFonts w:hint="default"/>
        <w:lang w:val="en-US"/>
      </w:rPr>
    </w:pPr>
    <w:r>
      <w:rPr>
        <w:sz w:val="18"/>
      </w:rPr>
      <mc:AlternateContent>
        <mc:Choice Requires="wps">
          <w:drawing>
            <wp:anchor distT="0" distB="0" distL="114300" distR="114300" simplePos="0" relativeHeight="251680768" behindDoc="0" locked="0" layoutInCell="1" allowOverlap="1">
              <wp:simplePos x="0" y="0"/>
              <wp:positionH relativeFrom="margin">
                <wp:align>right</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bv1P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4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ibv1PeAgAAJgYAAA4AAAAAAAAAAQAgAAAAHwEAAGRycy9lMm9Eb2MueG1sUEsF&#10;BgAAAAAGAAYAWQEAAG8G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8"/>
                    </w:pPr>
                  </w:p>
                </w:txbxContent>
              </v:textbox>
            </v:shape>
          </w:pict>
        </mc:Fallback>
      </mc:AlternateContent>
    </w: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txbxContent>
              </v:textbox>
            </v:shape>
          </w:pict>
        </mc:Fallback>
      </mc:AlternateContent>
    </w: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8"/>
                    </w:pPr>
                  </w:p>
                </w:txbxContent>
              </v:textbox>
            </v:shape>
          </w:pict>
        </mc:Fallback>
      </mc:AlternateConten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27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enter" w:pos="6979"/>
        <w:tab w:val="right" w:pos="14078"/>
      </w:tabs>
      <w:jc w:val="left"/>
      <w:rPr>
        <w:rFonts w:hint="default" w:eastAsia="宋体"/>
        <w:lang w:val="en-US" w:eastAsia="zh-CN"/>
      </w:rPr>
    </w:pPr>
    <w:r>
      <w:rPr>
        <w:sz w:val="18"/>
      </w:rPr>
      <mc:AlternateContent>
        <mc:Choice Requires="wps">
          <w:drawing>
            <wp:anchor distT="0" distB="0" distL="114300" distR="114300" simplePos="0" relativeHeight="251681792" behindDoc="0" locked="0" layoutInCell="1" allowOverlap="1">
              <wp:simplePos x="0" y="0"/>
              <wp:positionH relativeFrom="margin">
                <wp:align>right</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6kgfn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6kgfneAgAAJgYAAA4AAAAAAAAAAQAgAAAAHwEAAGRycy9lMm9Eb2MueG1sUEsF&#10;BgAAAAAGAAYAWQEAAG8G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18"/>
        <w:lang w:val="en-US" w:eastAsia="zh-CN"/>
      </w:rPr>
      <w:tab/>
      <w:t xml:space="preserve">       </w:t>
    </w:r>
    <w:r>
      <w:rPr>
        <w:rFonts w:hint="eastAsia"/>
        <w:sz w:val="18"/>
        <w:lang w:val="en-US" w:eastAsia="zh-CN"/>
      </w:rPr>
      <w:tab/>
      <w:t xml:space="preserve">                                        </w:t>
    </w:r>
    <w:bookmarkStart w:id="68" w:name="_GoBack"/>
    <w:bookmarkEnd w:id="68"/>
    <w:r>
      <w:rPr>
        <w:rFonts w:hint="eastAsia"/>
        <w:sz w:val="18"/>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19</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posOffset>8759825</wp:posOffset>
              </wp:positionH>
              <wp:positionV relativeFrom="paragraph">
                <wp:posOffset>0</wp:posOffset>
              </wp:positionV>
              <wp:extent cx="1828800" cy="1828800"/>
              <wp:effectExtent l="0" t="0" r="10795"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24727737"/>
                          </w:sdtPr>
                          <w:sdtEndPr>
                            <w:rPr>
                              <w:rFonts w:hint="default"/>
                              <w:lang w:val="en-US"/>
                            </w:rPr>
                          </w:sdtEndPr>
                          <w:sdtContent>
                            <w:p>
                              <w:pPr>
                                <w:pStyle w:val="8"/>
                                <w:jc w:val="right"/>
                              </w:pPr>
                              <w:r>
                                <w:rPr>
                                  <w:rFonts w:hint="eastAsia"/>
                                  <w:lang w:val="en-US" w:eastAsia="zh-CN"/>
                                </w:rPr>
                                <w:t>19</w:t>
                              </w:r>
                            </w:p>
                          </w:sdtContent>
                        </w:sdt>
                        <w:p>
                          <w:pPr>
                            <w:pStyle w:val="2"/>
                            <w:spacing w:before="7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689.75pt;margin-top:0pt;height:144pt;width:144pt;mso-position-horizontal-relative:margin;mso-wrap-style:none;z-index:251661312;mso-width-relative:page;mso-height-relative:page;" filled="f" stroked="f" coordsize="21600,21600" o:gfxdata="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qR0n7VAAAACgEAAA8AAAAAAAAAAQAgAAAAIgAAAGRycy9kb3ducmV2LnhtbFBLAQIUABQA&#10;AAAIAIdO4kAXDIm4LAIAAFUEAAAOAAAAAAAAAAEAIAAAACQBAABkcnMvZTJvRG9jLnhtbFBLBQYA&#10;AAAABgAGAFkBAADCBQAAAAA=&#10;">
              <v:fill on="f" focussize="0,0"/>
              <v:stroke on="f" weight="0.5pt"/>
              <v:imagedata o:title=""/>
              <o:lock v:ext="edit" aspectratio="f"/>
              <v:textbox inset="0mm,0mm,0mm,0mm" style="mso-fit-shape-to-text:t;">
                <w:txbxContent>
                  <w:sdt>
                    <w:sdtPr>
                      <w:id w:val="-924727737"/>
                    </w:sdtPr>
                    <w:sdtEndPr>
                      <w:rPr>
                        <w:rFonts w:hint="default"/>
                        <w:lang w:val="en-US"/>
                      </w:rPr>
                    </w:sdtEndPr>
                    <w:sdtContent>
                      <w:p>
                        <w:pPr>
                          <w:pStyle w:val="8"/>
                          <w:jc w:val="right"/>
                        </w:pPr>
                        <w:r>
                          <w:rPr>
                            <w:rFonts w:hint="eastAsia"/>
                            <w:lang w:val="en-US" w:eastAsia="zh-CN"/>
                          </w:rPr>
                          <w:t>19</w:t>
                        </w:r>
                      </w:p>
                    </w:sdtContent>
                  </w:sdt>
                  <w:p>
                    <w:pPr>
                      <w:pStyle w:val="2"/>
                      <w:spacing w:before="72"/>
                    </w:pPr>
                  </w:p>
                </w:txbxContent>
              </v:textbox>
            </v:shape>
          </w:pict>
        </mc:Fallback>
      </mc:AlternateContent>
    </w:r>
  </w:p>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default" w:eastAsia="宋体"/>
        <w:lang w:val="en-US" w:eastAsia="zh-CN"/>
      </w:rPr>
    </w:pPr>
    <w:r>
      <w:rPr>
        <w:rFonts w:hint="eastAsia"/>
        <w:lang w:val="en-US" w:eastAsia="zh-CN"/>
      </w:rPr>
      <w:t>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13958"/>
        <w:tab w:val="clear" w:pos="4153"/>
      </w:tabs>
      <w:jc w:val="both"/>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8"/>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posOffset>8759825</wp:posOffset>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24727737"/>
                          </w:sdtPr>
                          <w:sdtEndPr>
                            <w:rPr>
                              <w:rFonts w:hint="default"/>
                              <w:lang w:val="en-US"/>
                            </w:rPr>
                          </w:sdtEndPr>
                          <w:sdtContent>
                            <w:p>
                              <w:pPr>
                                <w:pStyle w:val="8"/>
                                <w:jc w:val="right"/>
                              </w:pPr>
                              <w:r>
                                <w:rPr>
                                  <w:rFonts w:hint="eastAsia"/>
                                  <w:lang w:val="en-US" w:eastAsia="zh-CN"/>
                                </w:rPr>
                                <w:t>19</w:t>
                              </w:r>
                            </w:p>
                          </w:sdtContent>
                        </w:sdt>
                        <w:p>
                          <w:pPr>
                            <w:pStyle w:val="2"/>
                            <w:spacing w:before="7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689.75pt;margin-top:0pt;height:144pt;width:144pt;mso-position-horizontal-relative:margin;mso-wrap-style:none;z-index:251663360;mso-width-relative:page;mso-height-relative:page;" filled="f" stroked="f" coordsize="21600,21600" o:gfxdata="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qR0n7VAAAACgEAAA8AAAAAAAAAAQAgAAAAIgAAAGRycy9kb3ducmV2LnhtbFBLAQIUABQA&#10;AAAIAIdO4kDKv6PlLAIAAFUEAAAOAAAAAAAAAAEAIAAAACQBAABkcnMvZTJvRG9jLnhtbFBLBQYA&#10;AAAABgAGAFkBAADCBQAAAAA=&#10;">
              <v:fill on="f" focussize="0,0"/>
              <v:stroke on="f" weight="0.5pt"/>
              <v:imagedata o:title=""/>
              <o:lock v:ext="edit" aspectratio="f"/>
              <v:textbox inset="0mm,0mm,0mm,0mm" style="mso-fit-shape-to-text:t;">
                <w:txbxContent>
                  <w:sdt>
                    <w:sdtPr>
                      <w:id w:val="-924727737"/>
                    </w:sdtPr>
                    <w:sdtEndPr>
                      <w:rPr>
                        <w:rFonts w:hint="default"/>
                        <w:lang w:val="en-US"/>
                      </w:rPr>
                    </w:sdtEndPr>
                    <w:sdtContent>
                      <w:p>
                        <w:pPr>
                          <w:pStyle w:val="8"/>
                          <w:jc w:val="right"/>
                        </w:pPr>
                        <w:r>
                          <w:rPr>
                            <w:rFonts w:hint="eastAsia"/>
                            <w:lang w:val="en-US" w:eastAsia="zh-CN"/>
                          </w:rPr>
                          <w:t>19</w:t>
                        </w:r>
                      </w:p>
                    </w:sdtContent>
                  </w:sdt>
                  <w:p>
                    <w:pPr>
                      <w:pStyle w:val="2"/>
                      <w:spacing w:before="72"/>
                    </w:pPr>
                  </w:p>
                </w:txbxContent>
              </v:textbox>
            </v:shape>
          </w:pict>
        </mc:Fallback>
      </mc:AlternateContent>
    </w:r>
  </w:p>
  <w:p>
    <w:pPr>
      <w:pStyle w:val="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default" w:eastAsia="宋体"/>
        <w:lang w:val="en-US" w:eastAsia="zh-CN"/>
      </w:rPr>
    </w:pPr>
    <w:r>
      <w:rPr>
        <w:rFonts w:hint="eastAsia"/>
        <w:lang w:val="en-US" w:eastAsia="zh-CN"/>
      </w:rPr>
      <w:t>18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9372"/>
        <w:tab w:val="right" w:pos="13958"/>
        <w:tab w:val="clear" w:pos="4153"/>
      </w:tabs>
      <w:ind w:firstLine="13680" w:firstLineChars="7600"/>
      <w:jc w:val="both"/>
      <w:rPr>
        <w:rFonts w:hint="default"/>
        <w:lang w:val="en-US"/>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Ii43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QiLjd0CAAAmBgAADgAAAAAAAAABACAAAAAfAQAAZHJzL2Uyb0RvYy54bWxQSwUG&#10;AAAAAAYABgBZAQAAbgYAAAAA&#10;">
              <v:fill on="f" focussize="0,0"/>
              <v:stroke on="f" weight="0.5pt"/>
              <v:imagedata o:title=""/>
              <o:lock v:ext="edit" aspectratio="f"/>
              <v:textbox inset="0mm,0mm,0mm,0mm" style="mso-fit-shape-to-text:t;">
                <w:txbxContent>
                  <w:p>
                    <w:pPr>
                      <w:pStyle w:val="8"/>
                    </w:pPr>
                  </w:p>
                </w:txbxContent>
              </v:textbox>
            </v:shape>
          </w:pict>
        </mc:Fallback>
      </mc:AlternateContent>
    </w:r>
    <w:r>
      <w:rPr>
        <w:rFonts w:hint="eastAsia"/>
        <w:lang w:val="en-US" w:eastAsia="zh-CN"/>
      </w:rPr>
      <w:tab/>
      <w:t/>
    </w:r>
    <w:r>
      <w:rPr>
        <w:rFonts w:hint="eastAsia"/>
        <w:lang w:val="en-US" w:eastAsia="zh-CN"/>
      </w:rPr>
      <w:tab/>
      <w:t>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default" w:eastAsia="宋体"/>
        <w:lang w:val="en-US" w:eastAsia="zh-CN"/>
      </w:rPr>
    </w:pPr>
    <w:r>
      <w:rPr>
        <w:rFonts w:hint="default"/>
        <w:sz w:val="18"/>
        <w:lang w:val="en-US"/>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3tSfd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FGgrRQ&#10;8ftvX++//7z/8QXBHgi0VWYCcbcKIu3uUu4guN83sOl47yrdun9ghMAP8t4d5GU7i6g7lA7SNAIX&#10;BV+/APzweFxpY18x2SJnZFhD/bysZLMwtgvtQ9xtQhYN576GXKBthoenZ5E/cPAAOBcuFrIAjL3V&#10;1ebTOBpfpVdpEiSD4VWQRHkezIp5EgyLeHSWn+bzeR5/dnhxMqmbsmTC3df3SZw8rw77XukqfOgU&#10;I3lTOjiXktGr5ZxrtCHQp4X/OYUh+Qdh4eM0vBtYPaEUD5LocjAOimE6CpIiOQvGoygNonh8OR5G&#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ze1J90CAAAmBgAADgAAAAAAAAABACAAAAAfAQAAZHJzL2Uyb0RvYy54bWxQSwUG&#10;AAAAAAYABgBZAQAAbgYAAAAA&#10;">
              <v:fill on="f" focussize="0,0"/>
              <v:stroke on="f" weight="0.5pt"/>
              <v:imagedata o:title=""/>
              <o:lock v:ext="edit" aspectratio="f"/>
              <v:textbox inset="0mm,0mm,0mm,0mm" style="mso-fit-shape-to-text:t;">
                <w:txbxContent>
                  <w:p>
                    <w:pPr>
                      <w:pStyle w:val="8"/>
                    </w:pPr>
                  </w:p>
                </w:txbxContent>
              </v:textbox>
            </v:shape>
          </w:pict>
        </mc:Fallback>
      </mc:AlternateContent>
    </w:r>
    <w:r>
      <w:rPr>
        <w:rFonts w:hint="eastAsia"/>
        <w:sz w:val="18"/>
        <w:lang w:val="en-US" w:eastAsia="zh-CN"/>
      </w:rPr>
      <w:t>20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26926CD2"/>
    <w:multiLevelType w:val="multilevel"/>
    <w:tmpl w:val="26926CD2"/>
    <w:lvl w:ilvl="0" w:tentative="0">
      <w:start w:val="1"/>
      <w:numFmt w:val="japaneseCounting"/>
      <w:lvlText w:val="（%1）"/>
      <w:lvlJc w:val="left"/>
      <w:pPr>
        <w:ind w:left="1647" w:hanging="108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4">
    <w:nsid w:val="3818A09A"/>
    <w:multiLevelType w:val="singleLevel"/>
    <w:tmpl w:val="3818A09A"/>
    <w:lvl w:ilvl="0" w:tentative="0">
      <w:start w:val="1"/>
      <w:numFmt w:val="chineseCounting"/>
      <w:suff w:val="nothing"/>
      <w:lvlText w:val="%1、"/>
      <w:lvlJc w:val="left"/>
      <w:rPr>
        <w:rFonts w:hint="eastAsia"/>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1Mjc3MTdkNjZlYzViMzg3YzFmNDFmMDA0ODg3Yzc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18DF"/>
    <w:rsid w:val="000B5923"/>
    <w:rsid w:val="000B5A48"/>
    <w:rsid w:val="000B6FF3"/>
    <w:rsid w:val="000C3467"/>
    <w:rsid w:val="000C3CA6"/>
    <w:rsid w:val="000D1267"/>
    <w:rsid w:val="000D1D50"/>
    <w:rsid w:val="000D5782"/>
    <w:rsid w:val="000E6613"/>
    <w:rsid w:val="000E7119"/>
    <w:rsid w:val="00114E9B"/>
    <w:rsid w:val="00132D55"/>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1059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5D8B"/>
    <w:rsid w:val="003E6F55"/>
    <w:rsid w:val="00406254"/>
    <w:rsid w:val="00420BE2"/>
    <w:rsid w:val="004223DE"/>
    <w:rsid w:val="00434489"/>
    <w:rsid w:val="00437085"/>
    <w:rsid w:val="00443880"/>
    <w:rsid w:val="004464F4"/>
    <w:rsid w:val="00471401"/>
    <w:rsid w:val="00473F31"/>
    <w:rsid w:val="00476CF8"/>
    <w:rsid w:val="0048196D"/>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A656A"/>
    <w:rsid w:val="005B5C64"/>
    <w:rsid w:val="005C5337"/>
    <w:rsid w:val="005C6BD0"/>
    <w:rsid w:val="005D1C8B"/>
    <w:rsid w:val="005D468D"/>
    <w:rsid w:val="005D5CED"/>
    <w:rsid w:val="005F1A4C"/>
    <w:rsid w:val="005F3B5D"/>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66116"/>
    <w:rsid w:val="006748A4"/>
    <w:rsid w:val="00681A31"/>
    <w:rsid w:val="00683E73"/>
    <w:rsid w:val="006A3141"/>
    <w:rsid w:val="006A5E34"/>
    <w:rsid w:val="006B2422"/>
    <w:rsid w:val="006B2B9A"/>
    <w:rsid w:val="006C1937"/>
    <w:rsid w:val="006E4DE9"/>
    <w:rsid w:val="006F020C"/>
    <w:rsid w:val="007127B7"/>
    <w:rsid w:val="0071798E"/>
    <w:rsid w:val="007416B6"/>
    <w:rsid w:val="00746F48"/>
    <w:rsid w:val="00751D7A"/>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2B46"/>
    <w:rsid w:val="008E707C"/>
    <w:rsid w:val="00900B08"/>
    <w:rsid w:val="00902155"/>
    <w:rsid w:val="00902FA3"/>
    <w:rsid w:val="00923564"/>
    <w:rsid w:val="0092392E"/>
    <w:rsid w:val="009315F9"/>
    <w:rsid w:val="00933499"/>
    <w:rsid w:val="00934BAD"/>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816E3"/>
    <w:rsid w:val="00A91760"/>
    <w:rsid w:val="00A93B00"/>
    <w:rsid w:val="00A93C21"/>
    <w:rsid w:val="00AB64C9"/>
    <w:rsid w:val="00AC3C6A"/>
    <w:rsid w:val="00AD5620"/>
    <w:rsid w:val="00AD656B"/>
    <w:rsid w:val="00AD7C1B"/>
    <w:rsid w:val="00AE16BA"/>
    <w:rsid w:val="00AE1EBE"/>
    <w:rsid w:val="00AE6CF6"/>
    <w:rsid w:val="00B03C9D"/>
    <w:rsid w:val="00B05024"/>
    <w:rsid w:val="00B060AE"/>
    <w:rsid w:val="00B10517"/>
    <w:rsid w:val="00B14E76"/>
    <w:rsid w:val="00B161B8"/>
    <w:rsid w:val="00B2048C"/>
    <w:rsid w:val="00B310B9"/>
    <w:rsid w:val="00B35F3F"/>
    <w:rsid w:val="00B36CBB"/>
    <w:rsid w:val="00B425E0"/>
    <w:rsid w:val="00B435EB"/>
    <w:rsid w:val="00B440AA"/>
    <w:rsid w:val="00B44B70"/>
    <w:rsid w:val="00B53C56"/>
    <w:rsid w:val="00B57DAF"/>
    <w:rsid w:val="00B77EA6"/>
    <w:rsid w:val="00B81598"/>
    <w:rsid w:val="00B841F1"/>
    <w:rsid w:val="00B944D6"/>
    <w:rsid w:val="00BB4DF0"/>
    <w:rsid w:val="00BC283A"/>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77ED7"/>
    <w:rsid w:val="00C87FD8"/>
    <w:rsid w:val="00C91381"/>
    <w:rsid w:val="00C91CBB"/>
    <w:rsid w:val="00CA1160"/>
    <w:rsid w:val="00CA70A2"/>
    <w:rsid w:val="00CB2392"/>
    <w:rsid w:val="00CB4E70"/>
    <w:rsid w:val="00CC09B6"/>
    <w:rsid w:val="00CC666F"/>
    <w:rsid w:val="00CC7AAD"/>
    <w:rsid w:val="00CD1E3F"/>
    <w:rsid w:val="00CD77C5"/>
    <w:rsid w:val="00CE1ADE"/>
    <w:rsid w:val="00CE44F6"/>
    <w:rsid w:val="00CE49DA"/>
    <w:rsid w:val="00CE7B61"/>
    <w:rsid w:val="00D00095"/>
    <w:rsid w:val="00D114F0"/>
    <w:rsid w:val="00D20620"/>
    <w:rsid w:val="00D2464E"/>
    <w:rsid w:val="00D254F7"/>
    <w:rsid w:val="00D26091"/>
    <w:rsid w:val="00D2685C"/>
    <w:rsid w:val="00D27FBF"/>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90A6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31CC"/>
    <w:rsid w:val="00F841AA"/>
    <w:rsid w:val="00F84A94"/>
    <w:rsid w:val="00F87E96"/>
    <w:rsid w:val="00FA23E8"/>
    <w:rsid w:val="00FD3CC1"/>
    <w:rsid w:val="00FF1E02"/>
    <w:rsid w:val="00FF30B4"/>
    <w:rsid w:val="053A62B5"/>
    <w:rsid w:val="07C70774"/>
    <w:rsid w:val="0A2032A3"/>
    <w:rsid w:val="0B8A37D8"/>
    <w:rsid w:val="10C055FF"/>
    <w:rsid w:val="118107EC"/>
    <w:rsid w:val="11DD6519"/>
    <w:rsid w:val="16BB723D"/>
    <w:rsid w:val="18015F3F"/>
    <w:rsid w:val="1BE8440E"/>
    <w:rsid w:val="1D155CEE"/>
    <w:rsid w:val="20F57F95"/>
    <w:rsid w:val="240371BF"/>
    <w:rsid w:val="25711CC6"/>
    <w:rsid w:val="25C741E6"/>
    <w:rsid w:val="27842671"/>
    <w:rsid w:val="29FD04D3"/>
    <w:rsid w:val="2ABE7A3E"/>
    <w:rsid w:val="2CA234A8"/>
    <w:rsid w:val="2EFA178C"/>
    <w:rsid w:val="30B46D73"/>
    <w:rsid w:val="319F7F4E"/>
    <w:rsid w:val="383D272C"/>
    <w:rsid w:val="39AE70AB"/>
    <w:rsid w:val="3A751EAA"/>
    <w:rsid w:val="3C0C0783"/>
    <w:rsid w:val="3F9F3A96"/>
    <w:rsid w:val="46DB5421"/>
    <w:rsid w:val="48BF60AB"/>
    <w:rsid w:val="493C27E9"/>
    <w:rsid w:val="496F39ED"/>
    <w:rsid w:val="49FF41D3"/>
    <w:rsid w:val="4BE068DB"/>
    <w:rsid w:val="4BF6002B"/>
    <w:rsid w:val="4ECE2238"/>
    <w:rsid w:val="51DB4B86"/>
    <w:rsid w:val="55333C3E"/>
    <w:rsid w:val="5AF96475"/>
    <w:rsid w:val="64CA39A1"/>
    <w:rsid w:val="69630ADE"/>
    <w:rsid w:val="6A1875BD"/>
    <w:rsid w:val="6C4A05C8"/>
    <w:rsid w:val="6D3B1A89"/>
    <w:rsid w:val="6D682626"/>
    <w:rsid w:val="6E086ACF"/>
    <w:rsid w:val="71BF4EC2"/>
    <w:rsid w:val="72734D90"/>
    <w:rsid w:val="7412278C"/>
    <w:rsid w:val="79E7B28D"/>
    <w:rsid w:val="7D47056E"/>
    <w:rsid w:val="7F9F20EE"/>
    <w:rsid w:val="9E3A10E2"/>
    <w:rsid w:val="F2E1F9D4"/>
    <w:rsid w:val="F78808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2">
    <w:name w:val="Body Text"/>
    <w:basedOn w:val="1"/>
    <w:link w:val="17"/>
    <w:qFormat/>
    <w:uiPriority w:val="99"/>
    <w:pPr>
      <w:spacing w:beforeLines="30"/>
    </w:pPr>
    <w:rPr>
      <w:rFonts w:ascii="仿宋_GB2312" w:eastAsia="仿宋_GB2312"/>
      <w:kern w:val="0"/>
      <w:sz w:val="30"/>
    </w:rPr>
  </w:style>
  <w:style w:type="paragraph" w:styleId="6">
    <w:name w:val="toc 3"/>
    <w:basedOn w:val="1"/>
    <w:next w:val="1"/>
    <w:unhideWhenUsed/>
    <w:qFormat/>
    <w:uiPriority w:val="39"/>
    <w:pPr>
      <w:tabs>
        <w:tab w:val="right" w:leader="dot" w:pos="8296"/>
      </w:tabs>
      <w:ind w:left="840" w:leftChars="400"/>
    </w:pPr>
  </w:style>
  <w:style w:type="paragraph" w:styleId="7">
    <w:name w:val="Balloon Text"/>
    <w:basedOn w:val="1"/>
    <w:link w:val="21"/>
    <w:semiHidden/>
    <w:unhideWhenUsed/>
    <w:qFormat/>
    <w:uiPriority w:val="99"/>
    <w:rPr>
      <w:sz w:val="18"/>
      <w:szCs w:val="18"/>
    </w:rPr>
  </w:style>
  <w:style w:type="paragraph" w:styleId="8">
    <w:name w:val="footer"/>
    <w:basedOn w:val="1"/>
    <w:link w:val="22"/>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link w:val="23"/>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1">
    <w:name w:val="toc 2"/>
    <w:basedOn w:val="1"/>
    <w:next w:val="1"/>
    <w:unhideWhenUsed/>
    <w:qFormat/>
    <w:uiPriority w:val="39"/>
    <w:pPr>
      <w:tabs>
        <w:tab w:val="right" w:leader="dot" w:pos="8296"/>
      </w:tabs>
      <w:ind w:left="420" w:leftChars="200"/>
    </w:pPr>
  </w:style>
  <w:style w:type="character" w:styleId="14">
    <w:name w:val="Strong"/>
    <w:basedOn w:val="13"/>
    <w:qFormat/>
    <w:uiPriority w:val="99"/>
    <w:rPr>
      <w:b/>
    </w:rPr>
  </w:style>
  <w:style w:type="character" w:styleId="15">
    <w:name w:val="FollowedHyperlink"/>
    <w:basedOn w:val="13"/>
    <w:semiHidden/>
    <w:unhideWhenUsed/>
    <w:qFormat/>
    <w:uiPriority w:val="99"/>
    <w:rPr>
      <w:color w:val="954F72"/>
      <w:u w:val="single"/>
    </w:rPr>
  </w:style>
  <w:style w:type="character" w:styleId="16">
    <w:name w:val="Hyperlink"/>
    <w:basedOn w:val="13"/>
    <w:unhideWhenUsed/>
    <w:qFormat/>
    <w:uiPriority w:val="99"/>
    <w:rPr>
      <w:color w:val="0000FF" w:themeColor="hyperlink"/>
      <w:u w:val="single"/>
      <w14:textFill>
        <w14:solidFill>
          <w14:schemeClr w14:val="hlink"/>
        </w14:solidFill>
      </w14:textFill>
    </w:rPr>
  </w:style>
  <w:style w:type="character" w:customStyle="1" w:styleId="17">
    <w:name w:val="正文文本 Char"/>
    <w:link w:val="2"/>
    <w:qFormat/>
    <w:locked/>
    <w:uiPriority w:val="99"/>
    <w:rPr>
      <w:rFonts w:ascii="仿宋_GB2312" w:hAnsi="Times New Roman" w:eastAsia="仿宋_GB2312"/>
      <w:sz w:val="24"/>
    </w:rPr>
  </w:style>
  <w:style w:type="character" w:customStyle="1" w:styleId="18">
    <w:name w:val="标题 1 Char"/>
    <w:basedOn w:val="13"/>
    <w:link w:val="3"/>
    <w:qFormat/>
    <w:uiPriority w:val="9"/>
    <w:rPr>
      <w:rFonts w:ascii="Times New Roman" w:hAnsi="Times New Roman"/>
      <w:b/>
      <w:bCs/>
      <w:kern w:val="44"/>
      <w:sz w:val="44"/>
      <w:szCs w:val="44"/>
    </w:rPr>
  </w:style>
  <w:style w:type="character" w:customStyle="1" w:styleId="19">
    <w:name w:val="标题 2 Char"/>
    <w:basedOn w:val="13"/>
    <w:link w:val="4"/>
    <w:qFormat/>
    <w:uiPriority w:val="9"/>
    <w:rPr>
      <w:rFonts w:asciiTheme="majorHAnsi" w:hAnsiTheme="majorHAnsi" w:eastAsiaTheme="majorEastAsia" w:cstheme="majorBidi"/>
      <w:b/>
      <w:bCs/>
      <w:kern w:val="2"/>
      <w:sz w:val="32"/>
      <w:szCs w:val="32"/>
    </w:rPr>
  </w:style>
  <w:style w:type="character" w:customStyle="1" w:styleId="20">
    <w:name w:val="标题 3 Char"/>
    <w:basedOn w:val="13"/>
    <w:link w:val="5"/>
    <w:qFormat/>
    <w:uiPriority w:val="9"/>
    <w:rPr>
      <w:rFonts w:ascii="Times New Roman" w:hAnsi="Times New Roman"/>
      <w:b/>
      <w:bCs/>
      <w:kern w:val="2"/>
      <w:sz w:val="32"/>
      <w:szCs w:val="32"/>
    </w:rPr>
  </w:style>
  <w:style w:type="character" w:customStyle="1" w:styleId="21">
    <w:name w:val="批注框文本 Char"/>
    <w:basedOn w:val="13"/>
    <w:link w:val="7"/>
    <w:semiHidden/>
    <w:qFormat/>
    <w:uiPriority w:val="99"/>
    <w:rPr>
      <w:rFonts w:ascii="Times New Roman" w:hAnsi="Times New Roman"/>
      <w:kern w:val="2"/>
      <w:sz w:val="18"/>
      <w:szCs w:val="18"/>
    </w:rPr>
  </w:style>
  <w:style w:type="character" w:customStyle="1" w:styleId="22">
    <w:name w:val="页脚 Char"/>
    <w:link w:val="8"/>
    <w:qFormat/>
    <w:locked/>
    <w:uiPriority w:val="99"/>
    <w:rPr>
      <w:sz w:val="18"/>
    </w:rPr>
  </w:style>
  <w:style w:type="character" w:customStyle="1" w:styleId="23">
    <w:name w:val="页眉 Char"/>
    <w:link w:val="9"/>
    <w:semiHidden/>
    <w:qFormat/>
    <w:locked/>
    <w:uiPriority w:val="99"/>
    <w:rPr>
      <w:sz w:val="18"/>
    </w:rPr>
  </w:style>
  <w:style w:type="character" w:customStyle="1" w:styleId="24">
    <w:name w:val="Header Char"/>
    <w:basedOn w:val="13"/>
    <w:semiHidden/>
    <w:qFormat/>
    <w:uiPriority w:val="99"/>
    <w:rPr>
      <w:rFonts w:ascii="Times New Roman" w:hAnsi="Times New Roman"/>
      <w:sz w:val="18"/>
      <w:szCs w:val="18"/>
    </w:rPr>
  </w:style>
  <w:style w:type="character" w:customStyle="1" w:styleId="25">
    <w:name w:val="Footer Char"/>
    <w:basedOn w:val="13"/>
    <w:semiHidden/>
    <w:qFormat/>
    <w:uiPriority w:val="99"/>
    <w:rPr>
      <w:rFonts w:ascii="Times New Roman" w:hAnsi="Times New Roman"/>
      <w:sz w:val="18"/>
      <w:szCs w:val="18"/>
    </w:rPr>
  </w:style>
  <w:style w:type="character" w:customStyle="1" w:styleId="26">
    <w:name w:val="Body Text Char"/>
    <w:basedOn w:val="13"/>
    <w:semiHidden/>
    <w:qFormat/>
    <w:uiPriority w:val="99"/>
    <w:rPr>
      <w:rFonts w:ascii="Times New Roman" w:hAnsi="Times New Roman"/>
      <w:szCs w:val="24"/>
    </w:rPr>
  </w:style>
  <w:style w:type="paragraph" w:customStyle="1" w:styleId="2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8">
    <w:name w:val="List Paragraph"/>
    <w:basedOn w:val="1"/>
    <w:qFormat/>
    <w:uiPriority w:val="34"/>
    <w:pPr>
      <w:ind w:firstLine="420" w:firstLineChars="200"/>
    </w:pPr>
  </w:style>
  <w:style w:type="paragraph" w:customStyle="1" w:styleId="29">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0">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1">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2">
    <w:name w:val="xl63"/>
    <w:basedOn w:val="1"/>
    <w:qFormat/>
    <w:uiPriority w:val="0"/>
    <w:pPr>
      <w:widowControl/>
      <w:spacing w:before="100" w:beforeAutospacing="1" w:after="100" w:afterAutospacing="1"/>
      <w:jc w:val="left"/>
    </w:pPr>
    <w:rPr>
      <w:rFonts w:ascii="Courier New" w:hAnsi="Courier New" w:cs="Courier New"/>
      <w:color w:val="000000"/>
      <w:kern w:val="0"/>
      <w:sz w:val="18"/>
      <w:szCs w:val="18"/>
    </w:rPr>
  </w:style>
  <w:style w:type="paragraph" w:customStyle="1" w:styleId="33">
    <w:name w:val="xl6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000000"/>
      <w:kern w:val="0"/>
      <w:sz w:val="18"/>
      <w:szCs w:val="18"/>
    </w:rPr>
  </w:style>
  <w:style w:type="paragraph" w:customStyle="1" w:styleId="34">
    <w:name w:val="xl6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35">
    <w:name w:val="xl6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36">
    <w:name w:val="xl6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37">
    <w:name w:val="xl6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i/>
      <w:iCs/>
      <w:color w:val="000000"/>
      <w:kern w:val="0"/>
      <w:sz w:val="16"/>
      <w:szCs w:val="16"/>
    </w:rPr>
  </w:style>
  <w:style w:type="paragraph" w:customStyle="1" w:styleId="38">
    <w:name w:val="xl6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9">
    <w:name w:val="xl70"/>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40">
    <w:name w:val="xl71"/>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41">
    <w:name w:val="xl72"/>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000000"/>
      <w:kern w:val="0"/>
      <w:sz w:val="18"/>
      <w:szCs w:val="18"/>
    </w:rPr>
  </w:style>
  <w:style w:type="paragraph" w:customStyle="1" w:styleId="4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43">
    <w:name w:val="xl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i/>
      <w:iCs/>
      <w:color w:val="000000"/>
      <w:kern w:val="0"/>
      <w:sz w:val="16"/>
      <w:szCs w:val="16"/>
    </w:rPr>
  </w:style>
  <w:style w:type="paragraph" w:customStyle="1" w:styleId="4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45">
    <w:name w:val="xl76"/>
    <w:basedOn w:val="1"/>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color w:val="000000"/>
      <w:kern w:val="0"/>
      <w:sz w:val="18"/>
      <w:szCs w:val="18"/>
    </w:rPr>
  </w:style>
  <w:style w:type="paragraph" w:customStyle="1" w:styleId="46">
    <w:name w:val="xl77"/>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color w:val="000000"/>
      <w:kern w:val="0"/>
      <w:sz w:val="18"/>
      <w:szCs w:val="18"/>
    </w:rPr>
  </w:style>
  <w:style w:type="paragraph" w:customStyle="1" w:styleId="47">
    <w:name w:val="xl78"/>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000000"/>
      <w:kern w:val="0"/>
      <w:sz w:val="18"/>
      <w:szCs w:val="18"/>
    </w:rPr>
  </w:style>
  <w:style w:type="paragraph" w:customStyle="1" w:styleId="48">
    <w:name w:val="xl79"/>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49">
    <w:name w:val="xl80"/>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Courier New" w:hAnsi="Courier New" w:cs="Courier New"/>
      <w:color w:val="000000"/>
      <w:kern w:val="0"/>
      <w:sz w:val="18"/>
      <w:szCs w:val="18"/>
    </w:rPr>
  </w:style>
  <w:style w:type="paragraph" w:customStyle="1" w:styleId="50">
    <w:name w:val="xl81"/>
    <w:basedOn w:val="1"/>
    <w:qFormat/>
    <w:uiPriority w:val="0"/>
    <w:pPr>
      <w:widowControl/>
      <w:pBdr>
        <w:top w:val="single" w:color="000000" w:sz="4" w:space="0"/>
        <w:bottom w:val="single" w:color="000000" w:sz="4" w:space="0"/>
      </w:pBdr>
      <w:spacing w:before="100" w:beforeAutospacing="1" w:after="100" w:afterAutospacing="1"/>
      <w:jc w:val="left"/>
    </w:pPr>
    <w:rPr>
      <w:rFonts w:ascii="Courier New" w:hAnsi="Courier New" w:cs="Courier New"/>
      <w:color w:val="000000"/>
      <w:kern w:val="0"/>
      <w:sz w:val="18"/>
      <w:szCs w:val="18"/>
    </w:rPr>
  </w:style>
  <w:style w:type="paragraph" w:customStyle="1" w:styleId="51">
    <w:name w:val="xl82"/>
    <w:basedOn w:val="1"/>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Courier New" w:hAnsi="Courier New" w:cs="Courier New"/>
      <w:color w:val="000000"/>
      <w:kern w:val="0"/>
      <w:sz w:val="18"/>
      <w:szCs w:val="18"/>
    </w:rPr>
  </w:style>
  <w:style w:type="paragraph" w:customStyle="1" w:styleId="52">
    <w:name w:val="xl83"/>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53">
    <w:name w:val="xl84"/>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54">
    <w:name w:val="xl85"/>
    <w:basedOn w:val="1"/>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55">
    <w:name w:val="xl86"/>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Courier New" w:hAnsi="Courier New" w:cs="Courier New"/>
      <w:color w:val="000000"/>
      <w:kern w:val="0"/>
      <w:sz w:val="18"/>
      <w:szCs w:val="18"/>
    </w:rPr>
  </w:style>
  <w:style w:type="paragraph" w:customStyle="1" w:styleId="56">
    <w:name w:val="xl8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黑体" w:hAnsi="黑体" w:eastAsia="黑体" w:cs="宋体"/>
      <w:b/>
      <w:bCs/>
      <w:color w:val="000000"/>
      <w:kern w:val="0"/>
      <w:sz w:val="30"/>
      <w:szCs w:val="30"/>
    </w:rPr>
  </w:style>
  <w:style w:type="paragraph" w:customStyle="1" w:styleId="57">
    <w:name w:val="xl8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Courier New" w:hAnsi="Courier New" w:cs="Courier New"/>
      <w:color w:val="000000"/>
      <w:kern w:val="0"/>
      <w:sz w:val="18"/>
      <w:szCs w:val="18"/>
    </w:rPr>
  </w:style>
  <w:style w:type="paragraph" w:customStyle="1" w:styleId="58">
    <w:name w:val="xl89"/>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黑体" w:hAnsi="黑体" w:eastAsia="黑体" w:cs="宋体"/>
      <w:b/>
      <w:bCs/>
      <w:color w:val="000000"/>
      <w:kern w:val="0"/>
      <w:sz w:val="30"/>
      <w:szCs w:val="30"/>
    </w:rPr>
  </w:style>
  <w:style w:type="paragraph" w:customStyle="1" w:styleId="59">
    <w:name w:val="xl90"/>
    <w:basedOn w:val="1"/>
    <w:qFormat/>
    <w:uiPriority w:val="0"/>
    <w:pPr>
      <w:widowControl/>
      <w:pBdr>
        <w:top w:val="single" w:color="000000" w:sz="4" w:space="0"/>
        <w:bottom w:val="single" w:color="000000" w:sz="4" w:space="0"/>
      </w:pBdr>
      <w:spacing w:before="100" w:beforeAutospacing="1" w:after="100" w:afterAutospacing="1"/>
      <w:jc w:val="center"/>
    </w:pPr>
    <w:rPr>
      <w:rFonts w:ascii="黑体" w:hAnsi="黑体" w:eastAsia="黑体" w:cs="宋体"/>
      <w:b/>
      <w:bCs/>
      <w:color w:val="000000"/>
      <w:kern w:val="0"/>
      <w:sz w:val="30"/>
      <w:szCs w:val="30"/>
    </w:rPr>
  </w:style>
  <w:style w:type="paragraph" w:customStyle="1" w:styleId="60">
    <w:name w:val="xl91"/>
    <w:basedOn w:val="1"/>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黑体" w:hAnsi="黑体" w:eastAsia="黑体" w:cs="宋体"/>
      <w:b/>
      <w:bCs/>
      <w:color w:val="000000"/>
      <w:kern w:val="0"/>
      <w:sz w:val="30"/>
      <w:szCs w:val="30"/>
    </w:rPr>
  </w:style>
  <w:style w:type="paragraph" w:customStyle="1" w:styleId="61">
    <w:name w:val="xl92"/>
    <w:basedOn w:val="1"/>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color w:val="000000"/>
      <w:kern w:val="0"/>
      <w:sz w:val="18"/>
      <w:szCs w:val="18"/>
    </w:rPr>
  </w:style>
  <w:style w:type="paragraph" w:customStyle="1" w:styleId="62">
    <w:name w:val="xl93"/>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000000"/>
      <w:kern w:val="0"/>
      <w:sz w:val="18"/>
      <w:szCs w:val="18"/>
    </w:rPr>
  </w:style>
  <w:style w:type="paragraph" w:customStyle="1" w:styleId="63">
    <w:name w:val="xl94"/>
    <w:basedOn w:val="1"/>
    <w:uiPriority w:val="0"/>
    <w:pPr>
      <w:widowControl/>
      <w:pBdr>
        <w:top w:val="single" w:color="000000" w:sz="4" w:space="0"/>
        <w:bottom w:val="single" w:color="000000" w:sz="4" w:space="0"/>
      </w:pBdr>
      <w:spacing w:before="100" w:beforeAutospacing="1" w:after="100" w:afterAutospacing="1"/>
      <w:jc w:val="left"/>
    </w:pPr>
    <w:rPr>
      <w:rFonts w:ascii="宋体" w:hAnsi="宋体" w:cs="宋体"/>
      <w:color w:val="000000"/>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chart" Target="charts/chart6.xml"/><Relationship Id="rId28" Type="http://schemas.openxmlformats.org/officeDocument/2006/relationships/chart" Target="charts/chart5.xml"/><Relationship Id="rId27" Type="http://schemas.openxmlformats.org/officeDocument/2006/relationships/chart" Target="charts/chart4.xml"/><Relationship Id="rId26" Type="http://schemas.openxmlformats.org/officeDocument/2006/relationships/chart" Target="charts/chart3.xml"/><Relationship Id="rId25" Type="http://schemas.openxmlformats.org/officeDocument/2006/relationships/chart" Target="charts/chart2.xml"/><Relationship Id="rId24" Type="http://schemas.openxmlformats.org/officeDocument/2006/relationships/chart" Target="charts/chart1.xml"/><Relationship Id="rId23" Type="http://schemas.openxmlformats.org/officeDocument/2006/relationships/theme" Target="theme/theme1.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r>
              <a:rPr lang="zh-CN" altLang="en-US"/>
              <a:t>支出对比图</a:t>
            </a:r>
            <a:endParaRPr lang="zh-CN" altLang="en-US"/>
          </a:p>
          <a:p>
            <a:pPr>
              <a:defRPr lang="zh-CN" sz="1800" b="1" i="0" u="none" strike="noStrike" kern="1200" baseline="0">
                <a:solidFill>
                  <a:schemeClr val="dk1">
                    <a:lumMod val="75000"/>
                    <a:lumOff val="25000"/>
                  </a:schemeClr>
                </a:solidFill>
                <a:latin typeface="+mn-lt"/>
                <a:ea typeface="+mn-ea"/>
                <a:cs typeface="+mn-cs"/>
              </a:defRPr>
            </a:pPr>
            <a:r>
              <a:rPr lang="zh-CN" altLang="en-US"/>
              <a:t>（</a:t>
            </a:r>
            <a:r>
              <a:rPr lang="zh-CN" altLang="en-US" sz="1200"/>
              <a:t>金额：万元</a:t>
            </a:r>
            <a:r>
              <a:rPr lang="zh-CN" altLang="en-US"/>
              <a:t>）</a:t>
            </a:r>
            <a:endParaRPr lang="zh-CN" altLang="en-US"/>
          </a:p>
        </c:rich>
      </c:tx>
      <c:layout>
        <c:manualLayout>
          <c:xMode val="edge"/>
          <c:yMode val="edge"/>
          <c:x val="0.349156626506024"/>
          <c:y val="0.0373134328358209"/>
        </c:manualLayout>
      </c:layout>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50000"/>
                          <a:lumOff val="50000"/>
                        </a:schemeClr>
                      </a:solidFill>
                      <a:prstDash val="solid"/>
                      <a:round/>
                    </a:ln>
                    <a:effectLst/>
                  </c:spPr>
                </c15:leaderLines>
              </c:ext>
            </c:extLst>
          </c:dLbls>
          <c:cat>
            <c:strRef>
              <c:f>Sheet1!$B$1:$C$1</c:f>
              <c:strCache>
                <c:ptCount val="2"/>
                <c:pt idx="0">
                  <c:v>2021年</c:v>
                </c:pt>
                <c:pt idx="1">
                  <c:v>2022年</c:v>
                </c:pt>
              </c:strCache>
            </c:strRef>
          </c:cat>
          <c:val>
            <c:numRef>
              <c:f>Sheet1!$B$2:$C$2</c:f>
              <c:numCache>
                <c:formatCode>General</c:formatCode>
                <c:ptCount val="2"/>
              </c:numCache>
            </c:numRef>
          </c:val>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50000"/>
                          <a:lumOff val="50000"/>
                        </a:schemeClr>
                      </a:solidFill>
                      <a:prstDash val="solid"/>
                      <a:round/>
                    </a:ln>
                    <a:effectLst/>
                  </c:spPr>
                </c15:leaderLines>
              </c:ext>
            </c:extLst>
          </c:dLbls>
          <c:cat>
            <c:strRef>
              <c:f>Sheet1!$B$1:$C$1</c:f>
              <c:strCache>
                <c:ptCount val="2"/>
                <c:pt idx="0">
                  <c:v>2021年</c:v>
                </c:pt>
                <c:pt idx="1">
                  <c:v>2022年</c:v>
                </c:pt>
              </c:strCache>
            </c:strRef>
          </c:cat>
          <c:val>
            <c:numRef>
              <c:f>Sheet1!$B$3:$C$3</c:f>
              <c:numCache>
                <c:formatCode>General</c:formatCode>
                <c:ptCount val="2"/>
                <c:pt idx="0">
                  <c:v>0</c:v>
                </c:pt>
                <c:pt idx="1">
                  <c:v>794.46</c:v>
                </c:pt>
              </c:numCache>
            </c:numRef>
          </c:val>
        </c:ser>
        <c:dLbls>
          <c:showLegendKey val="0"/>
          <c:showVal val="1"/>
          <c:showCatName val="0"/>
          <c:showSerName val="0"/>
          <c:showPercent val="0"/>
          <c:showBubbleSize val="0"/>
        </c:dLbls>
        <c:gapWidth val="65"/>
        <c:axId val="340593664"/>
        <c:axId val="340665088"/>
      </c:barChart>
      <c:catAx>
        <c:axId val="340593664"/>
        <c:scaling>
          <c:orientation val="minMax"/>
        </c:scaling>
        <c:delete val="0"/>
        <c:axPos val="b"/>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0"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340665088"/>
        <c:crosses val="autoZero"/>
        <c:auto val="1"/>
        <c:lblAlgn val="ctr"/>
        <c:lblOffset val="100"/>
        <c:noMultiLvlLbl val="0"/>
      </c:catAx>
      <c:valAx>
        <c:axId val="3406650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405936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rPr lang="zh-CN" altLang="en-US"/>
              <a:t>收入决算结构图</a:t>
            </a:r>
            <a:endParaRPr lang="zh-CN" altLang="en-US"/>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dLbl>
              <c:idx val="0"/>
              <c:layout>
                <c:manualLayout>
                  <c:x val="-0.061492782152231"/>
                  <c:y val="0.0827285651793526"/>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2"/>
              <c:layout>
                <c:manualLayout>
                  <c:x val="0.243989282589676"/>
                  <c:y val="0.0877453339165938"/>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3"/>
              <c:layout>
                <c:manualLayout>
                  <c:x val="0.0599886264216973"/>
                  <c:y val="0.109537401574803"/>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4"/>
              <c:layout>
                <c:manualLayout>
                  <c:x val="-0.0111122047244094"/>
                  <c:y val="0.283493365412657"/>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5"/>
              <c:layout>
                <c:manualLayout>
                  <c:x val="-0.00555664916885389"/>
                  <c:y val="0.204789661708953"/>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Sheet1!$A$129:$A$134</c:f>
              <c:strCache>
                <c:ptCount val="4"/>
                <c:pt idx="0">
                  <c:v>一般公共预算财政拨款收入</c:v>
                </c:pt>
                <c:pt idx="1">
                  <c:v>其他收入</c:v>
                </c:pt>
                <c:pt idx="3">
                  <c:v>事业收入</c:v>
                </c:pt>
              </c:strCache>
            </c:strRef>
          </c:cat>
          <c:val>
            <c:numRef>
              <c:f>Sheet1!$B$129:$B$134</c:f>
              <c:numCache>
                <c:formatCode>General</c:formatCode>
                <c:ptCount val="6"/>
                <c:pt idx="0">
                  <c:v>38.79</c:v>
                </c:pt>
                <c:pt idx="1">
                  <c:v>354.57</c:v>
                </c:pt>
                <c:pt idx="3">
                  <c:v>92.5</c:v>
                </c:pt>
              </c:numCache>
            </c:numRef>
          </c:val>
        </c:ser>
        <c:ser>
          <c:idx val="1"/>
          <c:order val="1"/>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Sheet1!$A$129:$A$134</c:f>
              <c:strCache>
                <c:ptCount val="4"/>
                <c:pt idx="0">
                  <c:v>一般公共预算财政拨款收入</c:v>
                </c:pt>
                <c:pt idx="1">
                  <c:v>其他收入</c:v>
                </c:pt>
                <c:pt idx="3">
                  <c:v>事业收入</c:v>
                </c:pt>
              </c:strCache>
            </c:strRef>
          </c:cat>
          <c:val>
            <c:numRef>
              <c:f>Sheet1!$C$129:$C$134</c:f>
              <c:numCache>
                <c:formatCode>0.00</c:formatCode>
                <c:ptCount val="6"/>
                <c:pt idx="0">
                  <c:v>7.98</c:v>
                </c:pt>
                <c:pt idx="1" c:formatCode="General">
                  <c:v>95.21</c:v>
                </c:pt>
                <c:pt idx="3" c:formatCode="General">
                  <c:v>0.64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4"/>
        <c:delete val="1"/>
      </c:legendEntry>
      <c:legendEntry>
        <c:idx val="5"/>
        <c:delete val="1"/>
      </c:legendEntry>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rPr lang="zh-CN" altLang="en-US"/>
              <a:t>支出决算结构图</a:t>
            </a:r>
            <a:endParaRPr lang="zh-CN" altLang="en-US"/>
          </a:p>
          <a:p>
            <a:pPr defTabSz="914400">
              <a:defRPr lang="zh-CN" sz="1800" b="1" i="0" u="none" strike="noStrike" kern="1200" baseline="0">
                <a:solidFill>
                  <a:schemeClr val="dk1">
                    <a:lumMod val="75000"/>
                    <a:lumOff val="25000"/>
                  </a:schemeClr>
                </a:solidFill>
                <a:latin typeface="+mn-lt"/>
                <a:ea typeface="+mn-ea"/>
                <a:cs typeface="+mn-cs"/>
              </a:defRPr>
            </a:pPr>
            <a:r>
              <a:rPr lang="zh-CN" altLang="en-US"/>
              <a:t>（</a:t>
            </a:r>
            <a:r>
              <a:rPr lang="zh-CN" altLang="en-US" sz="1200"/>
              <a:t>金额：万元</a:t>
            </a:r>
            <a:r>
              <a:rPr lang="zh-CN" altLang="en-US"/>
              <a:t>）</a:t>
            </a:r>
            <a:endParaRPr lang="zh-CN" altLang="en-US"/>
          </a:p>
        </c:rich>
      </c:tx>
      <c:layout/>
      <c:overlay val="0"/>
      <c:spPr>
        <a:noFill/>
        <a:ln>
          <a:noFill/>
        </a:ln>
        <a:effectLst/>
      </c:spPr>
    </c:title>
    <c:autoTitleDeleted val="0"/>
    <c:plotArea>
      <c:layout/>
      <c:pieChart>
        <c:varyColors val="1"/>
        <c:ser>
          <c:idx val="0"/>
          <c:order val="0"/>
          <c:tx>
            <c:strRef>
              <c:f>Sheet1!$B$148</c:f>
              <c:strCache>
                <c:ptCount val="1"/>
                <c:pt idx="0">
                  <c:v>金额：万元</c:v>
                </c:pt>
              </c:strCache>
            </c:strRef>
          </c:tx>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dLbl>
              <c:idx val="0"/>
              <c:layout>
                <c:manualLayout>
                  <c:x val="0.00833223972003494"/>
                  <c:y val="-0.32383129192184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472211286089239"/>
                  <c:y val="0.18016914552347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361122047244095"/>
                  <c:y val="0.17553951589384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0972178477690289"/>
                  <c:y val="0.096087780694079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00972178477690289"/>
                  <c:y val="0.23034703995333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Sheet1!$A$149:$A$153</c:f>
              <c:strCache>
                <c:ptCount val="5"/>
                <c:pt idx="0">
                  <c:v>基本支出</c:v>
                </c:pt>
                <c:pt idx="1">
                  <c:v>项目支出</c:v>
                </c:pt>
                <c:pt idx="2">
                  <c:v>上缴上级支出</c:v>
                </c:pt>
                <c:pt idx="3">
                  <c:v>经营支出</c:v>
                </c:pt>
                <c:pt idx="4">
                  <c:v>对附属单位补助支出</c:v>
                </c:pt>
              </c:strCache>
            </c:strRef>
          </c:cat>
          <c:val>
            <c:numRef>
              <c:f>Sheet1!$B$149:$B$153</c:f>
              <c:numCache>
                <c:formatCode>General</c:formatCode>
                <c:ptCount val="5"/>
                <c:pt idx="0">
                  <c:v>308.6</c:v>
                </c:pt>
                <c:pt idx="1">
                  <c:v>0</c:v>
                </c:pt>
                <c:pt idx="2">
                  <c:v>0</c:v>
                </c:pt>
                <c:pt idx="3">
                  <c:v>0</c:v>
                </c:pt>
                <c:pt idx="4">
                  <c:v>0</c:v>
                </c:pt>
              </c:numCache>
            </c:numRef>
          </c:val>
        </c:ser>
        <c:ser>
          <c:idx val="1"/>
          <c:order val="1"/>
          <c:tx>
            <c:strRef>
              <c:f>Sheet1!$C$148</c:f>
              <c:strCache>
                <c:ptCount val="1"/>
                <c:pt idx="0">
                  <c:v>占比%</c:v>
                </c:pt>
              </c:strCache>
            </c:strRef>
          </c:tx>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Sheet1!$A$149:$A$153</c:f>
              <c:strCache>
                <c:ptCount val="5"/>
                <c:pt idx="0">
                  <c:v>基本支出</c:v>
                </c:pt>
                <c:pt idx="1">
                  <c:v>项目支出</c:v>
                </c:pt>
                <c:pt idx="2">
                  <c:v>上缴上级支出</c:v>
                </c:pt>
                <c:pt idx="3">
                  <c:v>经营支出</c:v>
                </c:pt>
                <c:pt idx="4">
                  <c:v>对附属单位补助支出</c:v>
                </c:pt>
              </c:strCache>
            </c:strRef>
          </c:cat>
          <c:val>
            <c:numRef>
              <c:f>Sheet1!$C$149:$C$153</c:f>
              <c:numCache>
                <c:formatCode>General</c:formatCode>
                <c:ptCount val="5"/>
                <c:pt idx="0">
                  <c:v>72.96</c:v>
                </c:pt>
                <c:pt idx="1">
                  <c:v>0</c:v>
                </c:pt>
                <c:pt idx="2">
                  <c:v>0</c:v>
                </c:pt>
                <c:pt idx="3">
                  <c:v>0</c:v>
                </c:pt>
                <c:pt idx="4">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财政拨款收、支决算总计变动情况</a:t>
            </a:r>
            <a:endParaRPr lang="zh-CN" altLang="en-US"/>
          </a:p>
          <a:p>
            <a:pPr>
              <a:defRPr lang="zh-CN" sz="1400" b="0" i="0" u="none" strike="noStrike" kern="1200" spc="0" baseline="0">
                <a:solidFill>
                  <a:schemeClr val="tx1">
                    <a:lumMod val="65000"/>
                    <a:lumOff val="35000"/>
                  </a:schemeClr>
                </a:solidFill>
                <a:latin typeface="+mn-lt"/>
                <a:ea typeface="+mn-ea"/>
                <a:cs typeface="+mn-cs"/>
              </a:defRPr>
            </a:pPr>
            <a:r>
              <a:rPr lang="zh-CN" altLang="en-US"/>
              <a:t>（金额：万元）</a:t>
            </a:r>
            <a:endParaRPr lang="zh-CN" altLang="en-US"/>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Sheet1!$B$55:$C$55</c:f>
              <c:numCache>
                <c:formatCode>General</c:formatCode>
                <c:ptCount val="2"/>
                <c:pt idx="0">
                  <c:v>2021</c:v>
                </c:pt>
                <c:pt idx="1">
                  <c:v>2022</c:v>
                </c:pt>
              </c:numCache>
            </c:numRef>
          </c:cat>
          <c:val>
            <c:numRef>
              <c:f>Sheet1!$B$56:$C$56</c:f>
              <c:numCache>
                <c:formatCode>General</c:formatCode>
                <c:ptCount val="2"/>
                <c:pt idx="0">
                  <c:v>0</c:v>
                </c:pt>
                <c:pt idx="1">
                  <c:v>77.58</c:v>
                </c:pt>
              </c:numCache>
            </c:numRef>
          </c:val>
        </c:ser>
        <c:dLbls>
          <c:showLegendKey val="0"/>
          <c:showVal val="1"/>
          <c:showCatName val="0"/>
          <c:showSerName val="0"/>
          <c:showPercent val="0"/>
          <c:showBubbleSize val="0"/>
        </c:dLbls>
        <c:gapWidth val="219"/>
        <c:overlap val="-27"/>
        <c:axId val="422876288"/>
        <c:axId val="423034880"/>
      </c:barChart>
      <c:catAx>
        <c:axId val="4228762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3034880"/>
        <c:crosses val="autoZero"/>
        <c:auto val="1"/>
        <c:lblAlgn val="ctr"/>
        <c:lblOffset val="100"/>
        <c:noMultiLvlLbl val="0"/>
      </c:catAx>
      <c:valAx>
        <c:axId val="4230348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287628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200" b="1" i="0" u="none" strike="noStrike" kern="1200" baseline="0">
                <a:solidFill>
                  <a:schemeClr val="tx1"/>
                </a:solidFill>
                <a:latin typeface="+mn-lt"/>
                <a:ea typeface="+mn-ea"/>
                <a:cs typeface="+mn-cs"/>
              </a:defRPr>
            </a:pPr>
            <a:r>
              <a:rPr lang="zh-CN" altLang="en-US" sz="1200"/>
              <a:t>一般公共预算财政拨款支出决算变动情况</a:t>
            </a:r>
            <a:endParaRPr lang="en-US" altLang="zh-CN" sz="1200"/>
          </a:p>
          <a:p>
            <a:pPr>
              <a:defRPr lang="zh-CN" sz="1200" b="1" i="0" u="none" strike="noStrike" kern="1200" baseline="0">
                <a:solidFill>
                  <a:schemeClr val="tx1"/>
                </a:solidFill>
                <a:latin typeface="+mn-lt"/>
                <a:ea typeface="+mn-ea"/>
                <a:cs typeface="+mn-cs"/>
              </a:defRPr>
            </a:pPr>
            <a:r>
              <a:rPr lang="zh-CN" altLang="zh-CN" sz="1200" b="1" i="0" u="none" strike="noStrike" baseline="0"/>
              <a:t>（金额：万元）</a:t>
            </a:r>
            <a:endParaRPr lang="zh-CN" altLang="en-US" sz="1200"/>
          </a:p>
        </c:rich>
      </c:tx>
      <c:layout/>
      <c:overlay val="0"/>
    </c:title>
    <c:autoTitleDeleted val="0"/>
    <c:plotArea>
      <c:layout/>
      <c:barChart>
        <c:barDir val="col"/>
        <c:grouping val="clustered"/>
        <c:varyColors val="0"/>
        <c:ser>
          <c:idx val="0"/>
          <c:order val="0"/>
          <c:invertIfNegative val="0"/>
          <c:dLbls>
            <c:delete val="1"/>
          </c:dLbls>
          <c:cat>
            <c:numRef>
              <c:f>Sheet1!$B$19:$C$19</c:f>
              <c:numCache>
                <c:formatCode>General</c:formatCode>
                <c:ptCount val="2"/>
                <c:pt idx="0">
                  <c:v>2021</c:v>
                </c:pt>
                <c:pt idx="1">
                  <c:v>2022</c:v>
                </c:pt>
              </c:numCache>
            </c:numRef>
          </c:cat>
          <c:val>
            <c:numRef>
              <c:f>Sheet1!$B$20:$C$20</c:f>
              <c:numCache>
                <c:formatCode>General</c:formatCode>
                <c:ptCount val="2"/>
              </c:numCache>
            </c:numRef>
          </c:val>
        </c:ser>
        <c:ser>
          <c:idx val="1"/>
          <c:order val="1"/>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Sheet1!$B$19:$C$19</c:f>
              <c:numCache>
                <c:formatCode>General</c:formatCode>
                <c:ptCount val="2"/>
                <c:pt idx="0">
                  <c:v>2021</c:v>
                </c:pt>
                <c:pt idx="1">
                  <c:v>2022</c:v>
                </c:pt>
              </c:numCache>
            </c:numRef>
          </c:cat>
          <c:val>
            <c:numRef>
              <c:f>Sheet1!$B$21:$C$21</c:f>
              <c:numCache>
                <c:formatCode>General</c:formatCode>
                <c:ptCount val="2"/>
                <c:pt idx="0">
                  <c:v>0</c:v>
                </c:pt>
                <c:pt idx="1">
                  <c:v>38.79</c:v>
                </c:pt>
              </c:numCache>
            </c:numRef>
          </c:val>
        </c:ser>
        <c:dLbls>
          <c:showLegendKey val="0"/>
          <c:showVal val="0"/>
          <c:showCatName val="0"/>
          <c:showSerName val="0"/>
          <c:showPercent val="0"/>
          <c:showBubbleSize val="0"/>
        </c:dLbls>
        <c:gapWidth val="150"/>
        <c:axId val="268268672"/>
        <c:axId val="268270208"/>
      </c:barChart>
      <c:catAx>
        <c:axId val="26826867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8270208"/>
        <c:crosses val="autoZero"/>
        <c:auto val="1"/>
        <c:lblAlgn val="ctr"/>
        <c:lblOffset val="100"/>
        <c:noMultiLvlLbl val="0"/>
      </c:catAx>
      <c:valAx>
        <c:axId val="268270208"/>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8268672"/>
        <c:crosses val="autoZero"/>
        <c:crossBetween val="between"/>
      </c:valAx>
    </c:plotArea>
    <c:plotVisOnly val="1"/>
    <c:dispBlanksAs val="gap"/>
    <c:showDLblsOverMax val="0"/>
  </c:chart>
  <c:txPr>
    <a:bodyPr/>
    <a:lstStyle/>
    <a:p>
      <a:pPr>
        <a:defRPr lang="zh-CN" sz="1000"/>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rPr lang="zh-CN" altLang="en-US"/>
              <a:t>一般公共预算财政拨款支出决算结构图</a:t>
            </a:r>
            <a:endParaRPr lang="zh-CN" altLang="en-US"/>
          </a:p>
          <a:p>
            <a:pPr defTabSz="914400">
              <a:defRPr lang="zh-CN" sz="1800" b="1" i="0" u="none" strike="noStrike" kern="1200" baseline="0">
                <a:solidFill>
                  <a:schemeClr val="dk1">
                    <a:lumMod val="75000"/>
                    <a:lumOff val="25000"/>
                  </a:schemeClr>
                </a:solidFill>
                <a:latin typeface="+mn-lt"/>
                <a:ea typeface="+mn-ea"/>
                <a:cs typeface="+mn-cs"/>
              </a:defRPr>
            </a:pPr>
            <a:r>
              <a:rPr lang="zh-CN" altLang="en-US"/>
              <a:t>（</a:t>
            </a:r>
            <a:r>
              <a:rPr lang="zh-CN" altLang="en-US" sz="1200"/>
              <a:t>金额：万元</a:t>
            </a:r>
            <a:r>
              <a:rPr lang="zh-CN" altLang="en-US"/>
              <a:t>）</a:t>
            </a:r>
            <a:endParaRPr lang="zh-CN" altLang="en-US"/>
          </a:p>
        </c:rich>
      </c:tx>
      <c:layout>
        <c:manualLayout>
          <c:xMode val="edge"/>
          <c:yMode val="edge"/>
          <c:x val="0.124861111111111"/>
          <c:y val="0.0277776142468173"/>
        </c:manualLayout>
      </c:layout>
      <c:overlay val="0"/>
      <c:spPr>
        <a:noFill/>
        <a:ln>
          <a:noFill/>
        </a:ln>
        <a:effectLst/>
      </c:spPr>
    </c:title>
    <c:autoTitleDeleted val="0"/>
    <c:plotArea>
      <c:layout/>
      <c:pieChart>
        <c:varyColors val="1"/>
        <c:ser>
          <c:idx val="0"/>
          <c:order val="0"/>
          <c:tx>
            <c:strRef>
              <c:f>Sheet1!$B$148</c:f>
              <c:strCache>
                <c:ptCount val="1"/>
                <c:pt idx="0">
                  <c:v>金额：万元</c:v>
                </c:pt>
              </c:strCache>
            </c:strRef>
          </c:tx>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dLbl>
              <c:idx val="0"/>
              <c:layout>
                <c:manualLayout>
                  <c:x val="-0.0527788713910761"/>
                  <c:y val="0.13618956508941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472211286089239"/>
                  <c:y val="0.18016914552347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361122047244095"/>
                  <c:y val="0.17553951589384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0972178477690289"/>
                  <c:y val="0.096087780694079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00972178477690289"/>
                  <c:y val="0.23034703995333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Sheet1!$A$149:$A$153</c:f>
              <c:strCache>
                <c:ptCount val="3"/>
                <c:pt idx="0">
                  <c:v>社会保障和就业支出</c:v>
                </c:pt>
                <c:pt idx="1">
                  <c:v>卫生健康支出</c:v>
                </c:pt>
                <c:pt idx="2">
                  <c:v>住房保障支出</c:v>
                </c:pt>
              </c:strCache>
            </c:strRef>
          </c:cat>
          <c:val>
            <c:numRef>
              <c:f>Sheet1!$B$149:$B$153</c:f>
              <c:numCache>
                <c:formatCode>General</c:formatCode>
                <c:ptCount val="5"/>
                <c:pt idx="0">
                  <c:v>4.66</c:v>
                </c:pt>
                <c:pt idx="1">
                  <c:v>31.23</c:v>
                </c:pt>
                <c:pt idx="2">
                  <c:v>2.9</c:v>
                </c:pt>
              </c:numCache>
            </c:numRef>
          </c:val>
        </c:ser>
        <c:ser>
          <c:idx val="1"/>
          <c:order val="1"/>
          <c:tx>
            <c:strRef>
              <c:f>Sheet1!$C$148</c:f>
              <c:strCache>
                <c:ptCount val="1"/>
                <c:pt idx="0">
                  <c:v>占比%</c:v>
                </c:pt>
              </c:strCache>
            </c:strRef>
          </c:tx>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Sheet1!$A$149:$A$153</c:f>
              <c:strCache>
                <c:ptCount val="3"/>
                <c:pt idx="0">
                  <c:v>社会保障和就业支出</c:v>
                </c:pt>
                <c:pt idx="1">
                  <c:v>卫生健康支出</c:v>
                </c:pt>
                <c:pt idx="2">
                  <c:v>住房保障支出</c:v>
                </c:pt>
              </c:strCache>
            </c:strRef>
          </c:cat>
          <c:val>
            <c:numRef>
              <c:f>Sheet1!$C$149:$C$153</c:f>
              <c:numCache>
                <c:formatCode>General</c:formatCode>
                <c:ptCount val="5"/>
                <c:pt idx="0">
                  <c:v>72.96</c:v>
                </c:pt>
                <c:pt idx="1">
                  <c:v>0</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legendEntry>
        <c:idx val="4"/>
        <c:delete val="1"/>
      </c:legendEntry>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36</Pages>
  <Words>2459</Words>
  <Characters>14017</Characters>
  <Lines>116</Lines>
  <Paragraphs>32</Paragraphs>
  <TotalTime>10</TotalTime>
  <ScaleCrop>false</ScaleCrop>
  <LinksUpToDate>false</LinksUpToDate>
  <CharactersWithSpaces>16444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test</cp:lastModifiedBy>
  <cp:lastPrinted>2023-07-31T02:35:00Z</cp:lastPrinted>
  <dcterms:modified xsi:type="dcterms:W3CDTF">2023-08-31T01:31:46Z</dcterms:modified>
  <dc:title>四川省***</dc:title>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9402281079A946BF868791EB1D842AA4_12</vt:lpwstr>
  </property>
</Properties>
</file>