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96597"/>
      <w:bookmarkStart w:id="4" w:name="_Toc15378441"/>
      <w:bookmarkStart w:id="5" w:name="_Toc17103546"/>
      <w:bookmarkStart w:id="6" w:name="_Toc15377193"/>
      <w:r>
        <w:rPr>
          <w:rFonts w:ascii="黑体" w:hAnsi="黑体" w:eastAsia="黑体"/>
          <w:color w:val="000000"/>
          <w:sz w:val="72"/>
          <w:szCs w:val="72"/>
        </w:rPr>
        <w:t>20</w:t>
      </w:r>
      <w:r>
        <w:rPr>
          <w:rFonts w:hint="eastAsia" w:ascii="黑体" w:hAnsi="黑体" w:eastAsia="黑体"/>
          <w:color w:val="000000"/>
          <w:sz w:val="72"/>
          <w:szCs w:val="72"/>
        </w:rPr>
        <w:t>2</w:t>
      </w:r>
      <w:r>
        <w:rPr>
          <w:rFonts w:hint="eastAsia" w:ascii="黑体" w:hAnsi="黑体" w:eastAsia="黑体"/>
          <w:color w:val="000000"/>
          <w:sz w:val="72"/>
          <w:szCs w:val="72"/>
          <w:lang w:val="en-US" w:eastAsia="zh-CN"/>
        </w:rPr>
        <w:t>1</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资阳市雁江区文化馆</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部门决算公开</w:t>
      </w:r>
    </w:p>
    <w:p>
      <w:pPr>
        <w:adjustRightInd w:val="0"/>
        <w:snapToGrid w:val="0"/>
        <w:spacing w:line="360" w:lineRule="auto"/>
        <w:jc w:val="center"/>
        <w:outlineLvl w:val="0"/>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7"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6</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2</w:t>
      </w:r>
      <w:r>
        <w:rPr>
          <w:rStyle w:val="15"/>
          <w:rFonts w:hint="eastAsia"/>
          <w:lang w:val="en-US" w:eastAsia="zh-CN"/>
        </w:rPr>
        <w:t>1</w:t>
      </w:r>
      <w:r>
        <w:rPr>
          <w:rStyle w:val="15"/>
          <w:rFonts w:hint="eastAsia"/>
        </w:rPr>
        <w:t>年度部门决算情况说明</w:t>
      </w:r>
      <w:r>
        <w:tab/>
      </w:r>
      <w:r>
        <w:rPr>
          <w:rFonts w:hint="eastAsia"/>
          <w:lang w:val="en-US" w:eastAsia="zh-CN"/>
        </w:rPr>
        <w:t>7</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hint="eastAsia" w:ascii="仿宋" w:hAnsi="仿宋" w:eastAsia="仿宋"/>
          <w:sz w:val="28"/>
          <w:szCs w:val="28"/>
        </w:rPr>
        <w:fldChar w:fldCharType="end"/>
      </w:r>
    </w:p>
    <w:p>
      <w:pPr>
        <w:pStyle w:val="11"/>
        <w:rPr>
          <w:rFonts w:hint="eastAsia" w:ascii="仿宋" w:hAnsi="仿宋" w:eastAsia="仿宋" w:cstheme="minorBidi"/>
          <w:sz w:val="28"/>
          <w:szCs w:val="28"/>
          <w:lang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cstheme="minorBidi"/>
          <w:sz w:val="28"/>
          <w:szCs w:val="28"/>
          <w:lang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olor w:val="0000FF" w:themeColor="hyperlink"/>
          <w:sz w:val="28"/>
          <w:szCs w:val="28"/>
          <w:u w:val="single"/>
          <w:lang w:eastAsia="zh-CN"/>
          <w14:textFill>
            <w14:solidFill>
              <w14:schemeClr w14:val="hlink"/>
            </w14:solidFill>
          </w14:textFill>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w:t>
      </w:r>
      <w:r>
        <w:rPr>
          <w:rFonts w:hint="eastAsia"/>
          <w:lang w:val="en-US" w:eastAsia="zh-CN"/>
        </w:rPr>
        <w:t>7</w:t>
      </w:r>
      <w:r>
        <w:fldChar w:fldCharType="end"/>
      </w:r>
      <w:r>
        <w:fldChar w:fldCharType="end"/>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2</w:t>
      </w:r>
      <w:r>
        <w:fldChar w:fldCharType="end"/>
      </w:r>
      <w:r>
        <w:rPr>
          <w:rFonts w:hint="eastAsia"/>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0"/>
        <w:rPr>
          <w:rFonts w:cstheme="minorBidi"/>
          <w:color w:val="0000FF"/>
        </w:rPr>
      </w:pPr>
      <w:r>
        <w:fldChar w:fldCharType="begin"/>
      </w:r>
      <w:r>
        <w:instrText xml:space="preserve"> HYPERLINK \l "_Toc15396618" </w:instrText>
      </w:r>
      <w:r>
        <w:fldChar w:fldCharType="separate"/>
      </w:r>
      <w:r>
        <w:rPr>
          <w:rStyle w:val="15"/>
          <w:rFonts w:hint="eastAsia"/>
          <w:color w:val="0000FF"/>
        </w:rPr>
        <w:t>第</w:t>
      </w:r>
      <w:r>
        <w:rPr>
          <w:rStyle w:val="15"/>
          <w:rFonts w:hint="eastAsia"/>
          <w:bCs/>
          <w:color w:val="0000FF"/>
          <w:kern w:val="44"/>
        </w:rPr>
        <w:t>五部分</w:t>
      </w:r>
      <w:r>
        <w:rPr>
          <w:rStyle w:val="15"/>
          <w:bCs/>
          <w:color w:val="0000FF"/>
          <w:kern w:val="44"/>
        </w:rPr>
        <w:t xml:space="preserve"> </w:t>
      </w:r>
      <w:r>
        <w:rPr>
          <w:rStyle w:val="15"/>
          <w:rFonts w:hint="eastAsia"/>
          <w:bCs/>
          <w:color w:val="0000FF"/>
          <w:kern w:val="44"/>
        </w:rPr>
        <w:t>附表</w:t>
      </w:r>
      <w:r>
        <w:rPr>
          <w:color w:val="0000FF"/>
        </w:rPr>
        <w:tab/>
      </w:r>
      <w:r>
        <w:rPr>
          <w:color w:val="0000FF"/>
        </w:rPr>
        <w:fldChar w:fldCharType="begin"/>
      </w:r>
      <w:r>
        <w:rPr>
          <w:color w:val="0000FF"/>
        </w:rPr>
        <w:instrText xml:space="preserve"> PAGEREF _Toc15396618 \h </w:instrText>
      </w:r>
      <w:r>
        <w:rPr>
          <w:color w:val="0000FF"/>
        </w:rPr>
        <w:fldChar w:fldCharType="separate"/>
      </w:r>
      <w:r>
        <w:rPr>
          <w:rFonts w:hint="eastAsia"/>
          <w:color w:val="0000FF"/>
          <w:lang w:val="en-US" w:eastAsia="zh-CN"/>
        </w:rPr>
        <w:t>43</w:t>
      </w:r>
      <w:r>
        <w:rPr>
          <w:color w:val="0000FF"/>
        </w:rPr>
        <w:fldChar w:fldCharType="end"/>
      </w:r>
      <w:r>
        <w:rPr>
          <w:color w:val="0000FF"/>
        </w:rPr>
        <w:fldChar w:fldCharType="end"/>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一、</w:t>
      </w:r>
      <w:r>
        <w:fldChar w:fldCharType="begin"/>
      </w:r>
      <w:r>
        <w:instrText xml:space="preserve"> HYPERLINK \l "_Toc15396619" </w:instrText>
      </w:r>
      <w:r>
        <w:fldChar w:fldCharType="separate"/>
      </w:r>
      <w:r>
        <w:rPr>
          <w:rStyle w:val="15"/>
          <w:rFonts w:hint="eastAsia" w:ascii="仿宋" w:hAnsi="仿宋" w:eastAsia="仿宋"/>
          <w:color w:val="0000FF"/>
          <w:sz w:val="28"/>
          <w:szCs w:val="28"/>
        </w:rPr>
        <w:t>收入支出决算总表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二、</w:t>
      </w:r>
      <w:r>
        <w:fldChar w:fldCharType="begin"/>
      </w:r>
      <w:r>
        <w:instrText xml:space="preserve"> HYPERLINK \l "_Toc15396620" </w:instrText>
      </w:r>
      <w:r>
        <w:fldChar w:fldCharType="separate"/>
      </w:r>
      <w:r>
        <w:rPr>
          <w:rStyle w:val="15"/>
          <w:rFonts w:hint="eastAsia" w:ascii="仿宋" w:hAnsi="仿宋" w:eastAsia="仿宋"/>
          <w:color w:val="0000FF"/>
          <w:sz w:val="28"/>
          <w:szCs w:val="28"/>
        </w:rPr>
        <w:t>收入决算表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三、</w:t>
      </w:r>
      <w:r>
        <w:fldChar w:fldCharType="begin"/>
      </w:r>
      <w:r>
        <w:instrText xml:space="preserve"> HYPERLINK \l "_Toc15396621" </w:instrText>
      </w:r>
      <w:r>
        <w:fldChar w:fldCharType="separate"/>
      </w:r>
      <w:r>
        <w:rPr>
          <w:rStyle w:val="15"/>
          <w:rFonts w:hint="eastAsia" w:ascii="仿宋" w:hAnsi="仿宋" w:eastAsia="仿宋"/>
          <w:color w:val="0000FF"/>
          <w:sz w:val="28"/>
          <w:szCs w:val="28"/>
        </w:rPr>
        <w:t>支出决算表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四、</w:t>
      </w:r>
      <w:r>
        <w:fldChar w:fldCharType="begin"/>
      </w:r>
      <w:r>
        <w:instrText xml:space="preserve"> HYPERLINK \l "_Toc15396622" </w:instrText>
      </w:r>
      <w:r>
        <w:fldChar w:fldCharType="separate"/>
      </w:r>
      <w:r>
        <w:rPr>
          <w:rStyle w:val="15"/>
          <w:rFonts w:hint="eastAsia" w:ascii="仿宋" w:hAnsi="仿宋" w:eastAsia="仿宋"/>
          <w:color w:val="0000FF"/>
          <w:sz w:val="28"/>
          <w:szCs w:val="28"/>
        </w:rPr>
        <w:t>财政拨款收入支出决算总表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olor w:val="0000FF"/>
          <w:sz w:val="28"/>
          <w:szCs w:val="28"/>
          <w:lang w:val="en-US" w:eastAsia="zh-CN"/>
        </w:rPr>
      </w:pPr>
      <w:r>
        <w:rPr>
          <w:rFonts w:hint="eastAsia" w:ascii="仿宋" w:hAnsi="仿宋" w:eastAsia="仿宋"/>
          <w:color w:val="0000FF"/>
          <w:sz w:val="28"/>
          <w:szCs w:val="28"/>
        </w:rPr>
        <w:t>五</w:t>
      </w:r>
      <w:r>
        <w:rPr>
          <w:rStyle w:val="15"/>
          <w:rFonts w:hint="eastAsia" w:ascii="仿宋" w:hAnsi="仿宋" w:eastAsia="仿宋"/>
          <w:color w:val="0000FF"/>
          <w:sz w:val="28"/>
          <w:szCs w:val="28"/>
        </w:rPr>
        <w:t>、</w:t>
      </w:r>
      <w:r>
        <w:fldChar w:fldCharType="begin"/>
      </w:r>
      <w:r>
        <w:instrText xml:space="preserve"> HYPERLINK \l "_Toc15396623" </w:instrText>
      </w:r>
      <w:r>
        <w:fldChar w:fldCharType="separate"/>
      </w:r>
      <w:r>
        <w:rPr>
          <w:rStyle w:val="15"/>
          <w:rFonts w:hint="eastAsia" w:ascii="仿宋" w:hAnsi="仿宋" w:eastAsia="仿宋"/>
          <w:color w:val="0000FF"/>
          <w:sz w:val="28"/>
          <w:szCs w:val="28"/>
        </w:rPr>
        <w:t>财政拨款支出决算明细表</w:t>
      </w:r>
      <w:r>
        <w:rPr>
          <w:rStyle w:val="15"/>
          <w:rFonts w:hint="eastAsia" w:ascii="仿宋" w:hAnsi="仿宋" w:eastAsia="仿宋"/>
          <w:color w:val="0000FF"/>
          <w:sz w:val="28"/>
          <w:szCs w:val="28"/>
        </w:rPr>
        <w:tab/>
      </w:r>
      <w:r>
        <w:rPr>
          <w:rStyle w:val="15"/>
          <w:rFonts w:hint="eastAsia" w:ascii="仿宋" w:hAnsi="仿宋" w:eastAsia="仿宋"/>
          <w:color w:val="0000FF"/>
          <w:sz w:val="28"/>
          <w:szCs w:val="28"/>
          <w:lang w:val="en-US" w:eastAsia="zh-CN"/>
        </w:rPr>
        <w:t>4</w:t>
      </w:r>
      <w:r>
        <w:rPr>
          <w:rStyle w:val="15"/>
          <w:rFonts w:hint="eastAsia" w:ascii="仿宋" w:hAnsi="仿宋" w:eastAsia="仿宋"/>
          <w:color w:val="0000FF"/>
          <w:sz w:val="28"/>
          <w:szCs w:val="28"/>
        </w:rPr>
        <w:fldChar w:fldCharType="end"/>
      </w:r>
      <w:r>
        <w:rPr>
          <w:rStyle w:val="15"/>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六、</w:t>
      </w:r>
      <w:r>
        <w:fldChar w:fldCharType="begin"/>
      </w:r>
      <w:r>
        <w:instrText xml:space="preserve"> HYPERLINK \l "_Toc15396624" </w:instrText>
      </w:r>
      <w:r>
        <w:fldChar w:fldCharType="separate"/>
      </w:r>
      <w:r>
        <w:rPr>
          <w:rStyle w:val="15"/>
          <w:rFonts w:hint="eastAsia" w:ascii="仿宋" w:hAnsi="仿宋" w:eastAsia="仿宋"/>
          <w:color w:val="0000FF"/>
          <w:sz w:val="28"/>
          <w:szCs w:val="28"/>
        </w:rPr>
        <w:t>一般公共预算财政拨款支出决算表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ascii="仿宋" w:hAnsi="仿宋" w:eastAsia="仿宋" w:cstheme="minorBidi"/>
          <w:color w:val="0000FF"/>
          <w:sz w:val="28"/>
          <w:szCs w:val="28"/>
        </w:rPr>
      </w:pPr>
      <w:r>
        <w:rPr>
          <w:rFonts w:hint="eastAsia" w:ascii="仿宋" w:hAnsi="仿宋" w:eastAsia="仿宋"/>
          <w:color w:val="0000FF"/>
          <w:sz w:val="28"/>
          <w:szCs w:val="28"/>
        </w:rPr>
        <w:t>七、</w:t>
      </w:r>
      <w:r>
        <w:fldChar w:fldCharType="begin"/>
      </w:r>
      <w:r>
        <w:instrText xml:space="preserve"> HYPERLINK \l "_Toc15396625" </w:instrText>
      </w:r>
      <w:r>
        <w:fldChar w:fldCharType="separate"/>
      </w:r>
      <w:r>
        <w:rPr>
          <w:rStyle w:val="15"/>
          <w:rFonts w:hint="eastAsia" w:ascii="仿宋" w:hAnsi="仿宋" w:eastAsia="仿宋"/>
          <w:color w:val="0000FF"/>
          <w:sz w:val="28"/>
          <w:szCs w:val="28"/>
        </w:rPr>
        <w:t>一般公共预算财政拨款支出决算明细表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_Toc15396625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olor w:val="0000FF"/>
          <w:sz w:val="28"/>
          <w:szCs w:val="28"/>
        </w:rPr>
      </w:pPr>
      <w:r>
        <w:rPr>
          <w:rFonts w:hint="eastAsia" w:ascii="仿宋" w:hAnsi="仿宋" w:eastAsia="仿宋"/>
          <w:color w:val="0000FF"/>
          <w:sz w:val="28"/>
          <w:szCs w:val="28"/>
        </w:rPr>
        <w:t>八、</w:t>
      </w:r>
      <w:r>
        <w:fldChar w:fldCharType="begin"/>
      </w:r>
      <w:r>
        <w:instrText xml:space="preserve"> HYPERLINK \l "_Toc15396626" </w:instrText>
      </w:r>
      <w:r>
        <w:fldChar w:fldCharType="separate"/>
      </w:r>
      <w:r>
        <w:rPr>
          <w:rStyle w:val="15"/>
          <w:rFonts w:hint="eastAsia" w:ascii="仿宋" w:hAnsi="仿宋" w:eastAsia="仿宋"/>
          <w:color w:val="0000FF"/>
          <w:sz w:val="28"/>
          <w:szCs w:val="28"/>
        </w:rPr>
        <w:t>一般公共预算财政拨款基本支出决算表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_Toc15396626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ind w:left="0" w:leftChars="0" w:firstLine="280" w:firstLineChars="100"/>
        <w:rPr>
          <w:rFonts w:ascii="仿宋" w:hAnsi="仿宋" w:eastAsia="仿宋" w:cstheme="minorBidi"/>
          <w:color w:val="0000FF"/>
          <w:sz w:val="28"/>
          <w:szCs w:val="28"/>
        </w:rPr>
      </w:pPr>
      <w:r>
        <w:rPr>
          <w:rFonts w:hint="eastAsia" w:ascii="仿宋" w:hAnsi="仿宋" w:eastAsia="仿宋"/>
          <w:color w:val="0000FF"/>
          <w:sz w:val="28"/>
          <w:szCs w:val="28"/>
          <w:lang w:val="en-US" w:eastAsia="zh-CN"/>
        </w:rPr>
        <w:t xml:space="preserve"> 九</w:t>
      </w:r>
      <w:r>
        <w:rPr>
          <w:rFonts w:hint="eastAsia" w:ascii="仿宋" w:hAnsi="仿宋" w:eastAsia="仿宋"/>
          <w:color w:val="0000FF"/>
          <w:sz w:val="28"/>
          <w:szCs w:val="28"/>
        </w:rPr>
        <w:t>、</w:t>
      </w:r>
      <w:r>
        <w:fldChar w:fldCharType="begin"/>
      </w:r>
      <w:r>
        <w:instrText xml:space="preserve"> HYPERLINK \l "_Toc15396619" </w:instrText>
      </w:r>
      <w:r>
        <w:fldChar w:fldCharType="separate"/>
      </w:r>
      <w:r>
        <w:rPr>
          <w:rStyle w:val="15"/>
          <w:rFonts w:hint="eastAsia" w:ascii="仿宋" w:hAnsi="仿宋" w:eastAsia="仿宋"/>
          <w:color w:val="0000FF"/>
          <w:sz w:val="28"/>
          <w:szCs w:val="28"/>
        </w:rPr>
        <w:t>一般公共预算财政拨款项目支出决算表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_Toc15396619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stheme="minorBidi"/>
          <w:color w:val="0000FF"/>
          <w:sz w:val="28"/>
          <w:szCs w:val="28"/>
        </w:rPr>
      </w:pPr>
      <w:r>
        <w:rPr>
          <w:rFonts w:hint="eastAsia" w:ascii="仿宋" w:hAnsi="仿宋" w:eastAsia="仿宋"/>
          <w:color w:val="0000FF"/>
          <w:sz w:val="28"/>
          <w:szCs w:val="28"/>
          <w:lang w:eastAsia="zh-CN"/>
        </w:rPr>
        <w:t>十</w:t>
      </w:r>
      <w:r>
        <w:rPr>
          <w:rFonts w:hint="eastAsia" w:ascii="仿宋" w:hAnsi="仿宋" w:eastAsia="仿宋"/>
          <w:color w:val="0000FF"/>
          <w:sz w:val="28"/>
          <w:szCs w:val="28"/>
        </w:rPr>
        <w:t>、</w:t>
      </w:r>
      <w:r>
        <w:fldChar w:fldCharType="begin"/>
      </w:r>
      <w:r>
        <w:instrText xml:space="preserve"> HYPERLINK \l "_Toc15396620" </w:instrText>
      </w:r>
      <w:r>
        <w:fldChar w:fldCharType="separate"/>
      </w:r>
      <w:r>
        <w:rPr>
          <w:rStyle w:val="15"/>
          <w:rFonts w:hint="eastAsia" w:ascii="仿宋" w:hAnsi="仿宋" w:eastAsia="仿宋"/>
          <w:color w:val="0000FF"/>
          <w:sz w:val="28"/>
          <w:szCs w:val="28"/>
        </w:rPr>
        <w:t>一般公共预算财政拨款“三公”经费支出决算表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_Toc15396620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stheme="minorBidi"/>
          <w:color w:val="0000FF"/>
          <w:sz w:val="28"/>
          <w:szCs w:val="28"/>
        </w:rPr>
      </w:pPr>
      <w:r>
        <w:rPr>
          <w:rFonts w:hint="eastAsia" w:ascii="仿宋" w:hAnsi="仿宋" w:eastAsia="仿宋"/>
          <w:color w:val="0000FF"/>
          <w:sz w:val="28"/>
          <w:szCs w:val="28"/>
          <w:lang w:eastAsia="zh-CN"/>
        </w:rPr>
        <w:t>十一</w:t>
      </w:r>
      <w:r>
        <w:rPr>
          <w:rFonts w:hint="eastAsia" w:ascii="仿宋" w:hAnsi="仿宋" w:eastAsia="仿宋"/>
          <w:color w:val="0000FF"/>
          <w:sz w:val="28"/>
          <w:szCs w:val="28"/>
        </w:rPr>
        <w:t>、</w:t>
      </w:r>
      <w:r>
        <w:fldChar w:fldCharType="begin"/>
      </w:r>
      <w:r>
        <w:instrText xml:space="preserve"> HYPERLINK \l "_Toc15396621" </w:instrText>
      </w:r>
      <w:r>
        <w:fldChar w:fldCharType="separate"/>
      </w:r>
      <w:r>
        <w:rPr>
          <w:rStyle w:val="15"/>
          <w:rFonts w:hint="eastAsia" w:ascii="仿宋" w:hAnsi="仿宋" w:eastAsia="仿宋"/>
          <w:color w:val="0000FF"/>
          <w:sz w:val="28"/>
          <w:szCs w:val="28"/>
        </w:rPr>
        <w:t>政府性基金预算财政拨款收入支出决算表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_Toc15396621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olor w:val="0000FF"/>
          <w:sz w:val="28"/>
          <w:szCs w:val="28"/>
        </w:rPr>
      </w:pPr>
      <w:r>
        <w:rPr>
          <w:rFonts w:hint="eastAsia" w:ascii="仿宋" w:hAnsi="仿宋" w:eastAsia="仿宋"/>
          <w:color w:val="0000FF"/>
          <w:sz w:val="28"/>
          <w:szCs w:val="28"/>
          <w:lang w:eastAsia="zh-CN"/>
        </w:rPr>
        <w:t>十二</w:t>
      </w:r>
      <w:r>
        <w:rPr>
          <w:rFonts w:hint="eastAsia" w:ascii="仿宋" w:hAnsi="仿宋" w:eastAsia="仿宋"/>
          <w:color w:val="0000FF"/>
          <w:sz w:val="28"/>
          <w:szCs w:val="28"/>
        </w:rPr>
        <w:t>、</w:t>
      </w:r>
      <w:r>
        <w:fldChar w:fldCharType="begin"/>
      </w:r>
      <w:r>
        <w:instrText xml:space="preserve"> HYPERLINK \l "_Toc15396622" </w:instrText>
      </w:r>
      <w:r>
        <w:fldChar w:fldCharType="separate"/>
      </w:r>
      <w:r>
        <w:rPr>
          <w:rStyle w:val="15"/>
          <w:rFonts w:hint="eastAsia" w:ascii="仿宋" w:hAnsi="仿宋" w:eastAsia="仿宋"/>
          <w:color w:val="0000FF"/>
          <w:sz w:val="28"/>
          <w:szCs w:val="28"/>
        </w:rPr>
        <w:t>政府性基金预算财政拨款“三公”经费支出决算表表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_Toc15396622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stheme="minorBidi"/>
          <w:color w:val="0000FF"/>
          <w:sz w:val="28"/>
          <w:szCs w:val="28"/>
        </w:rPr>
      </w:pPr>
      <w:r>
        <w:rPr>
          <w:rFonts w:hint="eastAsia" w:ascii="仿宋" w:hAnsi="仿宋" w:eastAsia="仿宋"/>
          <w:color w:val="0000FF"/>
          <w:sz w:val="28"/>
          <w:szCs w:val="28"/>
          <w:lang w:eastAsia="zh-CN"/>
        </w:rPr>
        <w:t>十三</w:t>
      </w:r>
      <w:r>
        <w:rPr>
          <w:rFonts w:hint="eastAsia" w:ascii="仿宋" w:hAnsi="仿宋" w:eastAsia="仿宋"/>
          <w:color w:val="0000FF"/>
          <w:sz w:val="28"/>
          <w:szCs w:val="28"/>
        </w:rPr>
        <w:t>、</w:t>
      </w:r>
      <w:r>
        <w:fldChar w:fldCharType="begin"/>
      </w:r>
      <w:r>
        <w:instrText xml:space="preserve"> HYPERLINK \l "_Toc15396621" </w:instrText>
      </w:r>
      <w:r>
        <w:fldChar w:fldCharType="separate"/>
      </w:r>
      <w:r>
        <w:rPr>
          <w:rStyle w:val="15"/>
          <w:rFonts w:hint="eastAsia" w:ascii="仿宋" w:hAnsi="仿宋" w:eastAsia="仿宋"/>
          <w:color w:val="0000FF"/>
          <w:sz w:val="28"/>
          <w:szCs w:val="28"/>
        </w:rPr>
        <w:t>国有资本经营预算财政拨款收入支出决算表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_Toc15396621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lang w:eastAsia="zh-CN"/>
        </w:rPr>
        <w:t>十四</w:t>
      </w:r>
      <w:r>
        <w:rPr>
          <w:rFonts w:hint="eastAsia" w:ascii="仿宋" w:hAnsi="仿宋" w:eastAsia="仿宋"/>
          <w:color w:val="0000FF"/>
          <w:sz w:val="28"/>
          <w:szCs w:val="28"/>
        </w:rPr>
        <w:t>、</w:t>
      </w:r>
      <w:r>
        <w:fldChar w:fldCharType="begin"/>
      </w:r>
      <w:r>
        <w:instrText xml:space="preserve"> HYPERLINK \l "_Toc15396620" </w:instrText>
      </w:r>
      <w:r>
        <w:fldChar w:fldCharType="separate"/>
      </w:r>
      <w:r>
        <w:rPr>
          <w:rStyle w:val="15"/>
          <w:rFonts w:hint="eastAsia" w:ascii="仿宋" w:hAnsi="仿宋" w:eastAsia="仿宋"/>
          <w:color w:val="0000FF"/>
          <w:sz w:val="28"/>
          <w:szCs w:val="28"/>
        </w:rPr>
        <w:t>国有资本经营预算财政拨款支出决算表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ascii="仿宋" w:hAnsi="仿宋" w:eastAsia="仿宋" w:cstheme="minorBidi"/>
          <w:color w:val="0000FF"/>
          <w:sz w:val="28"/>
          <w:szCs w:val="28"/>
        </w:rPr>
      </w:pPr>
    </w:p>
    <w:p>
      <w:pPr>
        <w:pStyle w:val="4"/>
        <w:rPr>
          <w:rFonts w:hint="eastAsia" w:ascii="仿宋" w:hAnsi="仿宋" w:eastAsia="仿宋"/>
          <w:color w:val="000000"/>
          <w:lang w:val="en-US" w:eastAsia="zh-CN"/>
        </w:rPr>
      </w:pPr>
      <w:r>
        <w:rPr>
          <w:rFonts w:ascii="仿宋" w:hAnsi="仿宋" w:eastAsia="仿宋"/>
          <w:color w:val="000000"/>
          <w:sz w:val="24"/>
        </w:rPr>
        <w:fldChar w:fldCharType="end"/>
      </w:r>
      <w:r>
        <w:rPr>
          <w:rFonts w:hint="eastAsia" w:ascii="仿宋" w:hAnsi="仿宋" w:eastAsia="仿宋"/>
          <w:color w:val="000000"/>
          <w:sz w:val="24"/>
          <w:lang w:val="en-US" w:eastAsia="zh-CN"/>
        </w:rPr>
        <w:t xml:space="preserve"> </w:t>
      </w:r>
    </w:p>
    <w:p>
      <w:pPr>
        <w:widowControl/>
        <w:jc w:val="left"/>
        <w:rPr>
          <w:rFonts w:ascii="仿宋" w:hAnsi="仿宋" w:eastAsia="仿宋"/>
          <w:color w:val="000000"/>
          <w:sz w:val="24"/>
        </w:rPr>
      </w:pPr>
    </w:p>
    <w:p>
      <w:pPr>
        <w:widowControl/>
        <w:jc w:val="left"/>
        <w:rPr>
          <w:rFonts w:ascii="黑体" w:hAnsi="黑体" w:eastAsia="黑体"/>
          <w:b/>
        </w:rPr>
      </w:pPr>
      <w:r>
        <w:rPr>
          <w:rFonts w:ascii="黑体" w:hAnsi="黑体" w:eastAsia="黑体"/>
          <w:b/>
        </w:rPr>
        <w:br w:type="page"/>
      </w:r>
    </w:p>
    <w:p>
      <w:pPr>
        <w:pStyle w:val="16"/>
        <w:ind w:firstLine="420"/>
      </w:pPr>
    </w:p>
    <w:p>
      <w:pPr>
        <w:pStyle w:val="3"/>
        <w:jc w:val="center"/>
        <w:rPr>
          <w:rFonts w:ascii="黑体" w:eastAsia="黑体"/>
          <w:color w:val="000000"/>
          <w:sz w:val="32"/>
          <w:szCs w:val="32"/>
        </w:rPr>
      </w:pPr>
      <w:bookmarkStart w:id="8" w:name="_Toc17103549"/>
      <w:r>
        <w:rPr>
          <w:rFonts w:hint="eastAsia" w:ascii="黑体" w:hAnsi="黑体" w:eastAsia="黑体"/>
          <w:b w:val="0"/>
        </w:rPr>
        <w:t xml:space="preserve">第一部分 </w:t>
      </w:r>
      <w:r>
        <w:rPr>
          <w:rStyle w:val="25"/>
          <w:rFonts w:hint="eastAsia" w:ascii="黑体" w:hAnsi="黑体" w:eastAsia="黑体"/>
          <w:b w:val="0"/>
          <w:bCs w:val="0"/>
        </w:rPr>
        <w:t>部门概况</w:t>
      </w:r>
      <w:bookmarkEnd w:id="7"/>
      <w:bookmarkEnd w:id="8"/>
    </w:p>
    <w:p>
      <w:pPr>
        <w:pStyle w:val="4"/>
        <w:rPr>
          <w:rStyle w:val="26"/>
          <w:rFonts w:ascii="仿宋" w:hAnsi="仿宋" w:eastAsia="仿宋"/>
          <w:b w:val="0"/>
          <w:bCs w:val="0"/>
        </w:rPr>
      </w:pPr>
      <w:bookmarkStart w:id="9" w:name="_Toc17103550"/>
      <w:bookmarkStart w:id="10"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9"/>
      <w:bookmarkEnd w:id="10"/>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11" w:name="_Toc15377198"/>
      <w:bookmarkStart w:id="12" w:name="_Toc15378445"/>
      <w:r>
        <w:rPr>
          <w:rFonts w:hint="eastAsia" w:ascii="仿宋" w:hAnsi="仿宋" w:eastAsia="仿宋"/>
          <w:bCs/>
          <w:color w:val="000000"/>
          <w:sz w:val="32"/>
          <w:szCs w:val="32"/>
        </w:rPr>
        <w:t>（一）主要职能。</w:t>
      </w:r>
      <w:bookmarkEnd w:id="11"/>
      <w:bookmarkEnd w:id="12"/>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资阳市雁江区文化馆业务工作主要是组织群众文化活动、繁荣群众文化事业、文化宣传、文艺活动组织、群众文艺理论研究、大众科普资料编辑、民族民间文化艺术遗产收集整理与保护。</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3" w:name="_Toc15377199"/>
      <w:bookmarkStart w:id="14" w:name="_Toc15378446"/>
      <w:r>
        <w:rPr>
          <w:rFonts w:hint="eastAsia" w:ascii="仿宋" w:hAnsi="仿宋" w:eastAsia="仿宋"/>
          <w:bCs/>
          <w:color w:val="000000"/>
          <w:sz w:val="32"/>
          <w:szCs w:val="32"/>
        </w:rPr>
        <w:t>本单位</w:t>
      </w:r>
      <w:r>
        <w:rPr>
          <w:rFonts w:hint="eastAsia" w:ascii="仿宋" w:hAnsi="仿宋" w:eastAsia="仿宋"/>
          <w:bCs/>
          <w:color w:val="000000"/>
          <w:sz w:val="32"/>
          <w:szCs w:val="32"/>
          <w:lang w:eastAsia="zh-CN"/>
        </w:rPr>
        <w:t>属于区政府下属财政补助的二级预算单位</w:t>
      </w:r>
      <w:r>
        <w:rPr>
          <w:rFonts w:hint="eastAsia" w:ascii="仿宋" w:hAnsi="仿宋" w:eastAsia="仿宋"/>
          <w:bCs/>
          <w:color w:val="000000"/>
          <w:sz w:val="32"/>
          <w:szCs w:val="32"/>
        </w:rPr>
        <w:t>。截止202</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年12月，本单位我单位有非参公事业人员18人，退休人员12人。</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年重点工作完成情况。</w:t>
      </w:r>
      <w:bookmarkEnd w:id="13"/>
      <w:bookmarkEnd w:id="14"/>
      <w:bookmarkStart w:id="15" w:name="_Toc15377200"/>
      <w:bookmarkStart w:id="16" w:name="_Toc17103551"/>
    </w:p>
    <w:p>
      <w:pPr>
        <w:pStyle w:val="2"/>
        <w:adjustRightInd w:val="0"/>
        <w:snapToGrid w:val="0"/>
        <w:spacing w:before="93" w:line="600" w:lineRule="exact"/>
        <w:ind w:firstLine="672" w:firstLineChars="210"/>
        <w:outlineLvl w:val="2"/>
        <w:rPr>
          <w:rFonts w:hint="eastAsia" w:ascii="仿宋" w:hAnsi="仿宋" w:eastAsia="仿宋" w:cs="Times New Roman"/>
          <w:b w:val="0"/>
          <w:bCs/>
          <w:color w:val="000000"/>
          <w:kern w:val="0"/>
          <w:sz w:val="32"/>
          <w:szCs w:val="32"/>
          <w:lang w:val="en-US" w:eastAsia="zh-CN" w:bidi="ar-SA"/>
        </w:rPr>
      </w:pPr>
      <w:r>
        <w:rPr>
          <w:rFonts w:hint="eastAsia" w:ascii="仿宋" w:hAnsi="仿宋" w:eastAsia="仿宋" w:cs="Times New Roman"/>
          <w:b w:val="0"/>
          <w:bCs/>
          <w:color w:val="000000"/>
          <w:kern w:val="0"/>
          <w:sz w:val="32"/>
          <w:szCs w:val="32"/>
          <w:lang w:val="en-US" w:eastAsia="zh-CN" w:bidi="ar-SA"/>
        </w:rPr>
        <w:t>一扎实开展庆祝建党百年系列活动。开展“百年成就看雁江”系列采风创作活动4场次；举办建党100周年主题美术书法、摄影、非遗展4场次，组织创作300余件美术书法摄影作品参加省市展览赛事10余次；“党在我心中，永远跟党走”建党100周年文艺汇演活动8场次，助力丰裕镇开展主题为“百年成就看雁江.橘子花开兴丰裕”的“丰裕镇党史学习教育活动暨百人骑行.千人徒步.万人在线活动”，线上线下参与人次达10万；举办“我们的节日——雁江区文化进万家书赠春联.福字活动”，受益人群1000余人次；场馆内闹元宵川剧座唱3场次，受益人群1200余人次；川剧进社区2场，受众800余人次；庆祝中国共产党成立100周年五一国际劳动节文化惠民演出活动，受益人群500余人次；举办广场舞《没有共产党就没有新中国》等专题舞蹈培训，普及全区文艺团队及小分队200余人次。周末举办少儿美术、少儿二胡、培训达96课时，参学人员达1260余人次；开展青少年公益性观展活动，参加活动的青少年达50余人，陶冶了艺术情操，提高了艺术素养，极大地丰富了少年儿童的课余生活；举办暑期少儿二胡培训班，培训达12课次48课时，参学人员达408人次；开展“书画消夏 乐享艺术”美术书法展活动5场次，观众人数达200余人；举办二胡讲座，7月22日区文化馆“爱的阳光”志愿服务队邀请中央音乐学院蒲一萌同学到市福利院和二胡艺术培训中心开展二胡公益性讲座，听众达100余人，进一步提升了二胡爱好者的弹奏能力和技巧；积极组织红色观影活动，8月12日，区文化馆组织30余名青少年儿童在一楼戏曲演艺厅观看红色影片《闪闪的红星》，极大地激励了青少年儿童热爱祖国，克服困难、奋发向上、顽强拼搏的精神。二广泛开展成人免费艺术培训。认真落实成人艺术免费培训政策，切实做到培训有计划、有安排、有登记，为广大成人艺术爱好者参加免费培训提供了宽松、舒适的学习环境。全年共接待前来参加中青年古筝、成人书法、中青年电子琴、老年声乐、老年二胡、成人舞蹈、老年葫芦丝、中青年吉他的培训学员共计6192余人次，共举办成人艺术免费培训班 15个。三是认真开展残疾人免费艺术培训。组织残疾人免费艺术培训达1192余人次，培训共计107课时，178学时，开设有二胡、葫芦丝，培养了残疾人自立、自强，自信的能力，让他们在艺术的海洋中健康成长，体现人生价值，有力地推动了雁江残疾人文化创意产业的创新发展。10月10日，组织400余人深入开展由雁江区文化馆、雁江区残联、雁江区第一小学、雁江区二胡学会、月莉二胡艺术培训中心承办的资阳市“有爱资阳 琴韵悠长”二胡名家讲坛暨助残公益演出器乐专场活动，在资阳市口腔职业学院演艺厅隆重举行</w:t>
      </w:r>
    </w:p>
    <w:p>
      <w:pPr>
        <w:pStyle w:val="4"/>
        <w:numPr>
          <w:ilvl w:val="0"/>
          <w:numId w:val="1"/>
        </w:numPr>
        <w:ind w:firstLine="640" w:firstLineChars="200"/>
        <w:rPr>
          <w:rStyle w:val="26"/>
          <w:rFonts w:hint="eastAsia" w:ascii="黑体" w:hAnsi="黑体" w:eastAsia="黑体"/>
          <w:b w:val="0"/>
          <w:bCs w:val="0"/>
        </w:rPr>
      </w:pPr>
      <w:r>
        <w:rPr>
          <w:rFonts w:hint="eastAsia" w:ascii="黑体" w:hAnsi="黑体" w:eastAsia="黑体"/>
          <w:b w:val="0"/>
          <w:color w:val="000000"/>
        </w:rPr>
        <w:t>机</w:t>
      </w:r>
      <w:r>
        <w:rPr>
          <w:rStyle w:val="26"/>
          <w:rFonts w:hint="eastAsia" w:ascii="黑体" w:hAnsi="黑体" w:eastAsia="黑体"/>
          <w:b w:val="0"/>
          <w:bCs w:val="0"/>
        </w:rPr>
        <w:t>构设置</w:t>
      </w:r>
      <w:bookmarkEnd w:id="15"/>
      <w:bookmarkEnd w:id="16"/>
    </w:p>
    <w:p>
      <w:pPr>
        <w:ind w:firstLine="525" w:firstLineChars="250"/>
        <w:rPr>
          <w:rFonts w:eastAsia="仿宋"/>
          <w:sz w:val="32"/>
          <w:szCs w:val="32"/>
        </w:rPr>
      </w:pPr>
      <w:r>
        <w:rPr>
          <w:rFonts w:hint="eastAsia"/>
          <w:lang w:val="en-US" w:eastAsia="zh-CN"/>
        </w:rPr>
        <w:t xml:space="preserve">  </w:t>
      </w:r>
      <w:r>
        <w:rPr>
          <w:rFonts w:hint="eastAsia" w:ascii="仿宋" w:hAnsi="仿宋" w:eastAsia="仿宋"/>
          <w:sz w:val="32"/>
          <w:szCs w:val="32"/>
          <w:lang w:eastAsia="zh-CN"/>
        </w:rPr>
        <w:t>资阳市雁江区文化馆</w:t>
      </w:r>
      <w:r>
        <w:rPr>
          <w:rFonts w:eastAsia="仿宋"/>
          <w:sz w:val="32"/>
          <w:szCs w:val="32"/>
        </w:rPr>
        <w:t>属</w:t>
      </w:r>
      <w:r>
        <w:rPr>
          <w:rFonts w:hint="eastAsia" w:eastAsia="仿宋"/>
          <w:sz w:val="32"/>
          <w:szCs w:val="32"/>
        </w:rPr>
        <w:t>于</w:t>
      </w:r>
      <w:r>
        <w:rPr>
          <w:rFonts w:hint="eastAsia" w:eastAsia="仿宋"/>
          <w:sz w:val="32"/>
          <w:szCs w:val="32"/>
          <w:lang w:eastAsia="zh-CN"/>
        </w:rPr>
        <w:t>雁江区政府</w:t>
      </w:r>
      <w:r>
        <w:rPr>
          <w:rFonts w:hint="eastAsia" w:eastAsia="仿宋"/>
          <w:sz w:val="32"/>
          <w:szCs w:val="32"/>
        </w:rPr>
        <w:t>下属的</w:t>
      </w:r>
      <w:r>
        <w:rPr>
          <w:rFonts w:hint="eastAsia" w:eastAsia="仿宋"/>
          <w:sz w:val="32"/>
          <w:szCs w:val="32"/>
          <w:lang w:eastAsia="zh-CN"/>
        </w:rPr>
        <w:t>二</w:t>
      </w:r>
      <w:r>
        <w:rPr>
          <w:rFonts w:eastAsia="仿宋"/>
          <w:sz w:val="32"/>
          <w:szCs w:val="32"/>
        </w:rPr>
        <w:t>级预算单位，下</w:t>
      </w:r>
      <w:r>
        <w:rPr>
          <w:rFonts w:hint="eastAsia" w:eastAsia="仿宋"/>
          <w:sz w:val="32"/>
          <w:szCs w:val="32"/>
        </w:rPr>
        <w:t>设独立编制机构</w:t>
      </w:r>
      <w:r>
        <w:rPr>
          <w:rFonts w:hint="eastAsia" w:eastAsia="仿宋"/>
          <w:sz w:val="32"/>
          <w:szCs w:val="32"/>
          <w:lang w:val="en-US" w:eastAsia="zh-CN"/>
        </w:rPr>
        <w:t>0</w:t>
      </w:r>
      <w:r>
        <w:rPr>
          <w:rFonts w:eastAsia="仿宋"/>
          <w:sz w:val="32"/>
          <w:szCs w:val="32"/>
        </w:rPr>
        <w:t>个，其中行政</w:t>
      </w:r>
      <w:r>
        <w:rPr>
          <w:rFonts w:hint="eastAsia" w:eastAsia="仿宋"/>
          <w:sz w:val="32"/>
          <w:szCs w:val="32"/>
        </w:rPr>
        <w:t>机构</w:t>
      </w:r>
      <w:r>
        <w:rPr>
          <w:rFonts w:hint="eastAsia" w:eastAsia="仿宋"/>
          <w:sz w:val="32"/>
          <w:szCs w:val="32"/>
          <w:lang w:val="en-US" w:eastAsia="zh-CN"/>
        </w:rPr>
        <w:t>0</w:t>
      </w:r>
      <w:r>
        <w:rPr>
          <w:rFonts w:eastAsia="仿宋"/>
          <w:sz w:val="32"/>
          <w:szCs w:val="32"/>
        </w:rPr>
        <w:t>个，参照公务员法管理的事业</w:t>
      </w:r>
      <w:r>
        <w:rPr>
          <w:rFonts w:hint="eastAsia" w:eastAsia="仿宋"/>
          <w:sz w:val="32"/>
          <w:szCs w:val="32"/>
        </w:rPr>
        <w:t>机构</w:t>
      </w:r>
      <w:r>
        <w:rPr>
          <w:rFonts w:hint="eastAsia" w:eastAsia="仿宋"/>
          <w:bCs/>
          <w:sz w:val="32"/>
          <w:szCs w:val="32"/>
          <w:lang w:val="en-US" w:eastAsia="zh-CN"/>
        </w:rPr>
        <w:t>0</w:t>
      </w:r>
      <w:r>
        <w:rPr>
          <w:rFonts w:eastAsia="仿宋"/>
          <w:sz w:val="32"/>
          <w:szCs w:val="32"/>
        </w:rPr>
        <w:t>个，其他事业</w:t>
      </w:r>
      <w:r>
        <w:rPr>
          <w:rFonts w:hint="eastAsia" w:eastAsia="仿宋"/>
          <w:sz w:val="32"/>
          <w:szCs w:val="32"/>
        </w:rPr>
        <w:t>机构</w:t>
      </w:r>
      <w:r>
        <w:rPr>
          <w:rFonts w:hint="eastAsia" w:eastAsia="仿宋"/>
          <w:sz w:val="32"/>
          <w:szCs w:val="32"/>
          <w:lang w:val="en-US" w:eastAsia="zh-CN"/>
        </w:rPr>
        <w:t>0</w:t>
      </w:r>
      <w:r>
        <w:rPr>
          <w:rFonts w:eastAsia="仿宋"/>
          <w:sz w:val="32"/>
          <w:szCs w:val="32"/>
        </w:rPr>
        <w:t>个。</w:t>
      </w:r>
    </w:p>
    <w:p>
      <w:pPr>
        <w:pStyle w:val="2"/>
        <w:adjustRightInd w:val="0"/>
        <w:snapToGrid w:val="0"/>
        <w:spacing w:before="93" w:line="600" w:lineRule="exact"/>
        <w:ind w:firstLine="640" w:firstLineChars="200"/>
        <w:rPr>
          <w:rFonts w:ascii="仿宋" w:hAnsi="仿宋" w:eastAsia="仿宋"/>
          <w:color w:val="000000"/>
          <w:sz w:val="32"/>
          <w:szCs w:val="32"/>
        </w:rPr>
      </w:pPr>
      <w:r>
        <w:rPr>
          <w:rFonts w:ascii="Times New Roman" w:eastAsia="仿宋"/>
          <w:color w:val="000000"/>
          <w:sz w:val="32"/>
          <w:szCs w:val="32"/>
        </w:rPr>
        <w:t>纳入202</w:t>
      </w:r>
      <w:r>
        <w:rPr>
          <w:rFonts w:hint="eastAsia" w:ascii="Times New Roman" w:eastAsia="仿宋"/>
          <w:color w:val="000000"/>
          <w:sz w:val="32"/>
          <w:szCs w:val="32"/>
        </w:rPr>
        <w:t>1</w:t>
      </w:r>
      <w:r>
        <w:rPr>
          <w:rFonts w:ascii="Times New Roman" w:eastAsia="仿宋"/>
          <w:color w:val="000000"/>
          <w:sz w:val="32"/>
          <w:szCs w:val="32"/>
        </w:rPr>
        <w:t>年度部门决算</w:t>
      </w:r>
      <w:r>
        <w:rPr>
          <w:rFonts w:hint="eastAsia" w:ascii="Times New Roman" w:eastAsia="仿宋"/>
          <w:color w:val="000000"/>
          <w:sz w:val="32"/>
          <w:szCs w:val="32"/>
        </w:rPr>
        <w:t>编制范围的独立编制机构</w:t>
      </w:r>
      <w:r>
        <w:rPr>
          <w:rFonts w:hint="eastAsia" w:ascii="Times New Roman" w:eastAsia="仿宋"/>
          <w:color w:val="000000"/>
          <w:sz w:val="32"/>
          <w:szCs w:val="32"/>
          <w:lang w:val="en-US" w:eastAsia="zh-CN"/>
        </w:rPr>
        <w:t>0个。</w:t>
      </w:r>
      <w:r>
        <w:rPr>
          <w:rFonts w:ascii="仿宋" w:hAnsi="仿宋" w:eastAsia="仿宋"/>
          <w:color w:val="000000"/>
          <w:sz w:val="32"/>
          <w:szCs w:val="32"/>
        </w:rPr>
        <w:br w:type="page"/>
      </w:r>
    </w:p>
    <w:p>
      <w:pPr>
        <w:pStyle w:val="3"/>
        <w:ind w:right="440"/>
        <w:jc w:val="right"/>
        <w:rPr>
          <w:rStyle w:val="25"/>
          <w:rFonts w:ascii="黑体" w:hAnsi="黑体" w:eastAsia="黑体"/>
          <w:b w:val="0"/>
          <w:bCs w:val="0"/>
        </w:rPr>
      </w:pPr>
      <w:bookmarkStart w:id="17" w:name="_Toc17103552"/>
      <w:bookmarkStart w:id="18"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202</w:t>
      </w:r>
      <w:r>
        <w:rPr>
          <w:rStyle w:val="25"/>
          <w:rFonts w:hint="eastAsia" w:ascii="黑体" w:hAnsi="黑体" w:eastAsia="黑体"/>
          <w:b w:val="0"/>
          <w:bCs w:val="0"/>
          <w:lang w:val="en-US" w:eastAsia="zh-CN"/>
        </w:rPr>
        <w:t>1</w:t>
      </w:r>
      <w:r>
        <w:rPr>
          <w:rStyle w:val="25"/>
          <w:rFonts w:hint="eastAsia" w:ascii="黑体" w:hAnsi="黑体" w:eastAsia="黑体"/>
          <w:b w:val="0"/>
          <w:bCs w:val="0"/>
        </w:rPr>
        <w:t>年度部门决算情况说明</w:t>
      </w:r>
      <w:bookmarkEnd w:id="17"/>
      <w:bookmarkEnd w:id="18"/>
    </w:p>
    <w:p/>
    <w:p>
      <w:pPr>
        <w:pStyle w:val="24"/>
        <w:numPr>
          <w:ilvl w:val="0"/>
          <w:numId w:val="2"/>
        </w:numPr>
        <w:spacing w:line="600" w:lineRule="exact"/>
        <w:ind w:firstLineChars="0"/>
        <w:outlineLvl w:val="1"/>
        <w:rPr>
          <w:rStyle w:val="26"/>
          <w:rFonts w:ascii="黑体" w:hAnsi="黑体" w:eastAsia="黑体"/>
          <w:b w:val="0"/>
        </w:rPr>
      </w:pPr>
      <w:bookmarkStart w:id="19" w:name="_Toc15377205"/>
      <w:bookmarkStart w:id="20" w:name="_Toc1710355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307.97</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284.69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48.0</w:t>
      </w:r>
      <w:r>
        <w:rPr>
          <w:rFonts w:hint="eastAsia" w:ascii="仿宋" w:hAnsi="仿宋" w:eastAsia="仿宋"/>
          <w:color w:val="000000"/>
          <w:sz w:val="32"/>
          <w:szCs w:val="32"/>
        </w:rPr>
        <w:t>%。主要变动原因是202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年因财政不匹配未支付项目款，</w:t>
      </w:r>
      <w:r>
        <w:rPr>
          <w:rFonts w:hint="eastAsia" w:ascii="仿宋" w:hAnsi="仿宋" w:eastAsia="仿宋"/>
          <w:color w:val="000000"/>
          <w:sz w:val="32"/>
          <w:szCs w:val="32"/>
          <w:lang w:eastAsia="zh-CN"/>
        </w:rPr>
        <w:t>财政收回大量存量资金</w:t>
      </w:r>
      <w:r>
        <w:rPr>
          <w:rFonts w:hint="eastAsia" w:ascii="仿宋" w:hAnsi="仿宋" w:eastAsia="仿宋"/>
          <w:color w:val="000000"/>
          <w:sz w:val="32"/>
          <w:szCs w:val="32"/>
        </w:rPr>
        <w:t>。</w:t>
      </w:r>
    </w:p>
    <w:p>
      <w:pPr>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562475" cy="2667000"/>
            <wp:effectExtent l="0" t="0" r="9525" b="0"/>
            <wp:docPr id="1" name="图片 1" descr="166235684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2356846037"/>
                    <pic:cNvPicPr>
                      <a:picLocks noChangeAspect="1"/>
                    </pic:cNvPicPr>
                  </pic:nvPicPr>
                  <pic:blipFill>
                    <a:blip r:embed="rId8"/>
                    <a:stretch>
                      <a:fillRect/>
                    </a:stretch>
                  </pic:blipFill>
                  <pic:spPr>
                    <a:xfrm>
                      <a:off x="0" y="0"/>
                      <a:ext cx="4562475" cy="2667000"/>
                    </a:xfrm>
                    <a:prstGeom prst="rect">
                      <a:avLst/>
                    </a:prstGeom>
                  </pic:spPr>
                </pic:pic>
              </a:graphicData>
            </a:graphic>
          </wp:inline>
        </w:drawing>
      </w:r>
    </w:p>
    <w:p>
      <w:pPr>
        <w:spacing w:line="600" w:lineRule="exact"/>
        <w:jc w:val="center"/>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1" w:name="_Toc17103554"/>
      <w:bookmarkStart w:id="22"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color w:val="000000"/>
          <w:sz w:val="32"/>
          <w:szCs w:val="32"/>
        </w:rPr>
      </w:pPr>
      <w:bookmarkStart w:id="23" w:name="_Toc17103555"/>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_GB2312" w:hAnsi="仿宋" w:eastAsia="仿宋_GB2312"/>
          <w:sz w:val="32"/>
          <w:szCs w:val="32"/>
          <w:lang w:val="en-US" w:eastAsia="zh-CN"/>
        </w:rPr>
        <w:t>258.46</w:t>
      </w:r>
      <w:r>
        <w:rPr>
          <w:rFonts w:hint="eastAsia" w:ascii="仿宋" w:hAnsi="仿宋" w:eastAsia="仿宋"/>
          <w:color w:val="000000"/>
          <w:sz w:val="32"/>
          <w:szCs w:val="32"/>
        </w:rPr>
        <w:t>万元，其中：一般公共预算财政拨款收入</w:t>
      </w:r>
      <w:r>
        <w:rPr>
          <w:rFonts w:hint="eastAsia" w:ascii="仿宋_GB2312" w:hAnsi="仿宋" w:eastAsia="仿宋_GB2312"/>
          <w:sz w:val="32"/>
          <w:szCs w:val="32"/>
          <w:lang w:val="en-US" w:eastAsia="zh-CN"/>
        </w:rPr>
        <w:t>258.46</w:t>
      </w:r>
      <w:r>
        <w:rPr>
          <w:rFonts w:hint="eastAsia" w:ascii="仿宋" w:hAnsi="仿宋" w:eastAsia="仿宋"/>
          <w:color w:val="000000"/>
          <w:sz w:val="32"/>
          <w:szCs w:val="32"/>
        </w:rPr>
        <w:t>万元，占100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23"/>
    </w:p>
    <w:p>
      <w:pPr>
        <w:spacing w:line="600" w:lineRule="exact"/>
        <w:ind w:firstLine="640" w:firstLineChars="200"/>
        <w:outlineLvl w:val="1"/>
        <w:rPr>
          <w:rFonts w:ascii="仿宋" w:hAnsi="仿宋" w:eastAsia="仿宋"/>
          <w:color w:val="000000"/>
          <w:sz w:val="32"/>
          <w:szCs w:val="32"/>
        </w:rPr>
      </w:pPr>
    </w:p>
    <w:p>
      <w:pPr>
        <w:ind w:firstLine="640" w:firstLineChars="20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inline distT="0" distB="0" distL="114300" distR="114300">
            <wp:extent cx="4584065" cy="2688590"/>
            <wp:effectExtent l="0" t="0" r="6985" b="1651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9"/>
                    <a:stretch>
                      <a:fillRect/>
                    </a:stretch>
                  </pic:blipFill>
                  <pic:spPr>
                    <a:xfrm>
                      <a:off x="0" y="0"/>
                      <a:ext cx="4584065" cy="2688590"/>
                    </a:xfrm>
                    <a:prstGeom prst="rect">
                      <a:avLst/>
                    </a:prstGeom>
                  </pic:spPr>
                </pic:pic>
              </a:graphicData>
            </a:graphic>
          </wp:inline>
        </w:drawing>
      </w: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24" w:name="_Toc15377207"/>
      <w:bookmarkStart w:id="25" w:name="_Toc17103556"/>
      <w:r>
        <w:rPr>
          <w:rFonts w:hint="eastAsia" w:ascii="黑体" w:hAnsi="黑体" w:eastAsia="黑体"/>
          <w:color w:val="000000"/>
          <w:sz w:val="32"/>
          <w:szCs w:val="32"/>
        </w:rPr>
        <w:t>支</w:t>
      </w:r>
      <w:r>
        <w:rPr>
          <w:rStyle w:val="26"/>
          <w:rFonts w:hint="eastAsia" w:ascii="黑体" w:hAnsi="黑体" w:eastAsia="黑体"/>
          <w:b w:val="0"/>
        </w:rPr>
        <w:t>出决算情况说明</w:t>
      </w:r>
      <w:bookmarkEnd w:id="24"/>
      <w:bookmarkEnd w:id="2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293.07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225.56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67.51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23.0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810125" cy="2647950"/>
            <wp:effectExtent l="0" t="0" r="9525" b="0"/>
            <wp:docPr id="2" name="图片 2" descr="166235702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2357023915"/>
                    <pic:cNvPicPr>
                      <a:picLocks noChangeAspect="1"/>
                    </pic:cNvPicPr>
                  </pic:nvPicPr>
                  <pic:blipFill>
                    <a:blip r:embed="rId10"/>
                    <a:stretch>
                      <a:fillRect/>
                    </a:stretch>
                  </pic:blipFill>
                  <pic:spPr>
                    <a:xfrm>
                      <a:off x="0" y="0"/>
                      <a:ext cx="4810125" cy="2647950"/>
                    </a:xfrm>
                    <a:prstGeom prst="rect">
                      <a:avLst/>
                    </a:prstGeom>
                  </pic:spPr>
                </pic:pic>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outlineLvl w:val="1"/>
        <w:rPr>
          <w:rFonts w:ascii="黑体" w:hAnsi="黑体" w:eastAsia="黑体"/>
          <w:color w:val="000000"/>
          <w:sz w:val="32"/>
          <w:szCs w:val="32"/>
        </w:rPr>
      </w:pPr>
      <w:bookmarkStart w:id="26" w:name="_Toc17103557"/>
      <w:bookmarkStart w:id="27" w:name="_Toc15377208"/>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年度财政拨款收、支总计</w:t>
      </w:r>
      <w:r>
        <w:rPr>
          <w:rFonts w:hint="eastAsia" w:ascii="仿宋" w:hAnsi="仿宋" w:eastAsia="仿宋"/>
          <w:color w:val="000000"/>
          <w:sz w:val="32"/>
          <w:szCs w:val="32"/>
          <w:lang w:val="en-US" w:eastAsia="zh-CN"/>
        </w:rPr>
        <w:t>307.97</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284.69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48.0</w:t>
      </w:r>
      <w:r>
        <w:rPr>
          <w:rFonts w:hint="eastAsia" w:ascii="仿宋" w:hAnsi="仿宋" w:eastAsia="仿宋"/>
          <w:color w:val="000000"/>
          <w:sz w:val="32"/>
          <w:szCs w:val="32"/>
        </w:rPr>
        <w:t>%。主要变动原因是202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年因财政不匹配未支付项目款，</w:t>
      </w:r>
      <w:r>
        <w:rPr>
          <w:rFonts w:hint="eastAsia" w:ascii="仿宋" w:hAnsi="仿宋" w:eastAsia="仿宋"/>
          <w:color w:val="000000"/>
          <w:sz w:val="32"/>
          <w:szCs w:val="32"/>
          <w:lang w:eastAsia="zh-CN"/>
        </w:rPr>
        <w:t>财政收回大量存量资金</w:t>
      </w:r>
      <w:r>
        <w:rPr>
          <w:rFonts w:hint="eastAsia" w:ascii="仿宋" w:hAnsi="仿宋" w:eastAsia="仿宋"/>
          <w:color w:val="000000"/>
          <w:sz w:val="32"/>
          <w:szCs w:val="32"/>
        </w:rPr>
        <w:t>。</w:t>
      </w:r>
    </w:p>
    <w:p>
      <w:pPr>
        <w:pStyle w:val="16"/>
        <w:ind w:firstLine="420"/>
        <w:rPr>
          <w:rFonts w:hint="eastAsia" w:eastAsia="宋体"/>
          <w:lang w:eastAsia="zh-CN"/>
        </w:rPr>
      </w:pPr>
      <w:r>
        <w:rPr>
          <w:rFonts w:hint="eastAsia" w:eastAsia="宋体"/>
          <w:lang w:eastAsia="zh-CN"/>
        </w:rPr>
        <w:drawing>
          <wp:inline distT="0" distB="0" distL="114300" distR="114300">
            <wp:extent cx="4552950" cy="2647950"/>
            <wp:effectExtent l="0" t="0" r="0" b="0"/>
            <wp:docPr id="3" name="图片 3" descr="166235707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2357075140"/>
                    <pic:cNvPicPr>
                      <a:picLocks noChangeAspect="1"/>
                    </pic:cNvPicPr>
                  </pic:nvPicPr>
                  <pic:blipFill>
                    <a:blip r:embed="rId11"/>
                    <a:stretch>
                      <a:fillRect/>
                    </a:stretch>
                  </pic:blipFill>
                  <pic:spPr>
                    <a:xfrm>
                      <a:off x="0" y="0"/>
                      <a:ext cx="4552950" cy="2647950"/>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黑体" w:hAnsi="黑体" w:eastAsia="黑体"/>
          <w:color w:val="000000"/>
          <w:sz w:val="32"/>
          <w:szCs w:val="32"/>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bookmarkStart w:id="28" w:name="_Toc15377209"/>
      <w:bookmarkStart w:id="29" w:name="_Toc17103558"/>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ascii="仿宋" w:hAnsi="仿宋" w:eastAsia="仿宋"/>
          <w:bCs/>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293.07</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年相比，一般公共预算财政拨款支出</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226.69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77.4</w:t>
      </w:r>
      <w:r>
        <w:rPr>
          <w:rFonts w:ascii="仿宋" w:hAnsi="仿宋" w:eastAsia="仿宋"/>
          <w:color w:val="000000"/>
          <w:sz w:val="32"/>
          <w:szCs w:val="32"/>
        </w:rPr>
        <w:t>%</w:t>
      </w:r>
      <w:r>
        <w:rPr>
          <w:rFonts w:hint="eastAsia" w:ascii="仿宋" w:hAnsi="仿宋" w:eastAsia="仿宋"/>
          <w:color w:val="000000"/>
          <w:sz w:val="32"/>
          <w:szCs w:val="32"/>
        </w:rPr>
        <w:t>。变动原因是</w:t>
      </w:r>
      <w:r>
        <w:rPr>
          <w:rFonts w:hint="eastAsia" w:ascii="仿宋" w:hAnsi="仿宋" w:eastAsia="仿宋"/>
          <w:bCs/>
          <w:color w:val="000000"/>
          <w:sz w:val="32"/>
          <w:szCs w:val="32"/>
          <w:lang w:eastAsia="zh-CN"/>
        </w:rPr>
        <w:t>项目支出减少</w:t>
      </w:r>
      <w:r>
        <w:rPr>
          <w:rFonts w:hint="eastAsia" w:ascii="仿宋" w:hAnsi="仿宋" w:eastAsia="仿宋"/>
          <w:bCs/>
          <w:color w:val="000000"/>
          <w:sz w:val="32"/>
          <w:szCs w:val="32"/>
        </w:rPr>
        <w:t>。</w:t>
      </w:r>
    </w:p>
    <w:p>
      <w:pPr>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drawing>
          <wp:inline distT="0" distB="0" distL="114300" distR="114300">
            <wp:extent cx="4495800" cy="2628900"/>
            <wp:effectExtent l="0" t="0" r="0" b="0"/>
            <wp:docPr id="5" name="图片 5" descr="166235718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2357184981"/>
                    <pic:cNvPicPr>
                      <a:picLocks noChangeAspect="1"/>
                    </pic:cNvPicPr>
                  </pic:nvPicPr>
                  <pic:blipFill>
                    <a:blip r:embed="rId12"/>
                    <a:stretch>
                      <a:fillRect/>
                    </a:stretch>
                  </pic:blipFill>
                  <pic:spPr>
                    <a:xfrm>
                      <a:off x="0" y="0"/>
                      <a:ext cx="4495800" cy="2628900"/>
                    </a:xfrm>
                    <a:prstGeom prst="rect">
                      <a:avLst/>
                    </a:prstGeom>
                  </pic:spPr>
                </pic:pic>
              </a:graphicData>
            </a:graphic>
          </wp:inline>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293.07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群众文化支出229.1万元，占</w:t>
      </w:r>
      <w:r>
        <w:rPr>
          <w:rFonts w:hint="eastAsia" w:ascii="仿宋" w:hAnsi="仿宋" w:eastAsia="仿宋"/>
          <w:color w:val="000000" w:themeColor="text1"/>
          <w:sz w:val="32"/>
          <w:szCs w:val="32"/>
          <w:lang w:val="en-US" w:eastAsia="zh-CN"/>
          <w14:textFill>
            <w14:solidFill>
              <w14:schemeClr w14:val="tx1"/>
            </w14:solidFill>
          </w14:textFill>
        </w:rPr>
        <w:t>78.2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rPr>
        <w:t>社会保障和就业</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37.18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11.76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15.03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ind w:firstLine="640"/>
        <w:rPr>
          <w:rFonts w:hint="eastAsia" w:ascii="仿宋" w:hAnsi="仿宋" w:eastAsia="仿宋"/>
          <w:b/>
          <w:bCs/>
          <w:color w:val="000000" w:themeColor="text1"/>
          <w:sz w:val="32"/>
          <w:szCs w:val="32"/>
          <w:lang w:eastAsia="zh-CN"/>
          <w14:textFill>
            <w14:solidFill>
              <w14:schemeClr w14:val="tx1"/>
            </w14:solidFill>
          </w14:textFill>
        </w:rPr>
      </w:pPr>
      <w:r>
        <w:rPr>
          <w:rFonts w:hint="eastAsia" w:ascii="仿宋" w:hAnsi="仿宋" w:eastAsia="仿宋"/>
          <w:b/>
          <w:bCs/>
          <w:color w:val="000000" w:themeColor="text1"/>
          <w:sz w:val="32"/>
          <w:szCs w:val="32"/>
          <w:lang w:eastAsia="zh-CN"/>
          <w14:textFill>
            <w14:solidFill>
              <w14:schemeClr w14:val="tx1"/>
            </w14:solidFill>
          </w14:textFill>
        </w:rPr>
        <w:drawing>
          <wp:inline distT="0" distB="0" distL="114300" distR="114300">
            <wp:extent cx="4552950" cy="2714625"/>
            <wp:effectExtent l="0" t="0" r="0" b="9525"/>
            <wp:docPr id="7" name="图片 7" descr="166235736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2357368204"/>
                    <pic:cNvPicPr>
                      <a:picLocks noChangeAspect="1"/>
                    </pic:cNvPicPr>
                  </pic:nvPicPr>
                  <pic:blipFill>
                    <a:blip r:embed="rId13"/>
                    <a:stretch>
                      <a:fillRect/>
                    </a:stretch>
                  </pic:blipFill>
                  <pic:spPr>
                    <a:xfrm>
                      <a:off x="0" y="0"/>
                      <a:ext cx="4552950" cy="2714625"/>
                    </a:xfrm>
                    <a:prstGeom prst="rect">
                      <a:avLst/>
                    </a:prstGeom>
                  </pic:spPr>
                </pic:pic>
              </a:graphicData>
            </a:graphic>
          </wp:inline>
        </w:drawing>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0" w:firstLineChars="200"/>
        <w:rPr>
          <w:rStyle w:val="14"/>
          <w:rFonts w:ascii="仿宋" w:hAnsi="仿宋" w:eastAsia="仿宋"/>
          <w:b w:val="0"/>
          <w:bCs/>
          <w:sz w:val="32"/>
          <w:szCs w:val="32"/>
        </w:rPr>
      </w:pPr>
      <w:bookmarkStart w:id="33" w:name="_Toc15377213"/>
      <w:bookmarkStart w:id="34" w:name="_Toc15377444"/>
      <w:bookmarkStart w:id="35" w:name="_Toc15378460"/>
      <w:r>
        <w:rPr>
          <w:rStyle w:val="14"/>
          <w:rFonts w:hint="eastAsia" w:ascii="仿宋" w:hAnsi="仿宋" w:eastAsia="仿宋"/>
          <w:b w:val="0"/>
          <w:bCs/>
          <w:sz w:val="32"/>
          <w:szCs w:val="32"/>
        </w:rPr>
        <w:t>202</w:t>
      </w:r>
      <w:r>
        <w:rPr>
          <w:rStyle w:val="14"/>
          <w:rFonts w:hint="eastAsia" w:ascii="仿宋" w:hAnsi="仿宋" w:eastAsia="仿宋"/>
          <w:b w:val="0"/>
          <w:bCs/>
          <w:sz w:val="32"/>
          <w:szCs w:val="32"/>
          <w:lang w:val="en-US" w:eastAsia="zh-CN"/>
        </w:rPr>
        <w:t>1</w:t>
      </w:r>
      <w:r>
        <w:rPr>
          <w:rStyle w:val="14"/>
          <w:rFonts w:hint="eastAsia" w:ascii="仿宋" w:hAnsi="仿宋" w:eastAsia="仿宋"/>
          <w:b w:val="0"/>
          <w:bCs/>
          <w:sz w:val="32"/>
          <w:szCs w:val="32"/>
        </w:rPr>
        <w:t>年一般公共预算支出决算数为</w:t>
      </w:r>
      <w:r>
        <w:rPr>
          <w:rStyle w:val="14"/>
          <w:rFonts w:hint="eastAsia" w:ascii="仿宋" w:hAnsi="仿宋" w:eastAsia="仿宋"/>
          <w:b w:val="0"/>
          <w:bCs/>
          <w:sz w:val="32"/>
          <w:szCs w:val="32"/>
          <w:lang w:val="en-US" w:eastAsia="zh-CN"/>
        </w:rPr>
        <w:t>293.07</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100.0</w:t>
      </w:r>
      <w:r>
        <w:rPr>
          <w:rStyle w:val="14"/>
          <w:rFonts w:hint="eastAsia" w:ascii="仿宋" w:hAnsi="仿宋" w:eastAsia="仿宋"/>
          <w:b w:val="0"/>
          <w:bCs/>
          <w:sz w:val="32"/>
          <w:szCs w:val="32"/>
        </w:rPr>
        <w:t>%。其中：</w:t>
      </w:r>
      <w:bookmarkEnd w:id="33"/>
      <w:bookmarkEnd w:id="34"/>
      <w:bookmarkEnd w:id="35"/>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1.文化旅游体育与传媒支出（类）文化和旅游（款） 群众文化（项）: 支出决算为</w:t>
      </w:r>
      <w:r>
        <w:rPr>
          <w:rStyle w:val="14"/>
          <w:rFonts w:hint="eastAsia" w:ascii="仿宋" w:hAnsi="仿宋" w:eastAsia="仿宋"/>
          <w:b w:val="0"/>
          <w:bCs/>
          <w:color w:val="000000"/>
          <w:sz w:val="32"/>
          <w:szCs w:val="32"/>
          <w:lang w:val="en-US" w:eastAsia="zh-CN"/>
        </w:rPr>
        <w:t>229.1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2.社会保障和就业（类）行政事业单位养老支出（</w:t>
      </w:r>
      <w:r>
        <w:rPr>
          <w:rStyle w:val="14"/>
          <w:rFonts w:hint="eastAsia" w:ascii="仿宋" w:hAnsi="仿宋" w:eastAsia="仿宋"/>
          <w:b w:val="0"/>
          <w:bCs/>
          <w:color w:val="000000"/>
          <w:sz w:val="32"/>
          <w:szCs w:val="32"/>
          <w:lang w:eastAsia="zh-CN"/>
        </w:rPr>
        <w:t>款</w:t>
      </w:r>
      <w:r>
        <w:rPr>
          <w:rStyle w:val="14"/>
          <w:rFonts w:hint="eastAsia" w:ascii="仿宋" w:hAnsi="仿宋" w:eastAsia="仿宋"/>
          <w:b w:val="0"/>
          <w:bCs/>
          <w:color w:val="000000"/>
          <w:sz w:val="32"/>
          <w:szCs w:val="32"/>
        </w:rPr>
        <w:t>） 事业单位离退休（项）: 支出决算为</w:t>
      </w:r>
      <w:r>
        <w:rPr>
          <w:rStyle w:val="14"/>
          <w:rFonts w:hint="eastAsia" w:ascii="仿宋" w:hAnsi="仿宋" w:eastAsia="仿宋"/>
          <w:b w:val="0"/>
          <w:bCs/>
          <w:color w:val="000000"/>
          <w:sz w:val="32"/>
          <w:szCs w:val="32"/>
          <w:lang w:val="en-US" w:eastAsia="zh-CN"/>
        </w:rPr>
        <w:t>6.57</w:t>
      </w:r>
      <w:r>
        <w:rPr>
          <w:rStyle w:val="14"/>
          <w:rFonts w:hint="eastAsia" w:ascii="仿宋" w:hAnsi="仿宋" w:eastAsia="仿宋"/>
          <w:b w:val="0"/>
          <w:bCs/>
          <w:color w:val="000000"/>
          <w:sz w:val="32"/>
          <w:szCs w:val="32"/>
        </w:rPr>
        <w:t>万元，完成预算100.0%，决算数等于预算数。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3.社会保障和就业（类）行政事业单位养老支出（款） 机关事业单位基本养老保险缴费支出（项）: 支出决算为</w:t>
      </w:r>
      <w:r>
        <w:rPr>
          <w:rStyle w:val="14"/>
          <w:rFonts w:hint="eastAsia" w:ascii="仿宋" w:hAnsi="仿宋" w:eastAsia="仿宋"/>
          <w:b w:val="0"/>
          <w:bCs/>
          <w:color w:val="000000"/>
          <w:sz w:val="32"/>
          <w:szCs w:val="32"/>
          <w:lang w:val="en-US" w:eastAsia="zh-CN"/>
        </w:rPr>
        <w:t>19.88</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pStyle w:val="2"/>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4</w:t>
      </w:r>
      <w:r>
        <w:rPr>
          <w:rStyle w:val="14"/>
          <w:rFonts w:hint="eastAsia" w:ascii="仿宋" w:hAnsi="仿宋" w:eastAsia="仿宋"/>
          <w:b w:val="0"/>
          <w:bCs/>
          <w:color w:val="000000"/>
          <w:sz w:val="32"/>
          <w:szCs w:val="32"/>
        </w:rPr>
        <w:t>.社会保障和就业（类）行政事业单位养老支出（款） 机关事业单位职业年金缴费支出（项）: 支出决算为</w:t>
      </w:r>
      <w:r>
        <w:rPr>
          <w:rStyle w:val="14"/>
          <w:rFonts w:hint="eastAsia" w:ascii="仿宋" w:hAnsi="仿宋" w:eastAsia="仿宋"/>
          <w:b w:val="0"/>
          <w:bCs/>
          <w:color w:val="000000"/>
          <w:sz w:val="32"/>
          <w:szCs w:val="32"/>
          <w:lang w:val="en-US" w:eastAsia="zh-CN"/>
        </w:rPr>
        <w:t>3.77</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pStyle w:val="2"/>
        <w:ind w:firstLine="640" w:firstLineChars="200"/>
        <w:rPr>
          <w:rFonts w:hint="default" w:eastAsia="仿宋"/>
          <w:lang w:val="en-US" w:eastAsia="zh-CN"/>
        </w:rPr>
      </w:pP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社会保障和就业（类）其他社会保障和就业支出（款） 其他社会保障和就业支出（项）: 支出决算为</w:t>
      </w:r>
      <w:r>
        <w:rPr>
          <w:rStyle w:val="14"/>
          <w:rFonts w:hint="eastAsia" w:ascii="仿宋" w:hAnsi="仿宋" w:eastAsia="仿宋"/>
          <w:b w:val="0"/>
          <w:bCs/>
          <w:color w:val="000000"/>
          <w:sz w:val="32"/>
          <w:szCs w:val="32"/>
          <w:lang w:val="en-US" w:eastAsia="zh-CN"/>
        </w:rPr>
        <w:t>0.93</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.社会保障和就业（类）抚恤（款）死亡抚恤（项）：支出决算为6.03万元，完成预算100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7</w:t>
      </w:r>
      <w:r>
        <w:rPr>
          <w:rStyle w:val="14"/>
          <w:rFonts w:hint="eastAsia" w:ascii="仿宋" w:hAnsi="仿宋" w:eastAsia="仿宋"/>
          <w:b w:val="0"/>
          <w:bCs/>
          <w:color w:val="000000"/>
          <w:sz w:val="32"/>
          <w:szCs w:val="32"/>
        </w:rPr>
        <w:t>.医疗卫生与计划生育（类）行政事业单位医疗（款）事业单位医疗（项）:支出决算为</w:t>
      </w:r>
      <w:r>
        <w:rPr>
          <w:rStyle w:val="14"/>
          <w:rFonts w:hint="eastAsia" w:ascii="仿宋" w:hAnsi="仿宋" w:eastAsia="仿宋"/>
          <w:b w:val="0"/>
          <w:bCs/>
          <w:color w:val="000000"/>
          <w:sz w:val="32"/>
          <w:szCs w:val="32"/>
          <w:lang w:val="en-US" w:eastAsia="zh-CN"/>
        </w:rPr>
        <w:t>0.16</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8</w:t>
      </w:r>
      <w:r>
        <w:rPr>
          <w:rStyle w:val="14"/>
          <w:rFonts w:hint="eastAsia" w:ascii="仿宋" w:hAnsi="仿宋" w:eastAsia="仿宋"/>
          <w:b w:val="0"/>
          <w:bCs/>
          <w:color w:val="000000"/>
          <w:sz w:val="32"/>
          <w:szCs w:val="32"/>
        </w:rPr>
        <w:t>.医疗卫生与计划生育（类）行政事业单位医疗（款）公务员医疗补助（项）:支出决算为</w:t>
      </w:r>
      <w:r>
        <w:rPr>
          <w:rStyle w:val="14"/>
          <w:rFonts w:hint="eastAsia" w:ascii="仿宋" w:hAnsi="仿宋" w:eastAsia="仿宋"/>
          <w:b w:val="0"/>
          <w:bCs/>
          <w:color w:val="000000"/>
          <w:sz w:val="32"/>
          <w:szCs w:val="32"/>
          <w:lang w:val="en-US" w:eastAsia="zh-CN"/>
        </w:rPr>
        <w:t>2.04</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hint="eastAsia" w:eastAsia="仿宋_GB2312"/>
          <w:lang w:eastAsia="zh-CN"/>
        </w:rPr>
      </w:pPr>
      <w:r>
        <w:rPr>
          <w:rStyle w:val="14"/>
          <w:rFonts w:hint="eastAsia" w:ascii="仿宋" w:hAnsi="仿宋" w:eastAsia="仿宋"/>
          <w:b w:val="0"/>
          <w:bCs/>
          <w:color w:val="000000"/>
          <w:sz w:val="32"/>
          <w:szCs w:val="32"/>
          <w:lang w:val="en-US" w:eastAsia="zh-CN"/>
        </w:rPr>
        <w:t>9</w:t>
      </w:r>
      <w:r>
        <w:rPr>
          <w:rStyle w:val="14"/>
          <w:rFonts w:hint="eastAsia" w:ascii="仿宋" w:hAnsi="仿宋" w:eastAsia="仿宋"/>
          <w:b w:val="0"/>
          <w:bCs/>
          <w:color w:val="000000"/>
          <w:sz w:val="32"/>
          <w:szCs w:val="32"/>
        </w:rPr>
        <w:t>.医疗卫生与计划生育（类）行政事业单位医疗（款）其他行政事业单位医疗支出（项）:支出决算为</w:t>
      </w:r>
      <w:r>
        <w:rPr>
          <w:rStyle w:val="14"/>
          <w:rFonts w:hint="eastAsia" w:ascii="仿宋" w:hAnsi="仿宋" w:eastAsia="仿宋"/>
          <w:b w:val="0"/>
          <w:bCs/>
          <w:color w:val="000000"/>
          <w:sz w:val="32"/>
          <w:szCs w:val="32"/>
          <w:lang w:val="en-US" w:eastAsia="zh-CN"/>
        </w:rPr>
        <w:t>9.56</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.住房保障支出（类）住房改革支出（款）住房公积金（项）:支出决算为</w:t>
      </w:r>
      <w:r>
        <w:rPr>
          <w:rStyle w:val="14"/>
          <w:rFonts w:hint="eastAsia" w:ascii="仿宋" w:hAnsi="仿宋" w:eastAsia="仿宋"/>
          <w:b w:val="0"/>
          <w:bCs/>
          <w:color w:val="000000"/>
          <w:sz w:val="32"/>
          <w:szCs w:val="32"/>
          <w:lang w:val="en-US" w:eastAsia="zh-CN"/>
        </w:rPr>
        <w:t>15.03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6"/>
        </w:rPr>
      </w:pPr>
      <w:bookmarkStart w:id="36" w:name="_Toc17103559"/>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225.56</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204.15</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72.37</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2.76</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13.23</w:t>
      </w:r>
      <w:r>
        <w:rPr>
          <w:rFonts w:hint="eastAsia" w:ascii="仿宋" w:hAnsi="仿宋" w:eastAsia="仿宋"/>
          <w:color w:val="000000"/>
          <w:sz w:val="32"/>
          <w:szCs w:val="32"/>
        </w:rPr>
        <w:t>万元、伙食补助费0万元、绩效工资</w:t>
      </w:r>
      <w:r>
        <w:rPr>
          <w:rFonts w:hint="eastAsia" w:ascii="仿宋" w:hAnsi="仿宋" w:eastAsia="仿宋"/>
          <w:color w:val="000000"/>
          <w:sz w:val="32"/>
          <w:szCs w:val="32"/>
          <w:lang w:val="en-US" w:eastAsia="zh-CN"/>
        </w:rPr>
        <w:t>51.81</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19.88</w:t>
      </w:r>
      <w:r>
        <w:rPr>
          <w:rFonts w:hint="eastAsia" w:ascii="仿宋" w:hAnsi="仿宋" w:eastAsia="仿宋"/>
          <w:color w:val="000000"/>
          <w:sz w:val="32"/>
          <w:szCs w:val="32"/>
        </w:rPr>
        <w:t>万元、职业年金缴费</w:t>
      </w:r>
      <w:r>
        <w:rPr>
          <w:rStyle w:val="14"/>
          <w:rFonts w:hint="eastAsia" w:ascii="仿宋" w:hAnsi="仿宋" w:eastAsia="仿宋"/>
          <w:b w:val="0"/>
          <w:bCs/>
          <w:color w:val="000000"/>
          <w:sz w:val="32"/>
          <w:szCs w:val="32"/>
          <w:lang w:val="en-US" w:eastAsia="zh-CN"/>
        </w:rPr>
        <w:t>3.77</w:t>
      </w:r>
      <w:r>
        <w:rPr>
          <w:rFonts w:hint="eastAsia" w:ascii="仿宋" w:hAnsi="仿宋" w:eastAsia="仿宋"/>
          <w:color w:val="000000"/>
          <w:sz w:val="32"/>
          <w:szCs w:val="32"/>
        </w:rPr>
        <w:t>万元、职工基本医疗保险缴费</w:t>
      </w:r>
      <w:r>
        <w:rPr>
          <w:rStyle w:val="14"/>
          <w:rFonts w:hint="eastAsia" w:ascii="仿宋" w:hAnsi="仿宋" w:eastAsia="仿宋"/>
          <w:b w:val="0"/>
          <w:bCs/>
          <w:color w:val="000000"/>
          <w:sz w:val="32"/>
          <w:szCs w:val="32"/>
          <w:lang w:val="en-US" w:eastAsia="zh-CN"/>
        </w:rPr>
        <w:t>9.72</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15.03</w:t>
      </w:r>
      <w:r>
        <w:rPr>
          <w:rFonts w:hint="eastAsia" w:ascii="仿宋" w:hAnsi="仿宋" w:eastAsia="仿宋"/>
          <w:color w:val="000000"/>
          <w:sz w:val="32"/>
          <w:szCs w:val="32"/>
        </w:rPr>
        <w:t>万元、医疗费0万元、公务员医疗补助缴费</w:t>
      </w:r>
      <w:r>
        <w:rPr>
          <w:rStyle w:val="14"/>
          <w:rFonts w:hint="eastAsia" w:ascii="仿宋" w:hAnsi="仿宋" w:eastAsia="仿宋"/>
          <w:b w:val="0"/>
          <w:bCs/>
          <w:color w:val="000000"/>
          <w:sz w:val="32"/>
          <w:szCs w:val="32"/>
        </w:rPr>
        <w:t>2.04</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0.93</w:t>
      </w:r>
      <w:r>
        <w:rPr>
          <w:rFonts w:hint="eastAsia" w:ascii="仿宋" w:hAnsi="仿宋" w:eastAsia="仿宋"/>
          <w:color w:val="000000"/>
          <w:sz w:val="32"/>
          <w:szCs w:val="32"/>
        </w:rPr>
        <w:t>万元、其他工资福利支出0万元、离休费0万元、退休费0万元、抚恤金6.03万元、生活补助6.57万元、奖励金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万元、提租补贴0万元、购房补0万元贴、其他对个人0万元和家庭的补助支出0万元等。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21.41</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5.04</w:t>
      </w:r>
      <w:r>
        <w:rPr>
          <w:rFonts w:hint="eastAsia" w:ascii="仿宋" w:hAnsi="仿宋" w:eastAsia="仿宋"/>
          <w:color w:val="000000"/>
          <w:sz w:val="32"/>
          <w:szCs w:val="32"/>
        </w:rPr>
        <w:t>万元、印刷费0.08万元、咨询费0万元、手续费0万元、水费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0.07</w:t>
      </w:r>
      <w:r>
        <w:rPr>
          <w:rFonts w:hint="eastAsia" w:ascii="仿宋" w:hAnsi="仿宋" w:eastAsia="仿宋"/>
          <w:color w:val="000000"/>
          <w:sz w:val="32"/>
          <w:szCs w:val="32"/>
        </w:rPr>
        <w:t>万元、邮电费0.08万元、取暖费0万元、物业管理费0万元、差旅费</w:t>
      </w:r>
      <w:r>
        <w:rPr>
          <w:rFonts w:hint="eastAsia" w:ascii="仿宋" w:hAnsi="仿宋" w:eastAsia="仿宋"/>
          <w:color w:val="000000"/>
          <w:sz w:val="32"/>
          <w:szCs w:val="32"/>
          <w:lang w:val="en-US" w:eastAsia="zh-CN"/>
        </w:rPr>
        <w:t>7.73</w:t>
      </w:r>
      <w:r>
        <w:rPr>
          <w:rFonts w:hint="eastAsia" w:ascii="仿宋" w:hAnsi="仿宋" w:eastAsia="仿宋"/>
          <w:color w:val="000000"/>
          <w:sz w:val="32"/>
          <w:szCs w:val="32"/>
        </w:rPr>
        <w:t>万元、因公出国（境）费用0万元、维修（护）费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万元、租赁费0万元、会议费0万元、培训费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、劳务费0万元、委托业务费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2.52万元</w:t>
      </w:r>
      <w:r>
        <w:rPr>
          <w:rFonts w:hint="eastAsia" w:ascii="仿宋" w:hAnsi="仿宋" w:eastAsia="仿宋"/>
          <w:color w:val="000000"/>
          <w:sz w:val="32"/>
          <w:szCs w:val="32"/>
        </w:rPr>
        <w:t>、福利费</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万元、公务用车运行维护费</w:t>
      </w:r>
      <w:r>
        <w:rPr>
          <w:rFonts w:hint="eastAsia" w:ascii="仿宋" w:hAnsi="仿宋" w:eastAsia="仿宋"/>
          <w:color w:val="000000"/>
          <w:sz w:val="32"/>
          <w:szCs w:val="32"/>
          <w:lang w:val="en-US" w:eastAsia="zh-CN"/>
        </w:rPr>
        <w:t>1.29万元</w:t>
      </w:r>
      <w:r>
        <w:rPr>
          <w:rFonts w:hint="eastAsia" w:ascii="仿宋" w:hAnsi="仿宋" w:eastAsia="仿宋"/>
          <w:color w:val="000000"/>
          <w:sz w:val="32"/>
          <w:szCs w:val="32"/>
        </w:rPr>
        <w:t>、其他交通费0万元、税金及附加费用0万元、其他商品和服务支出</w:t>
      </w:r>
      <w:r>
        <w:rPr>
          <w:rFonts w:hint="eastAsia" w:ascii="仿宋" w:hAnsi="仿宋" w:eastAsia="仿宋"/>
          <w:color w:val="000000"/>
          <w:sz w:val="32"/>
          <w:szCs w:val="32"/>
          <w:lang w:val="en-US" w:eastAsia="zh-CN"/>
        </w:rPr>
        <w:t>4.09万元</w:t>
      </w:r>
      <w:r>
        <w:rPr>
          <w:rFonts w:hint="eastAsia" w:ascii="仿宋" w:hAnsi="仿宋" w:eastAsia="仿宋"/>
          <w:color w:val="000000"/>
          <w:sz w:val="32"/>
          <w:szCs w:val="32"/>
        </w:rPr>
        <w:t>、办公设备购置0万元、专用设备购置0万元、信息网络及软件购置更新0万元、其他资本性支出0万元等。</w:t>
      </w:r>
    </w:p>
    <w:p>
      <w:pPr>
        <w:spacing w:line="600" w:lineRule="exact"/>
        <w:ind w:firstLine="640"/>
        <w:outlineLvl w:val="1"/>
        <w:rPr>
          <w:rStyle w:val="26"/>
          <w:rFonts w:ascii="黑体" w:hAnsi="黑体" w:eastAsia="黑体"/>
          <w:b w:val="0"/>
        </w:rPr>
      </w:pPr>
      <w:bookmarkStart w:id="38" w:name="_Toc17103560"/>
      <w:bookmarkStart w:id="39"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1.29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36.9</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_GB2312" w:hAnsi="仿宋" w:eastAsia="仿宋_GB2312"/>
          <w:sz w:val="32"/>
          <w:szCs w:val="32"/>
        </w:rPr>
        <w:t>响应号召厉行节约，减少公务接待费支出</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年“三公”经费财政拨款支出决算中，因公出国（境）费支出决算0万元，占0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万元，占100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762500" cy="2667000"/>
            <wp:effectExtent l="0" t="0" r="0" b="0"/>
            <wp:docPr id="8" name="图片 8" descr="166235829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62358297224"/>
                    <pic:cNvPicPr>
                      <a:picLocks noChangeAspect="1"/>
                    </pic:cNvPicPr>
                  </pic:nvPicPr>
                  <pic:blipFill>
                    <a:blip r:embed="rId14"/>
                    <a:stretch>
                      <a:fillRect/>
                    </a:stretch>
                  </pic:blipFill>
                  <pic:spPr>
                    <a:xfrm>
                      <a:off x="0" y="0"/>
                      <a:ext cx="4762500" cy="2667000"/>
                    </a:xfrm>
                    <a:prstGeom prst="rect">
                      <a:avLst/>
                    </a:prstGeom>
                  </pic:spPr>
                </pic:pic>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p>
    <w:p>
      <w:pPr>
        <w:spacing w:line="600" w:lineRule="exact"/>
        <w:ind w:firstLine="640" w:firstLineChars="200"/>
        <w:rPr>
          <w:rFonts w:hint="eastAsia"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万元，其他车型</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万元。截至2021年12月底，单位共有公务用车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辆、其他车型</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numPr>
          <w:ilvl w:val="0"/>
          <w:numId w:val="3"/>
        </w:numPr>
        <w:snapToGrid w:val="0"/>
        <w:spacing w:line="520" w:lineRule="exact"/>
        <w:ind w:firstLine="643" w:firstLineChars="200"/>
        <w:rPr>
          <w:rFonts w:hint="eastAsia" w:ascii="仿宋_GB2312" w:eastAsia="仿宋_GB2312"/>
          <w:color w:val="000000"/>
          <w:sz w:val="32"/>
          <w:szCs w:val="32"/>
          <w:lang w:eastAsia="zh-CN"/>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1.29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36.9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公务用车运行维护费支出决算比20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0.11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上升</w:t>
      </w:r>
      <w:r>
        <w:rPr>
          <w:rFonts w:hint="eastAsia" w:ascii="仿宋_GB2312" w:eastAsia="仿宋_GB2312"/>
          <w:color w:val="000000"/>
          <w:sz w:val="32"/>
          <w:szCs w:val="32"/>
          <w:lang w:val="en-US" w:eastAsia="zh-CN"/>
        </w:rPr>
        <w:t>9.3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sz w:val="32"/>
          <w:szCs w:val="32"/>
          <w:lang w:eastAsia="zh-CN"/>
        </w:rPr>
        <w:t>下乡费用增加</w:t>
      </w:r>
      <w:r>
        <w:rPr>
          <w:rFonts w:hint="eastAsia" w:ascii="仿宋_GB2312" w:eastAsia="仿宋_GB2312"/>
          <w:color w:val="000000"/>
          <w:sz w:val="32"/>
          <w:szCs w:val="32"/>
        </w:rPr>
        <w:t>。</w:t>
      </w:r>
    </w:p>
    <w:p>
      <w:pPr>
        <w:numPr>
          <w:ilvl w:val="0"/>
          <w:numId w:val="3"/>
        </w:numPr>
        <w:snapToGrid w:val="0"/>
        <w:spacing w:line="52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0.33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sz w:val="32"/>
          <w:szCs w:val="32"/>
        </w:rPr>
        <w:t>响应号召厉行节约，减少公务接待费支出</w:t>
      </w:r>
      <w:r>
        <w:rPr>
          <w:rFonts w:hint="eastAsia" w:ascii="仿宋_GB2312" w:eastAsia="仿宋_GB2312"/>
          <w:color w:val="000000"/>
          <w:sz w:val="32"/>
          <w:szCs w:val="32"/>
        </w:rPr>
        <w:t>。</w:t>
      </w:r>
    </w:p>
    <w:p>
      <w:pPr>
        <w:pStyle w:val="2"/>
        <w:numPr>
          <w:ilvl w:val="0"/>
          <w:numId w:val="0"/>
        </w:numPr>
        <w:rPr>
          <w:rFonts w:hint="eastAsia" w:eastAsia="仿宋_GB2312"/>
          <w:lang w:val="en-US" w:eastAsia="zh-CN"/>
        </w:rPr>
      </w:pPr>
      <w:r>
        <w:rPr>
          <w:rFonts w:hint="eastAsia"/>
          <w:lang w:val="en-US" w:eastAsia="zh-CN"/>
        </w:rPr>
        <w:t xml:space="preserve">    </w:t>
      </w:r>
      <w:r>
        <w:rPr>
          <w:rFonts w:eastAsia="仿宋"/>
          <w:b/>
          <w:color w:val="000000"/>
          <w:sz w:val="32"/>
          <w:szCs w:val="32"/>
        </w:rPr>
        <w:t>国内公务接待支出</w:t>
      </w:r>
      <w:r>
        <w:rPr>
          <w:rFonts w:hint="eastAsia" w:eastAsia="仿宋"/>
          <w:color w:val="000000"/>
          <w:sz w:val="32"/>
          <w:szCs w:val="32"/>
          <w:lang w:val="en-US" w:eastAsia="zh-CN"/>
        </w:rPr>
        <w:t>0.1</w:t>
      </w:r>
      <w:r>
        <w:rPr>
          <w:rFonts w:eastAsia="仿宋_GB2312"/>
          <w:color w:val="000000"/>
          <w:sz w:val="32"/>
          <w:szCs w:val="32"/>
        </w:rPr>
        <w:t>万元</w:t>
      </w:r>
      <w:r>
        <w:rPr>
          <w:rFonts w:hint="eastAsia"/>
          <w:color w:val="000000"/>
          <w:sz w:val="32"/>
          <w:szCs w:val="32"/>
          <w:lang w:eastAsia="zh-CN"/>
        </w:rPr>
        <w:t>。</w:t>
      </w:r>
    </w:p>
    <w:p>
      <w:pPr>
        <w:spacing w:line="60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w:t>
      </w:r>
      <w:bookmarkStart w:id="42" w:name="_Toc15377218"/>
      <w:bookmarkStart w:id="43" w:name="_Toc17103561"/>
    </w:p>
    <w:p>
      <w:pPr>
        <w:pStyle w:val="2"/>
        <w:rPr>
          <w:rFonts w:hint="eastAsia"/>
        </w:rPr>
      </w:pP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年政府性基金预算拨款支出0万元。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6"/>
          <w:rFonts w:ascii="黑体" w:hAnsi="黑体" w:eastAsia="黑体"/>
          <w:b w:val="0"/>
        </w:rPr>
      </w:pPr>
      <w:bookmarkStart w:id="44" w:name="_Toc15377219"/>
      <w:bookmarkStart w:id="45" w:name="_Toc17103562"/>
      <w:r>
        <w:rPr>
          <w:rStyle w:val="26"/>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年国有资本经营预算拨款支出0万元。</w:t>
      </w:r>
    </w:p>
    <w:p>
      <w:pPr>
        <w:spacing w:line="600" w:lineRule="exact"/>
        <w:ind w:firstLine="640"/>
        <w:rPr>
          <w:rFonts w:ascii="仿宋_GB2312" w:eastAsia="仿宋_GB2312"/>
          <w:color w:val="000000"/>
          <w:sz w:val="32"/>
          <w:szCs w:val="32"/>
        </w:rPr>
      </w:pPr>
    </w:p>
    <w:p>
      <w:pPr>
        <w:spacing w:line="600" w:lineRule="exact"/>
        <w:ind w:firstLine="640" w:firstLineChars="200"/>
        <w:outlineLvl w:val="1"/>
        <w:rPr>
          <w:rStyle w:val="26"/>
          <w:rFonts w:ascii="黑体" w:hAnsi="黑体" w:eastAsia="黑体"/>
        </w:rPr>
      </w:pPr>
      <w:bookmarkStart w:id="46" w:name="_Toc15377221"/>
      <w:bookmarkStart w:id="47" w:name="_Toc17103564"/>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资阳市雁江区文化馆</w:t>
      </w:r>
      <w:r>
        <w:rPr>
          <w:rFonts w:hint="eastAsia" w:ascii="仿宋_GB2312" w:eastAsia="仿宋_GB2312"/>
          <w:color w:val="000000"/>
          <w:sz w:val="32"/>
          <w:szCs w:val="32"/>
        </w:rPr>
        <w:t>属于财政补助的事业单位，无机关运行经费。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rPr>
      </w:pPr>
      <w:bookmarkStart w:id="50" w:name="_Toc15377224"/>
      <w:r>
        <w:rPr>
          <w:rFonts w:hint="eastAsia" w:ascii="仿宋_GB2312" w:eastAsia="仿宋_GB2312"/>
          <w:color w:val="000000"/>
          <w:sz w:val="32"/>
          <w:szCs w:val="32"/>
        </w:rPr>
        <w:t>2021年，</w:t>
      </w:r>
      <w:r>
        <w:rPr>
          <w:rFonts w:hint="eastAsia" w:ascii="仿宋_GB2312" w:eastAsia="仿宋_GB2312"/>
          <w:color w:val="000000"/>
          <w:sz w:val="32"/>
          <w:szCs w:val="32"/>
          <w:lang w:eastAsia="zh-CN"/>
        </w:rPr>
        <w:t>资阳市雁江区文化馆</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0"/>
    </w:p>
    <w:p>
      <w:pPr>
        <w:pStyle w:val="2"/>
        <w:rPr>
          <w:rFonts w:hint="default" w:eastAsia="仿宋_GB2312"/>
          <w:lang w:val="en-US" w:eastAsia="zh-CN"/>
        </w:rPr>
      </w:pPr>
      <w:r>
        <w:rPr>
          <w:rFonts w:hint="eastAsia"/>
          <w:color w:val="000000"/>
          <w:sz w:val="32"/>
          <w:szCs w:val="32"/>
          <w:lang w:val="en-US" w:eastAsia="zh-CN"/>
        </w:rPr>
        <w:t xml:space="preserve">    截至2021年12月31日，</w:t>
      </w:r>
      <w:r>
        <w:rPr>
          <w:rFonts w:hint="eastAsia"/>
          <w:color w:val="000000"/>
          <w:sz w:val="32"/>
          <w:szCs w:val="32"/>
          <w:lang w:eastAsia="zh-CN"/>
        </w:rPr>
        <w:t>资阳市雁江区文化馆</w:t>
      </w:r>
      <w:r>
        <w:rPr>
          <w:rFonts w:hint="eastAsia"/>
          <w:color w:val="000000"/>
          <w:sz w:val="32"/>
          <w:szCs w:val="32"/>
          <w:lang w:val="en-US" w:eastAsia="zh-CN"/>
        </w:rPr>
        <w:t>共有车辆0辆，其中：主要领导干部用车0辆、机要通信用车0辆、应急保障用车0辆、执法执勤用车0辆、特种专业技术用车0辆、其他用车0辆。</w:t>
      </w:r>
    </w:p>
    <w:p>
      <w:pPr>
        <w:autoSpaceDE w:val="0"/>
        <w:autoSpaceDN w:val="0"/>
        <w:adjustRightInd w:val="0"/>
        <w:spacing w:line="600" w:lineRule="exact"/>
        <w:ind w:firstLine="643" w:firstLineChars="200"/>
        <w:jc w:val="left"/>
        <w:rPr>
          <w:rFonts w:eastAsia="仿宋_GB2312"/>
          <w:color w:val="000000"/>
          <w:sz w:val="32"/>
          <w:szCs w:val="32"/>
        </w:rPr>
      </w:pPr>
      <w:r>
        <w:rPr>
          <w:rFonts w:hint="eastAsia" w:ascii="仿宋_GB2312" w:eastAsia="仿宋_GB2312"/>
          <w:b/>
          <w:color w:val="000000"/>
          <w:sz w:val="32"/>
          <w:szCs w:val="32"/>
          <w:lang w:val="en-US" w:eastAsia="zh-CN"/>
        </w:rPr>
        <w:t xml:space="preserve"> </w:t>
      </w:r>
      <w:r>
        <w:rPr>
          <w:rFonts w:eastAsia="仿宋_GB2312"/>
          <w:color w:val="000000"/>
          <w:sz w:val="32"/>
          <w:szCs w:val="32"/>
        </w:rPr>
        <w:t>单价50万元以上通用设备</w:t>
      </w:r>
      <w:r>
        <w:rPr>
          <w:rFonts w:hint="eastAsia" w:eastAsia="仿宋_GB2312"/>
          <w:color w:val="000000"/>
          <w:sz w:val="32"/>
          <w:szCs w:val="32"/>
          <w:lang w:val="en-US" w:eastAsia="zh-CN"/>
        </w:rPr>
        <w:t>0</w:t>
      </w:r>
      <w:r>
        <w:rPr>
          <w:rFonts w:eastAsia="仿宋_GB2312"/>
          <w:color w:val="000000"/>
          <w:sz w:val="32"/>
          <w:szCs w:val="32"/>
        </w:rPr>
        <w:t>台（套），单价100万元以上专用设备</w:t>
      </w:r>
      <w:r>
        <w:rPr>
          <w:rFonts w:hint="eastAsia" w:eastAsia="仿宋_GB2312"/>
          <w:color w:val="000000"/>
          <w:sz w:val="32"/>
          <w:szCs w:val="32"/>
          <w:lang w:val="en-US" w:eastAsia="zh-CN"/>
        </w:rPr>
        <w:t>0</w:t>
      </w:r>
      <w:r>
        <w:rPr>
          <w:rFonts w:eastAsia="仿宋_GB2312"/>
          <w:color w:val="000000"/>
          <w:sz w:val="32"/>
          <w:szCs w:val="32"/>
        </w:rPr>
        <w:t>台（套）。</w:t>
      </w:r>
    </w:p>
    <w:p>
      <w:pPr>
        <w:autoSpaceDE w:val="0"/>
        <w:autoSpaceDN w:val="0"/>
        <w:adjustRightInd w:val="0"/>
        <w:spacing w:line="600" w:lineRule="exact"/>
        <w:ind w:firstLine="643" w:firstLineChars="200"/>
        <w:jc w:val="left"/>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eastAsia="仿宋_GB2312"/>
          <w:sz w:val="32"/>
          <w:szCs w:val="32"/>
        </w:rPr>
        <w:t>根据预算绩效管理要求，本</w:t>
      </w:r>
      <w:r>
        <w:rPr>
          <w:rFonts w:hint="eastAsia" w:eastAsia="仿宋_GB2312"/>
          <w:sz w:val="32"/>
          <w:szCs w:val="32"/>
        </w:rPr>
        <w:t>单位在2021年度预算编制阶段，</w:t>
      </w:r>
      <w:r>
        <w:rPr>
          <w:rFonts w:eastAsia="仿宋_GB2312"/>
          <w:sz w:val="32"/>
          <w:szCs w:val="32"/>
        </w:rPr>
        <w:t>组织对</w:t>
      </w:r>
      <w:r>
        <w:rPr>
          <w:rFonts w:hint="eastAsia" w:eastAsia="仿宋_GB2312"/>
          <w:sz w:val="32"/>
          <w:szCs w:val="32"/>
        </w:rPr>
        <w:t>免费开放</w:t>
      </w:r>
      <w:r>
        <w:rPr>
          <w:rFonts w:hint="eastAsia" w:eastAsia="仿宋_GB2312"/>
          <w:sz w:val="32"/>
          <w:szCs w:val="32"/>
          <w:lang w:eastAsia="zh-CN"/>
        </w:rPr>
        <w:t>和文艺创作</w:t>
      </w:r>
      <w:r>
        <w:rPr>
          <w:rFonts w:eastAsia="仿宋_GB2312"/>
          <w:sz w:val="32"/>
          <w:szCs w:val="32"/>
        </w:rPr>
        <w:t>（项目名称）</w:t>
      </w:r>
      <w:r>
        <w:rPr>
          <w:rFonts w:hint="eastAsia" w:eastAsia="仿宋_GB2312"/>
          <w:sz w:val="32"/>
          <w:szCs w:val="32"/>
        </w:rPr>
        <w:t>等</w:t>
      </w:r>
      <w:r>
        <w:rPr>
          <w:rFonts w:hint="eastAsia" w:eastAsia="仿宋_GB2312"/>
          <w:sz w:val="32"/>
          <w:szCs w:val="32"/>
          <w:lang w:val="en-US" w:eastAsia="zh-CN"/>
        </w:rPr>
        <w:t>4</w:t>
      </w:r>
      <w:r>
        <w:rPr>
          <w:rFonts w:hint="eastAsia" w:eastAsia="仿宋_GB2312"/>
          <w:sz w:val="32"/>
          <w:szCs w:val="32"/>
        </w:rPr>
        <w:t>个项目</w:t>
      </w:r>
      <w:r>
        <w:rPr>
          <w:rFonts w:eastAsia="仿宋_GB2312"/>
          <w:sz w:val="32"/>
          <w:szCs w:val="32"/>
        </w:rPr>
        <w:t>编制了绩效目标，预算执行过程中，选取</w:t>
      </w:r>
      <w:r>
        <w:rPr>
          <w:rFonts w:hint="eastAsia" w:eastAsia="仿宋_GB2312"/>
          <w:sz w:val="32"/>
          <w:szCs w:val="32"/>
          <w:lang w:val="en-US" w:eastAsia="zh-CN"/>
        </w:rPr>
        <w:t>4</w:t>
      </w:r>
      <w:r>
        <w:rPr>
          <w:rFonts w:eastAsia="仿宋_GB2312"/>
          <w:sz w:val="32"/>
          <w:szCs w:val="32"/>
        </w:rPr>
        <w:t>个项目开展绩效监控，年终执行完毕后，对</w:t>
      </w:r>
      <w:r>
        <w:rPr>
          <w:rFonts w:hint="eastAsia" w:eastAsia="仿宋_GB2312"/>
          <w:sz w:val="32"/>
          <w:szCs w:val="32"/>
          <w:lang w:val="en-US" w:eastAsia="zh-CN"/>
        </w:rPr>
        <w:t>4</w:t>
      </w:r>
      <w:r>
        <w:rPr>
          <w:rFonts w:eastAsia="仿宋_GB2312"/>
          <w:sz w:val="32"/>
          <w:szCs w:val="32"/>
        </w:rPr>
        <w:t>个项目开展了绩效目标完成情况自评。</w:t>
      </w:r>
      <w:r>
        <w:rPr>
          <w:rFonts w:hint="eastAsia" w:ascii="仿宋_GB2312" w:hAnsi="仿宋_GB2312" w:eastAsia="仿宋_GB2312" w:cs="仿宋_GB2312"/>
          <w:sz w:val="32"/>
          <w:szCs w:val="32"/>
        </w:rPr>
        <w:t>同时，本部门对2021年部门整体开展绩效自评，《2021年</w:t>
      </w:r>
      <w:r>
        <w:rPr>
          <w:rFonts w:hint="eastAsia" w:ascii="仿宋_GB2312" w:hAnsi="仿宋_GB2312" w:eastAsia="仿宋_GB2312" w:cs="仿宋_GB2312"/>
          <w:sz w:val="32"/>
          <w:szCs w:val="32"/>
          <w:lang w:eastAsia="zh-CN"/>
        </w:rPr>
        <w:t>资阳市雁江区文化馆</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
      <w:pPr>
        <w:pStyle w:val="2"/>
        <w:rPr>
          <w:rFonts w:ascii="仿宋_GB2312" w:eastAsia="仿宋_GB2312"/>
          <w:b/>
          <w:color w:val="000000"/>
          <w:sz w:val="32"/>
          <w:szCs w:val="32"/>
        </w:rPr>
      </w:pPr>
    </w:p>
    <w:p>
      <w:pPr>
        <w:numPr>
          <w:ilvl w:val="0"/>
          <w:numId w:val="5"/>
        </w:numPr>
        <w:spacing w:line="600" w:lineRule="exact"/>
        <w:ind w:firstLine="663" w:firstLineChars="150"/>
        <w:jc w:val="center"/>
        <w:outlineLvl w:val="0"/>
        <w:rPr>
          <w:rStyle w:val="25"/>
          <w:rFonts w:ascii="黑体" w:hAnsi="黑体" w:eastAsia="黑体"/>
          <w:b w:val="0"/>
        </w:rPr>
      </w:pPr>
      <w:bookmarkStart w:id="51" w:name="_Toc17103565"/>
      <w:bookmarkStart w:id="52"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文化体育与传媒为：保障行政单位（含其他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 机关事业单位基本养老保险缴费支出（项）：指单位实施养老保险制度由单位缴纳的基本养老保险费支出。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 机关事业单位职业年金缴费支出（项）：指单位实施养老保险制度由单位实际缴纳的职业年金支出。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医疗卫生与计划生育（类）行政事业单位医疗（款）事业单位医疗（项）：指财政部门集中安排的事业单位基本医疗保险缴费支出。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医疗卫生与计划生育（类）行政事业单位医疗（款）公务员医疗补助（项）：指财政部门集中安排的公务员医疗补助缴费支出。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住房保障支出（类）住房改革支出（款）住房公积金（项）：指单位按人力资源和社会保障部、财政部规定比例为职工缴纳的住房公积金。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3" w:name="_Toc15377226"/>
      <w:r>
        <w:rPr>
          <w:rFonts w:ascii="宋体"/>
          <w:b/>
          <w:color w:val="000000"/>
          <w:sz w:val="44"/>
          <w:szCs w:val="44"/>
        </w:rPr>
        <w:br w:type="page"/>
      </w:r>
      <w:bookmarkStart w:id="54" w:name="_Toc17103566"/>
      <w:r>
        <w:rPr>
          <w:rFonts w:hint="eastAsia" w:ascii="黑体" w:hAnsi="黑体" w:eastAsia="黑体"/>
          <w:color w:val="000000"/>
          <w:sz w:val="44"/>
          <w:szCs w:val="44"/>
        </w:rPr>
        <w:t>第</w:t>
      </w:r>
      <w:r>
        <w:rPr>
          <w:rStyle w:val="25"/>
          <w:rFonts w:hint="eastAsia" w:ascii="黑体" w:hAnsi="黑体" w:eastAsia="黑体"/>
          <w:b w:val="0"/>
        </w:rPr>
        <w:t>四部分 附件</w:t>
      </w:r>
      <w:bookmarkEnd w:id="54"/>
    </w:p>
    <w:p>
      <w:pPr>
        <w:spacing w:line="600" w:lineRule="exact"/>
        <w:jc w:val="center"/>
        <w:outlineLvl w:val="0"/>
        <w:rPr>
          <w:rStyle w:val="25"/>
        </w:rPr>
      </w:pPr>
    </w:p>
    <w:p>
      <w:pPr>
        <w:pStyle w:val="4"/>
        <w:rPr>
          <w:rStyle w:val="25"/>
          <w:rFonts w:ascii="仿宋" w:hAnsi="仿宋" w:eastAsia="仿宋"/>
          <w:b w:val="0"/>
          <w:bCs w:val="0"/>
          <w:sz w:val="32"/>
          <w:szCs w:val="32"/>
        </w:rPr>
      </w:pPr>
      <w:bookmarkStart w:id="55" w:name="_Toc17103567"/>
      <w:r>
        <w:rPr>
          <w:rStyle w:val="25"/>
          <w:rFonts w:hint="eastAsia" w:ascii="仿宋" w:hAnsi="仿宋" w:eastAsia="仿宋"/>
          <w:b w:val="0"/>
          <w:bCs w:val="0"/>
          <w:sz w:val="32"/>
          <w:szCs w:val="32"/>
        </w:rPr>
        <w:t>附件1</w:t>
      </w:r>
      <w:bookmarkEnd w:id="55"/>
    </w:p>
    <w:p>
      <w:pPr>
        <w:spacing w:line="600" w:lineRule="exact"/>
        <w:jc w:val="center"/>
        <w:outlineLvl w:val="0"/>
        <w:rPr>
          <w:rFonts w:ascii="黑体" w:hAnsi="黑体" w:eastAsia="黑体" w:cs="方正小标宋简体"/>
          <w:sz w:val="36"/>
          <w:szCs w:val="36"/>
        </w:rPr>
      </w:pPr>
      <w:bookmarkStart w:id="56" w:name="_Toc15396616"/>
      <w:bookmarkStart w:id="57" w:name="_Toc17103568"/>
      <w:r>
        <w:rPr>
          <w:rFonts w:hint="eastAsia" w:ascii="黑体" w:hAnsi="黑体" w:eastAsia="黑体" w:cs="方正小标宋简体"/>
          <w:sz w:val="36"/>
          <w:szCs w:val="36"/>
          <w:lang w:eastAsia="zh-CN"/>
        </w:rPr>
        <w:t>资阳市雁江区文化馆</w:t>
      </w:r>
      <w:r>
        <w:rPr>
          <w:rFonts w:hint="eastAsia" w:ascii="黑体" w:hAnsi="黑体" w:eastAsia="黑体" w:cs="方正小标宋简体"/>
          <w:sz w:val="36"/>
          <w:szCs w:val="36"/>
        </w:rPr>
        <w:t>202</w:t>
      </w:r>
      <w:r>
        <w:rPr>
          <w:rFonts w:hint="eastAsia" w:ascii="黑体" w:hAnsi="黑体" w:eastAsia="黑体" w:cs="方正小标宋简体"/>
          <w:sz w:val="36"/>
          <w:szCs w:val="36"/>
          <w:lang w:val="en-US" w:eastAsia="zh-CN"/>
        </w:rPr>
        <w:t>1</w:t>
      </w:r>
      <w:r>
        <w:rPr>
          <w:rFonts w:hint="eastAsia" w:ascii="黑体" w:hAnsi="黑体" w:eastAsia="黑体" w:cs="方正小标宋简体"/>
          <w:sz w:val="36"/>
          <w:szCs w:val="36"/>
        </w:rPr>
        <w:t>年部门整体支出绩效评价报告</w:t>
      </w:r>
      <w:bookmarkEnd w:id="56"/>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（一）机构组成</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本单位属于全额拨款的事业单位，1个机构。</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（二）机构职能</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资阳市雁江区文化馆业务工作主要是组织群众文化活动、繁荣群众文化事业、文化宣传、文艺活动组织、群众文艺理论研究、大众科普资料编辑、民族民间文化艺术遗产收集整理与保护。</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本单位编制人数19人，年末实有人数18人。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（一）部门财政资金收入情况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资阳市雁江区文化馆2021年财政拨款258.46</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元、年初结转结余49.51元，调整预算数307.97</w:t>
      </w:r>
      <w:r>
        <w:rPr>
          <w:rFonts w:hint="eastAsia" w:ascii="仿宋" w:hAnsi="仿宋" w:eastAsia="仿宋" w:cs="仿宋_GB2312"/>
          <w:sz w:val="32"/>
          <w:szCs w:val="32"/>
          <w:lang w:eastAsia="zh-CN"/>
        </w:rPr>
        <w:t>万</w:t>
      </w:r>
      <w:r>
        <w:rPr>
          <w:rFonts w:hint="eastAsia" w:ascii="仿宋" w:hAnsi="仿宋" w:eastAsia="仿宋" w:cs="仿宋_GB2312"/>
          <w:sz w:val="32"/>
          <w:szCs w:val="32"/>
        </w:rPr>
        <w:t>元，合计收入307.97</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元。其中文化旅游体育与传媒支出229.1</w:t>
      </w:r>
      <w:r>
        <w:rPr>
          <w:rFonts w:hint="eastAsia" w:ascii="仿宋" w:hAnsi="仿宋" w:eastAsia="仿宋" w:cs="仿宋_GB2312"/>
          <w:sz w:val="32"/>
          <w:szCs w:val="32"/>
          <w:lang w:eastAsia="zh-CN"/>
        </w:rPr>
        <w:t>万</w:t>
      </w:r>
      <w:r>
        <w:rPr>
          <w:rFonts w:hint="eastAsia" w:ascii="仿宋" w:hAnsi="仿宋" w:eastAsia="仿宋" w:cs="仿宋_GB2312"/>
          <w:sz w:val="32"/>
          <w:szCs w:val="32"/>
        </w:rPr>
        <w:t>元；社会保障和就业支出37.18</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元；卫生健康支出11.76</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元；住房保障支出15.03</w:t>
      </w:r>
      <w:r>
        <w:rPr>
          <w:rFonts w:hint="eastAsia" w:ascii="仿宋" w:hAnsi="仿宋" w:eastAsia="仿宋" w:cs="仿宋_GB2312"/>
          <w:sz w:val="32"/>
          <w:szCs w:val="32"/>
          <w:lang w:eastAsia="zh-CN"/>
        </w:rPr>
        <w:t>万</w:t>
      </w:r>
      <w:r>
        <w:rPr>
          <w:rFonts w:hint="eastAsia" w:ascii="仿宋" w:hAnsi="仿宋" w:eastAsia="仿宋" w:cs="仿宋_GB2312"/>
          <w:sz w:val="32"/>
          <w:szCs w:val="32"/>
        </w:rPr>
        <w:t>元。</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（二）部门财政资金支出情况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财政拨款支出：293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07</w:t>
      </w:r>
      <w:r>
        <w:rPr>
          <w:rFonts w:hint="eastAsia" w:ascii="仿宋" w:hAnsi="仿宋" w:eastAsia="仿宋" w:cs="仿宋_GB2312"/>
          <w:sz w:val="32"/>
          <w:szCs w:val="32"/>
          <w:lang w:eastAsia="zh-CN"/>
        </w:rPr>
        <w:t>万</w:t>
      </w:r>
      <w:r>
        <w:rPr>
          <w:rFonts w:hint="eastAsia" w:ascii="仿宋" w:hAnsi="仿宋" w:eastAsia="仿宋" w:cs="仿宋_GB2312"/>
          <w:sz w:val="32"/>
          <w:szCs w:val="32"/>
        </w:rPr>
        <w:t>元，其中基本支出：225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56</w:t>
      </w:r>
      <w:r>
        <w:rPr>
          <w:rFonts w:hint="eastAsia" w:ascii="仿宋" w:hAnsi="仿宋" w:eastAsia="仿宋" w:cs="仿宋_GB2312"/>
          <w:sz w:val="32"/>
          <w:szCs w:val="32"/>
          <w:lang w:eastAsia="zh-CN"/>
        </w:rPr>
        <w:t>万</w:t>
      </w:r>
      <w:r>
        <w:rPr>
          <w:rFonts w:hint="eastAsia" w:ascii="仿宋" w:hAnsi="仿宋" w:eastAsia="仿宋" w:cs="仿宋_GB2312"/>
          <w:sz w:val="32"/>
          <w:szCs w:val="32"/>
        </w:rPr>
        <w:t>元；项目支出：67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51</w:t>
      </w:r>
      <w:r>
        <w:rPr>
          <w:rFonts w:hint="eastAsia" w:ascii="仿宋" w:hAnsi="仿宋" w:eastAsia="仿宋" w:cs="仿宋_GB2312"/>
          <w:sz w:val="32"/>
          <w:szCs w:val="32"/>
          <w:lang w:eastAsia="zh-CN"/>
        </w:rPr>
        <w:t>万</w:t>
      </w:r>
      <w:r>
        <w:rPr>
          <w:rFonts w:hint="eastAsia" w:ascii="仿宋" w:hAnsi="仿宋" w:eastAsia="仿宋" w:cs="仿宋_GB2312"/>
          <w:sz w:val="32"/>
          <w:szCs w:val="32"/>
        </w:rPr>
        <w:t>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三、评价工作开展情况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（一）评价目的。</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本次评价目的为围绕</w:t>
      </w:r>
      <w:r>
        <w:rPr>
          <w:rFonts w:hint="eastAsia" w:ascii="仿宋" w:hAnsi="仿宋" w:eastAsia="仿宋" w:cs="仿宋_GB2312"/>
          <w:sz w:val="32"/>
          <w:szCs w:val="32"/>
          <w:lang w:eastAsia="zh-CN"/>
        </w:rPr>
        <w:t>资阳市雁江区文化馆</w:t>
      </w:r>
      <w:r>
        <w:rPr>
          <w:rFonts w:hint="eastAsia" w:ascii="仿宋" w:hAnsi="仿宋" w:eastAsia="仿宋" w:cs="仿宋_GB2312"/>
          <w:sz w:val="32"/>
          <w:szCs w:val="32"/>
        </w:rPr>
        <w:t>年度职责履行程度和部门效能目标推进程度的综合评价，分析该部门资源配置和资金运用效益。通过收集单位基本情况、预算编制与执行管理情况、单位效能目标及组织架构等信息，从年度工作计划安排合理性、重点工作完成情况、年度绩效目标实现程度、单位整体效益分析中总结经验，更加精确地查找问题，进而有针对性地进行改进，为今后完善单位管理提供可行的参考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（二）自评工作组织领导。</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统一领导，各司其</w:t>
      </w:r>
      <w:r>
        <w:rPr>
          <w:rFonts w:hint="eastAsia" w:ascii="仿宋" w:hAnsi="仿宋" w:eastAsia="仿宋" w:cs="仿宋_GB2312"/>
          <w:sz w:val="32"/>
          <w:szCs w:val="32"/>
          <w:lang w:eastAsia="zh-CN"/>
        </w:rPr>
        <w:t>职</w:t>
      </w:r>
      <w:r>
        <w:rPr>
          <w:rFonts w:hint="eastAsia" w:ascii="仿宋" w:hAnsi="仿宋" w:eastAsia="仿宋" w:cs="仿宋_GB2312"/>
          <w:sz w:val="32"/>
          <w:szCs w:val="32"/>
        </w:rPr>
        <w:t>。中心财务室是预算绩效管理的管理主体，负责制定全中心预算绩效管理工作方案，成立评价工作组，并对评价组成员开展培训，统一流程、评价标准，组织、指导本中心开展预算绩效管理工作。各股室是预算绩效管理的责任主体，配合本中心预算绩效管理工作。</w:t>
      </w:r>
    </w:p>
    <w:p>
      <w:pPr>
        <w:numPr>
          <w:ilvl w:val="0"/>
          <w:numId w:val="6"/>
        </w:numPr>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自评方式。</w:t>
      </w:r>
    </w:p>
    <w:p>
      <w:pPr>
        <w:pStyle w:val="2"/>
        <w:numPr>
          <w:ilvl w:val="0"/>
          <w:numId w:val="0"/>
        </w:numPr>
        <w:rPr>
          <w:rFonts w:hint="default" w:ascii="仿宋" w:hAnsi="仿宋" w:eastAsia="仿宋" w:cs="仿宋_GB2312"/>
          <w:kern w:val="2"/>
          <w:sz w:val="32"/>
          <w:szCs w:val="32"/>
          <w:lang w:val="en-US" w:eastAsia="zh-CN" w:bidi="ar-SA"/>
        </w:rPr>
      </w:pPr>
      <w:r>
        <w:rPr>
          <w:rFonts w:hint="eastAsia"/>
          <w:lang w:val="en-US" w:eastAsia="zh-CN"/>
        </w:rPr>
        <w:t xml:space="preserve">    </w:t>
      </w:r>
      <w:r>
        <w:rPr>
          <w:rFonts w:hint="eastAsia" w:ascii="仿宋" w:hAnsi="仿宋" w:eastAsia="仿宋" w:cs="仿宋_GB2312"/>
          <w:kern w:val="2"/>
          <w:sz w:val="32"/>
          <w:szCs w:val="32"/>
          <w:lang w:val="en-US" w:eastAsia="zh-CN" w:bidi="ar-SA"/>
        </w:rPr>
        <w:t xml:space="preserve"> 财务人员依据批复的绩效目标，组织评价工作组召开绩效目标自评会议，共同对单位整体支出进行评分，形成绩效自评计分表，各股室负责人发挥监督作用，分管领导审核自评结果，单位负责人对自评结果提出意见。自评工作完成后按照模板撰写自评报告，最终形成正式文件上报区财政局。</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Style w:val="2"/>
        <w:ind w:right="-92" w:rightChars="-44" w:firstLine="640" w:firstLineChars="200"/>
      </w:pPr>
      <w:r>
        <w:rPr>
          <w:rFonts w:hint="eastAsia" w:ascii="仿宋" w:hAnsi="仿宋" w:eastAsia="仿宋" w:cs="仿宋_GB2312"/>
          <w:sz w:val="32"/>
          <w:szCs w:val="32"/>
        </w:rPr>
        <w:t>单位编制人数得到有效控制，核定了三定方案，完善绩效目标管理，预算管理，预算执行，资产管理，职责表现，有计划的产出，产生的社会效益，进行全方位的分析和评价。综合自评得分89分，按照各项指标确定绩效等级为良。</w:t>
      </w:r>
    </w:p>
    <w:p>
      <w:pPr>
        <w:ind w:firstLine="640" w:firstLineChars="200"/>
        <w:rPr>
          <w:rFonts w:hint="eastAsia"/>
        </w:rPr>
      </w:pPr>
      <w:r>
        <w:rPr>
          <w:rFonts w:hint="eastAsia" w:ascii="黑体" w:hAnsi="黑体" w:eastAsia="黑体" w:cs="黑体"/>
          <w:sz w:val="32"/>
          <w:szCs w:val="32"/>
        </w:rPr>
        <w:t xml:space="preserve">五、绩效分析     </w:t>
      </w:r>
      <w:r>
        <w:rPr>
          <w:rFonts w:hint="eastAsia"/>
        </w:rPr>
        <w:t xml:space="preserve">          </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（一）指标分析</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包括部门整体支出绩效评价指标的评分依据、扣分项原因分析等。</w:t>
      </w:r>
    </w:p>
    <w:p>
      <w:pPr>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评分依据根据指标要求完成得分，没有完成不得分，实事求是自评，找出扣分原因，及时整改，更好完成目标绩效管理。</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（二）综合绩效分析</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1．部门职能履行情况。包括部门年度工作完成情况，工作计划与产出情况的匹配性等。2021年度工作完成情况较好，但预算计划与实际产出有一定差距，未能按预算拨付，资金不能完全到位，给单位完成目标任务带来一定压力。</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2．部门履职有效性。包括运行效率、管理水平、资源节约情况等。区文化馆在上级部门领导下，发挥各级管理能动作用，分工管理，分级负责，把工作</w:t>
      </w:r>
      <w:bookmarkStart w:id="72" w:name="_GoBack"/>
      <w:bookmarkEnd w:id="72"/>
      <w:r>
        <w:rPr>
          <w:rFonts w:hint="eastAsia" w:ascii="仿宋" w:hAnsi="仿宋" w:eastAsia="仿宋" w:cs="仿宋_GB2312"/>
          <w:kern w:val="0"/>
          <w:sz w:val="32"/>
          <w:szCs w:val="32"/>
          <w:lang w:val="en-US" w:eastAsia="zh-CN" w:bidi="ar-SA"/>
        </w:rPr>
        <w:t xml:space="preserve">落到实处。对财务资金管理，严格把控，资金使用按资金性质，用途分类，专款专用，节约成本，计划开支，综合绩效评价，发挥社会效益。 </w:t>
      </w:r>
    </w:p>
    <w:p>
      <w:pPr>
        <w:ind w:firstLine="640" w:firstLineChars="200"/>
        <w:rPr>
          <w:rFonts w:hint="eastAsia" w:ascii="仿宋" w:hAnsi="仿宋" w:eastAsia="仿宋" w:cs="仿宋_GB2312"/>
          <w:kern w:val="0"/>
          <w:sz w:val="32"/>
          <w:szCs w:val="32"/>
          <w:lang w:val="en-US" w:eastAsia="zh-CN" w:bidi="ar-SA"/>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r>
        <w:rPr>
          <w:rFonts w:hint="eastAsia" w:ascii="仿宋" w:hAnsi="仿宋" w:eastAsia="仿宋" w:cs="仿宋_GB2312"/>
          <w:kern w:val="0"/>
          <w:sz w:val="32"/>
          <w:szCs w:val="32"/>
          <w:lang w:val="en-US" w:eastAsia="zh-CN" w:bidi="ar-SA"/>
        </w:rPr>
        <w:t>3．部门职能实现程度。包括部门工作的整体效果、部门目标实现程度、社会满意度等。区文化馆全年目标工作完成较好，各部门在组织的领导下完成全年工作任务，各部门履行职责，积极配合，充分发挥中层骨干作用，积极主动完成单位下达各项指标任务，经过社会测评，社会满意度很好。</w:t>
      </w:r>
    </w:p>
    <w:p>
      <w:pPr>
        <w:pStyle w:val="3"/>
        <w:spacing w:before="11"/>
        <w:ind w:right="1050" w:rightChars="0"/>
        <w:jc w:val="center"/>
        <w:rPr>
          <w:rFonts w:hint="eastAsia" w:ascii="Times New Roman" w:hAnsi="Times New Roman" w:eastAsia="宋体" w:cs="Times New Roman"/>
          <w:spacing w:val="-3"/>
          <w:lang w:eastAsia="zh-CN"/>
        </w:rPr>
      </w:pPr>
      <w:r>
        <w:rPr>
          <w:rFonts w:hint="eastAsia" w:cs="Times New Roman"/>
          <w:lang w:val="en-US" w:eastAsia="zh-CN"/>
        </w:rPr>
        <w:t xml:space="preserve">  </w:t>
      </w:r>
      <w:r>
        <w:rPr>
          <w:rFonts w:ascii="Times New Roman" w:hAnsi="Times New Roman" w:eastAsia="宋体" w:cs="Times New Roman"/>
        </w:rPr>
        <w:t>20</w:t>
      </w:r>
      <w:r>
        <w:rPr>
          <w:rFonts w:ascii="Times New Roman" w:hAnsi="Times New Roman" w:eastAsia="宋体" w:cs="Times New Roman"/>
          <w:lang w:val="en-US"/>
        </w:rPr>
        <w:t>2</w:t>
      </w:r>
      <w:r>
        <w:rPr>
          <w:rFonts w:hint="eastAsia" w:ascii="Times New Roman" w:hAnsi="Times New Roman" w:eastAsia="宋体" w:cs="Times New Roman"/>
          <w:lang w:val="en-US" w:eastAsia="zh-CN"/>
        </w:rPr>
        <w:t>1</w:t>
      </w:r>
      <w:r>
        <w:rPr>
          <w:rFonts w:ascii="Times New Roman" w:cs="Times New Roman"/>
          <w:spacing w:val="-3"/>
        </w:rPr>
        <w:t>年度</w:t>
      </w:r>
      <w:r>
        <w:rPr>
          <w:rFonts w:hint="eastAsia" w:cs="Times New Roman"/>
          <w:spacing w:val="-3"/>
          <w:lang w:eastAsia="zh-CN"/>
        </w:rPr>
        <w:t>资阳市雁江区文化馆</w:t>
      </w:r>
    </w:p>
    <w:p>
      <w:pPr>
        <w:pStyle w:val="3"/>
        <w:spacing w:before="11"/>
        <w:ind w:right="1807"/>
        <w:jc w:val="center"/>
        <w:rPr>
          <w:rFonts w:ascii="Times New Roman" w:hAnsi="Times New Roman" w:cs="Times New Roman"/>
        </w:rPr>
      </w:pPr>
      <w:r>
        <w:rPr>
          <w:rFonts w:hint="eastAsia" w:cs="Times New Roman"/>
          <w:spacing w:val="-3"/>
          <w:lang w:val="en-US" w:eastAsia="zh-CN"/>
        </w:rPr>
        <w:t xml:space="preserve">   </w:t>
      </w:r>
      <w:r>
        <w:rPr>
          <w:rFonts w:ascii="Times New Roman" w:cs="Times New Roman"/>
          <w:spacing w:val="-3"/>
        </w:rPr>
        <w:t>整体支出绩效自评计分表</w:t>
      </w:r>
    </w:p>
    <w:p>
      <w:pPr>
        <w:spacing w:line="620" w:lineRule="exact"/>
        <w:rPr>
          <w:rFonts w:ascii="宋体" w:hAnsi="宋体" w:eastAsia="方正小标宋简体"/>
          <w:color w:val="000000"/>
          <w:kern w:val="0"/>
          <w:szCs w:val="21"/>
        </w:rPr>
      </w:pPr>
      <w:r>
        <w:rPr>
          <w:rFonts w:ascii="宋体" w:hAnsi="宋体" w:eastAsia="方正小标宋简体"/>
          <w:color w:val="000000"/>
          <w:kern w:val="0"/>
          <w:szCs w:val="21"/>
        </w:rPr>
        <w:t xml:space="preserve">单位名称： </w:t>
      </w:r>
      <w:r>
        <w:rPr>
          <w:rFonts w:hint="eastAsia" w:ascii="宋体" w:hAnsi="宋体" w:eastAsia="方正小标宋简体"/>
          <w:color w:val="000000"/>
          <w:kern w:val="0"/>
          <w:szCs w:val="21"/>
        </w:rPr>
        <w:t>资阳市雁江区</w:t>
      </w:r>
      <w:r>
        <w:rPr>
          <w:rFonts w:hint="eastAsia" w:ascii="宋体" w:hAnsi="宋体" w:eastAsia="方正小标宋简体"/>
          <w:color w:val="000000"/>
          <w:kern w:val="0"/>
          <w:szCs w:val="21"/>
          <w:lang w:val="en-US" w:eastAsia="zh-CN"/>
        </w:rPr>
        <w:t>文化馆</w:t>
      </w:r>
      <w:r>
        <w:rPr>
          <w:rFonts w:ascii="宋体" w:hAnsi="宋体" w:eastAsia="方正小标宋简体"/>
          <w:color w:val="000000"/>
          <w:kern w:val="0"/>
          <w:szCs w:val="21"/>
        </w:rPr>
        <w:t xml:space="preserve"> </w:t>
      </w:r>
      <w:r>
        <w:rPr>
          <w:rFonts w:hint="eastAsia" w:ascii="宋体" w:hAnsi="宋体" w:eastAsia="方正小标宋简体"/>
          <w:color w:val="000000"/>
          <w:kern w:val="0"/>
          <w:szCs w:val="21"/>
          <w:lang w:val="en-US" w:eastAsia="zh-CN"/>
        </w:rPr>
        <w:t xml:space="preserve">   </w:t>
      </w:r>
      <w:r>
        <w:rPr>
          <w:rFonts w:ascii="宋体" w:hAnsi="宋体" w:eastAsia="方正小标宋简体"/>
          <w:color w:val="000000"/>
          <w:kern w:val="0"/>
          <w:szCs w:val="21"/>
        </w:rPr>
        <w:t>预算单位编码：</w:t>
      </w:r>
      <w:r>
        <w:rPr>
          <w:rFonts w:hint="eastAsia" w:ascii="宋体" w:hAnsi="宋体" w:eastAsia="方正小标宋简体"/>
          <w:color w:val="000000"/>
          <w:kern w:val="0"/>
          <w:szCs w:val="21"/>
        </w:rPr>
        <w:t>16</w:t>
      </w:r>
      <w:r>
        <w:rPr>
          <w:rFonts w:hint="eastAsia" w:ascii="宋体" w:hAnsi="宋体" w:eastAsia="方正小标宋简体"/>
          <w:color w:val="000000"/>
          <w:kern w:val="0"/>
          <w:szCs w:val="21"/>
          <w:lang w:val="en-US" w:eastAsia="zh-CN"/>
        </w:rPr>
        <w:t>6001</w:t>
      </w:r>
      <w:r>
        <w:rPr>
          <w:rFonts w:ascii="宋体" w:hAnsi="宋体" w:eastAsia="方正小标宋简体"/>
          <w:color w:val="000000"/>
          <w:kern w:val="0"/>
          <w:szCs w:val="21"/>
        </w:rPr>
        <w:t xml:space="preserve">  </w:t>
      </w:r>
      <w:r>
        <w:rPr>
          <w:rFonts w:hint="eastAsia" w:ascii="宋体" w:hAnsi="宋体" w:eastAsia="方正小标宋简体"/>
          <w:color w:val="000000"/>
          <w:kern w:val="0"/>
          <w:szCs w:val="21"/>
          <w:lang w:val="en-US" w:eastAsia="zh-CN"/>
        </w:rPr>
        <w:t xml:space="preserve">  </w:t>
      </w:r>
      <w:r>
        <w:rPr>
          <w:rFonts w:ascii="宋体" w:hAnsi="宋体" w:eastAsia="方正小标宋简体"/>
          <w:color w:val="000000"/>
          <w:kern w:val="0"/>
          <w:szCs w:val="21"/>
        </w:rPr>
        <w:t>自评等级：</w:t>
      </w:r>
      <w:r>
        <w:rPr>
          <w:rFonts w:hint="eastAsia" w:ascii="宋体" w:hAnsi="宋体" w:eastAsia="方正小标宋简体"/>
          <w:color w:val="000000"/>
          <w:kern w:val="0"/>
          <w:szCs w:val="21"/>
        </w:rPr>
        <w:t>良</w:t>
      </w:r>
    </w:p>
    <w:tbl>
      <w:tblPr>
        <w:tblStyle w:val="12"/>
        <w:tblW w:w="5149" w:type="pct"/>
        <w:tblInd w:w="-176" w:type="dxa"/>
        <w:tblLayout w:type="fixed"/>
        <w:tblCellMar>
          <w:top w:w="0" w:type="dxa"/>
          <w:left w:w="108" w:type="dxa"/>
          <w:bottom w:w="0" w:type="dxa"/>
          <w:right w:w="108" w:type="dxa"/>
        </w:tblCellMar>
      </w:tblPr>
      <w:tblGrid>
        <w:gridCol w:w="540"/>
        <w:gridCol w:w="437"/>
        <w:gridCol w:w="586"/>
        <w:gridCol w:w="1947"/>
        <w:gridCol w:w="2026"/>
        <w:gridCol w:w="675"/>
        <w:gridCol w:w="2565"/>
      </w:tblGrid>
      <w:tr>
        <w:tblPrEx>
          <w:tblCellMar>
            <w:top w:w="0" w:type="dxa"/>
            <w:left w:w="108" w:type="dxa"/>
            <w:bottom w:w="0" w:type="dxa"/>
            <w:right w:w="108" w:type="dxa"/>
          </w:tblCellMar>
        </w:tblPrEx>
        <w:trPr>
          <w:trHeight w:val="660" w:hRule="atLeast"/>
          <w:tblHeader/>
        </w:trPr>
        <w:tc>
          <w:tcPr>
            <w:tcW w:w="30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一级指标</w:t>
            </w:r>
          </w:p>
        </w:tc>
        <w:tc>
          <w:tcPr>
            <w:tcW w:w="24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二级指标</w:t>
            </w:r>
          </w:p>
        </w:tc>
        <w:tc>
          <w:tcPr>
            <w:tcW w:w="334"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三级指标</w:t>
            </w:r>
          </w:p>
        </w:tc>
        <w:tc>
          <w:tcPr>
            <w:tcW w:w="110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指标解释</w:t>
            </w:r>
          </w:p>
        </w:tc>
        <w:tc>
          <w:tcPr>
            <w:tcW w:w="1154"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指标说明(评价计分标准）</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自评</w:t>
            </w:r>
          </w:p>
          <w:p>
            <w:pPr>
              <w:widowControl/>
              <w:jc w:val="center"/>
              <w:rPr>
                <w:rFonts w:ascii="宋体" w:hAnsi="宋体"/>
                <w:b/>
                <w:bCs/>
                <w:spacing w:val="-20"/>
                <w:kern w:val="0"/>
                <w:sz w:val="20"/>
                <w:szCs w:val="20"/>
              </w:rPr>
            </w:pPr>
            <w:r>
              <w:rPr>
                <w:rFonts w:ascii="宋体" w:hAnsi="宋体"/>
                <w:b/>
                <w:bCs/>
                <w:spacing w:val="-20"/>
                <w:kern w:val="0"/>
                <w:sz w:val="20"/>
                <w:szCs w:val="20"/>
              </w:rPr>
              <w:t>分数</w:t>
            </w:r>
          </w:p>
        </w:tc>
        <w:tc>
          <w:tcPr>
            <w:tcW w:w="146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自评</w:t>
            </w:r>
          </w:p>
          <w:p>
            <w:pPr>
              <w:widowControl/>
              <w:jc w:val="center"/>
              <w:rPr>
                <w:rFonts w:ascii="宋体" w:hAnsi="宋体"/>
                <w:b/>
                <w:bCs/>
                <w:spacing w:val="-20"/>
                <w:kern w:val="0"/>
                <w:sz w:val="20"/>
                <w:szCs w:val="20"/>
              </w:rPr>
            </w:pPr>
            <w:r>
              <w:rPr>
                <w:rFonts w:ascii="宋体" w:hAnsi="宋体"/>
                <w:b/>
                <w:bCs/>
                <w:spacing w:val="-20"/>
                <w:kern w:val="0"/>
                <w:sz w:val="20"/>
                <w:szCs w:val="20"/>
              </w:rPr>
              <w:t>依据及说明</w:t>
            </w:r>
          </w:p>
        </w:tc>
      </w:tr>
      <w:tr>
        <w:tblPrEx>
          <w:tblCellMar>
            <w:top w:w="0" w:type="dxa"/>
            <w:left w:w="108" w:type="dxa"/>
            <w:bottom w:w="0" w:type="dxa"/>
            <w:right w:w="108" w:type="dxa"/>
          </w:tblCellMar>
        </w:tblPrEx>
        <w:trPr>
          <w:trHeight w:val="2560" w:hRule="atLeast"/>
        </w:trPr>
        <w:tc>
          <w:tcPr>
            <w:tcW w:w="308"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投入（20分）</w:t>
            </w: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目标设定（5分）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绩效目标合理性（2分）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部门（单位）所设立的整体绩效目标依据是否充分，是否符合客观实际，用以反映和考核部门（单位）整体绩效目标与部门履职、年度工作任务的相符性情况。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是否符合国家法律法规、国民经济和社会发展总体规划；(1分）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是否符合部门“三定”方案确定的职责；（0.5分）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是否符合部门制定的中长期实施规划。（0.5分）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符合本单位“三定方案”、法律法规和部门管理制度、财务制度。</w:t>
            </w:r>
          </w:p>
        </w:tc>
      </w:tr>
      <w:tr>
        <w:tblPrEx>
          <w:tblCellMar>
            <w:top w:w="0" w:type="dxa"/>
            <w:left w:w="108" w:type="dxa"/>
            <w:bottom w:w="0" w:type="dxa"/>
            <w:right w:w="108" w:type="dxa"/>
          </w:tblCellMar>
        </w:tblPrEx>
        <w:trPr>
          <w:trHeight w:val="3384"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绩效指标明确性（3分）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部门（单位）依据整体绩效目标所设定的绩效指标是否清晰、细化、可衡量，用以反映和考核部门（单位）整体绩效目标的明细化情况。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w:t>
            </w:r>
            <w:r>
              <w:rPr>
                <w:rFonts w:ascii="宋体" w:hAnsi="宋体"/>
                <w:spacing w:val="-16"/>
                <w:kern w:val="0"/>
                <w:sz w:val="20"/>
                <w:szCs w:val="20"/>
              </w:rPr>
              <w:t>否将部门整体的绩效目标细化分解为具体的工作任务；（1分）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 xml:space="preserve">是否通过清晰、可衡量的指标值予以体现;(0.5分）    </w:t>
            </w:r>
            <w:r>
              <w:rPr>
                <w:rFonts w:hint="eastAsia" w:ascii="宋体" w:hAnsi="宋体" w:cs="宋体"/>
                <w:kern w:val="0"/>
                <w:sz w:val="20"/>
                <w:szCs w:val="20"/>
              </w:rPr>
              <w:t>③</w:t>
            </w:r>
            <w:r>
              <w:rPr>
                <w:rFonts w:ascii="宋体" w:hAnsi="宋体"/>
                <w:kern w:val="0"/>
                <w:sz w:val="20"/>
                <w:szCs w:val="20"/>
              </w:rPr>
              <w:t>是否与部门年度的任务数或计划数相对应；（0.5分）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是否与本年度部门预算资金相匹配。（1分）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3</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w:t>
            </w:r>
            <w:r>
              <w:rPr>
                <w:rFonts w:ascii="宋体" w:hAnsi="宋体" w:eastAsia="方正小标宋简体"/>
                <w:color w:val="000000"/>
                <w:kern w:val="0"/>
                <w:szCs w:val="21"/>
              </w:rPr>
              <w:t>预算</w:t>
            </w:r>
            <w:r>
              <w:rPr>
                <w:rFonts w:hint="eastAsia" w:ascii="宋体" w:hAnsi="宋体" w:eastAsia="方正小标宋简体"/>
                <w:color w:val="000000"/>
                <w:kern w:val="0"/>
                <w:szCs w:val="21"/>
              </w:rPr>
              <w:t>要求，</w:t>
            </w:r>
            <w:r>
              <w:rPr>
                <w:rFonts w:hint="eastAsia" w:ascii="宋体" w:hAnsi="宋体"/>
                <w:kern w:val="0"/>
                <w:sz w:val="20"/>
                <w:szCs w:val="20"/>
              </w:rPr>
              <w:t>与本部门年初下达的目标任务、预算、年度计划数相应。</w:t>
            </w:r>
          </w:p>
        </w:tc>
      </w:tr>
      <w:tr>
        <w:tblPrEx>
          <w:tblCellMar>
            <w:top w:w="0" w:type="dxa"/>
            <w:left w:w="108" w:type="dxa"/>
            <w:bottom w:w="0" w:type="dxa"/>
            <w:right w:w="108" w:type="dxa"/>
          </w:tblCellMar>
        </w:tblPrEx>
        <w:trPr>
          <w:trHeight w:val="366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预算配置（15分）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在职人员控制率（5分）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部门（单位）本年度实际在职人员数与编制数的比率，用以反映和考核部门（单位）对人员成本的控制程度。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在职人员控制率=（在职人员数/编制数）×100%。（小于或等于1计5分，否则按比例计分）</w:t>
            </w:r>
            <w:r>
              <w:rPr>
                <w:rFonts w:ascii="宋体" w:hAnsi="宋体"/>
                <w:kern w:val="0"/>
                <w:sz w:val="20"/>
                <w:szCs w:val="20"/>
              </w:rPr>
              <w:br w:type="textWrapping"/>
            </w:r>
            <w:r>
              <w:rPr>
                <w:rFonts w:ascii="宋体" w:hAnsi="宋体"/>
                <w:kern w:val="0"/>
                <w:sz w:val="20"/>
                <w:szCs w:val="20"/>
              </w:rPr>
              <w:t>在职人员数：部门（单位）实际在职人数，以财政部确定的部门决算编制口径为准。</w:t>
            </w:r>
            <w:r>
              <w:rPr>
                <w:rFonts w:ascii="宋体" w:hAnsi="宋体"/>
                <w:kern w:val="0"/>
                <w:sz w:val="20"/>
                <w:szCs w:val="20"/>
              </w:rPr>
              <w:br w:type="textWrapping"/>
            </w:r>
            <w:r>
              <w:rPr>
                <w:rFonts w:ascii="宋体" w:hAnsi="宋体"/>
                <w:kern w:val="0"/>
                <w:sz w:val="20"/>
                <w:szCs w:val="20"/>
              </w:rPr>
              <w:t>编制数：机构编制部门核定批复的部门（单位）的人员编制数。</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根据机构编制人数，本单位编制人数</w:t>
            </w:r>
            <w:r>
              <w:rPr>
                <w:rFonts w:hint="eastAsia" w:ascii="宋体" w:hAnsi="宋体"/>
                <w:kern w:val="0"/>
                <w:sz w:val="20"/>
                <w:szCs w:val="20"/>
                <w:lang w:val="en-US" w:eastAsia="zh-CN"/>
              </w:rPr>
              <w:t>19</w:t>
            </w:r>
            <w:r>
              <w:rPr>
                <w:rFonts w:hint="eastAsia" w:ascii="宋体" w:hAnsi="宋体"/>
                <w:kern w:val="0"/>
                <w:sz w:val="20"/>
                <w:szCs w:val="20"/>
              </w:rPr>
              <w:t>人，在职人数</w:t>
            </w:r>
            <w:r>
              <w:rPr>
                <w:rFonts w:hint="eastAsia" w:ascii="宋体" w:hAnsi="宋体"/>
                <w:kern w:val="0"/>
                <w:sz w:val="20"/>
                <w:szCs w:val="20"/>
                <w:lang w:val="en-US" w:eastAsia="zh-CN"/>
              </w:rPr>
              <w:t>18</w:t>
            </w:r>
            <w:r>
              <w:rPr>
                <w:rFonts w:hint="eastAsia" w:ascii="宋体" w:hAnsi="宋体"/>
                <w:kern w:val="0"/>
                <w:sz w:val="20"/>
                <w:szCs w:val="20"/>
              </w:rPr>
              <w:t>人</w:t>
            </w:r>
          </w:p>
        </w:tc>
      </w:tr>
      <w:tr>
        <w:tblPrEx>
          <w:tblCellMar>
            <w:top w:w="0" w:type="dxa"/>
            <w:left w:w="108" w:type="dxa"/>
            <w:bottom w:w="0" w:type="dxa"/>
            <w:right w:w="108" w:type="dxa"/>
          </w:tblCellMar>
        </w:tblPrEx>
        <w:trPr>
          <w:trHeight w:val="383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“三公经费”变动率（5分）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部门（单位）本年度“三公经费”预算数与上年度“三公经费”预算数的变动比率，用以反映和考核部门（单位）对控制重点行政成本的努力程度。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“三公经费”变动率=[（本年度“三公经费”总额-上年度“三公经费”总额）/上年度“三公经费”总额]×100%。（下降的计5分，增加的按比例扣减）</w:t>
            </w:r>
            <w:r>
              <w:rPr>
                <w:rFonts w:ascii="宋体" w:hAnsi="宋体"/>
                <w:kern w:val="0"/>
                <w:sz w:val="20"/>
                <w:szCs w:val="20"/>
              </w:rPr>
              <w:br w:type="textWrapping"/>
            </w:r>
            <w:r>
              <w:rPr>
                <w:rFonts w:ascii="宋体" w:hAnsi="宋体"/>
                <w:kern w:val="0"/>
                <w:sz w:val="20"/>
                <w:szCs w:val="20"/>
              </w:rPr>
              <w:t>“三公经费”：年度预算安排的因公出国（境）费、公务车辆购置及运行费和公务招待费。</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本单位“三公经费”上年</w:t>
            </w:r>
            <w:r>
              <w:rPr>
                <w:rFonts w:hint="eastAsia" w:ascii="宋体" w:hAnsi="宋体"/>
                <w:kern w:val="0"/>
                <w:sz w:val="20"/>
                <w:szCs w:val="20"/>
                <w:lang w:val="en-US" w:eastAsia="zh-CN"/>
              </w:rPr>
              <w:t>98600</w:t>
            </w:r>
            <w:r>
              <w:rPr>
                <w:rFonts w:hint="eastAsia" w:ascii="宋体" w:hAnsi="宋体"/>
                <w:kern w:val="0"/>
                <w:sz w:val="20"/>
                <w:szCs w:val="20"/>
              </w:rPr>
              <w:t>元，本年</w:t>
            </w:r>
            <w:r>
              <w:rPr>
                <w:rFonts w:hint="eastAsia" w:ascii="宋体" w:hAnsi="宋体"/>
                <w:kern w:val="0"/>
                <w:sz w:val="20"/>
                <w:szCs w:val="20"/>
                <w:lang w:val="en-US" w:eastAsia="zh-CN"/>
              </w:rPr>
              <w:t>60269</w:t>
            </w:r>
            <w:r>
              <w:rPr>
                <w:rFonts w:hint="eastAsia" w:ascii="宋体" w:hAnsi="宋体"/>
                <w:kern w:val="0"/>
                <w:sz w:val="20"/>
                <w:szCs w:val="20"/>
              </w:rPr>
              <w:t>元。（</w:t>
            </w:r>
            <w:r>
              <w:rPr>
                <w:rFonts w:hint="eastAsia" w:ascii="宋体" w:hAnsi="宋体"/>
                <w:kern w:val="0"/>
                <w:sz w:val="20"/>
                <w:szCs w:val="20"/>
                <w:lang w:val="en-US" w:eastAsia="zh-CN"/>
              </w:rPr>
              <w:t>60269-98600</w:t>
            </w:r>
            <w:r>
              <w:rPr>
                <w:rFonts w:hint="eastAsia" w:ascii="宋体" w:hAnsi="宋体"/>
                <w:kern w:val="0"/>
                <w:sz w:val="20"/>
                <w:szCs w:val="20"/>
              </w:rPr>
              <w:t>）/</w:t>
            </w:r>
            <w:r>
              <w:rPr>
                <w:rFonts w:hint="eastAsia" w:ascii="宋体" w:hAnsi="宋体"/>
                <w:kern w:val="0"/>
                <w:sz w:val="20"/>
                <w:szCs w:val="20"/>
                <w:lang w:val="en-US" w:eastAsia="zh-CN"/>
              </w:rPr>
              <w:t>98600</w:t>
            </w:r>
            <w:r>
              <w:rPr>
                <w:rFonts w:hint="eastAsia" w:ascii="宋体" w:hAnsi="宋体"/>
                <w:kern w:val="0"/>
                <w:sz w:val="20"/>
                <w:szCs w:val="20"/>
              </w:rPr>
              <w:t>*100%＝-</w:t>
            </w:r>
            <w:r>
              <w:rPr>
                <w:rFonts w:hint="eastAsia" w:ascii="宋体" w:hAnsi="宋体"/>
                <w:kern w:val="0"/>
                <w:sz w:val="20"/>
                <w:szCs w:val="20"/>
                <w:lang w:val="en-US" w:eastAsia="zh-CN"/>
              </w:rPr>
              <w:t>38.88</w:t>
            </w:r>
            <w:r>
              <w:rPr>
                <w:rFonts w:hint="eastAsia" w:ascii="宋体" w:hAnsi="宋体"/>
                <w:kern w:val="0"/>
                <w:sz w:val="20"/>
                <w:szCs w:val="20"/>
              </w:rPr>
              <w:t>%</w:t>
            </w:r>
          </w:p>
        </w:tc>
      </w:tr>
      <w:tr>
        <w:tblPrEx>
          <w:tblCellMar>
            <w:top w:w="0" w:type="dxa"/>
            <w:left w:w="108" w:type="dxa"/>
            <w:bottom w:w="0" w:type="dxa"/>
            <w:right w:w="108" w:type="dxa"/>
          </w:tblCellMar>
        </w:tblPrEx>
        <w:trPr>
          <w:trHeight w:val="4166"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重点支出安排率（5分）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部门（单位）本年度预算安排的重点项目支出与部门项目总支出的比率，用以反映和考核部门（单位）对履行主要职责或完成重点任务的保障程度。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重点支出安排率=（重点项目支出/项目总支出）×100%。（实际得分=支出安排率*5分）</w:t>
            </w:r>
            <w:r>
              <w:rPr>
                <w:rFonts w:ascii="宋体" w:hAnsi="宋体"/>
                <w:kern w:val="0"/>
                <w:sz w:val="20"/>
                <w:szCs w:val="20"/>
              </w:rPr>
              <w:br w:type="textWrapping"/>
            </w:r>
            <w:r>
              <w:rPr>
                <w:rFonts w:ascii="宋体" w:hAnsi="宋体"/>
                <w:kern w:val="0"/>
                <w:sz w:val="20"/>
                <w:szCs w:val="20"/>
              </w:rPr>
              <w:t>重点项目支出：部门（单位）年度预算安排的，与本部门履职和发展密切相关、具有明显社会和经济影响、党委政府关心或社会比较关注的项目支出总额。</w:t>
            </w:r>
            <w:r>
              <w:rPr>
                <w:rFonts w:ascii="宋体" w:hAnsi="宋体"/>
                <w:kern w:val="0"/>
                <w:sz w:val="20"/>
                <w:szCs w:val="20"/>
              </w:rPr>
              <w:br w:type="textWrapping"/>
            </w:r>
            <w:r>
              <w:rPr>
                <w:rFonts w:ascii="宋体" w:hAnsi="宋体"/>
                <w:kern w:val="0"/>
                <w:sz w:val="20"/>
                <w:szCs w:val="20"/>
              </w:rPr>
              <w:t>项目总支出：部门（单位）年度预算安排的项目支出总额。</w:t>
            </w:r>
          </w:p>
        </w:tc>
        <w:tc>
          <w:tcPr>
            <w:tcW w:w="38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3</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w:t>
            </w:r>
            <w:r>
              <w:rPr>
                <w:rFonts w:ascii="宋体" w:hAnsi="宋体"/>
                <w:kern w:val="0"/>
                <w:sz w:val="20"/>
                <w:szCs w:val="20"/>
              </w:rPr>
              <w:t>预算</w:t>
            </w:r>
            <w:r>
              <w:rPr>
                <w:rFonts w:hint="eastAsia" w:ascii="宋体" w:hAnsi="宋体"/>
                <w:kern w:val="0"/>
                <w:sz w:val="20"/>
                <w:szCs w:val="20"/>
              </w:rPr>
              <w:t>项目经费</w:t>
            </w:r>
            <w:r>
              <w:rPr>
                <w:rFonts w:hint="eastAsia" w:ascii="宋体" w:hAnsi="宋体"/>
                <w:kern w:val="0"/>
                <w:sz w:val="20"/>
                <w:szCs w:val="20"/>
                <w:lang w:val="en-US" w:eastAsia="zh-CN"/>
              </w:rPr>
              <w:t>1247400</w:t>
            </w:r>
            <w:r>
              <w:rPr>
                <w:rFonts w:hint="eastAsia" w:ascii="宋体" w:hAnsi="宋体"/>
                <w:kern w:val="0"/>
                <w:sz w:val="20"/>
                <w:szCs w:val="20"/>
              </w:rPr>
              <w:t>元，实际拨付</w:t>
            </w:r>
            <w:r>
              <w:rPr>
                <w:rFonts w:hint="eastAsia" w:ascii="宋体" w:hAnsi="宋体"/>
                <w:kern w:val="0"/>
                <w:sz w:val="20"/>
                <w:szCs w:val="20"/>
                <w:lang w:val="en-US" w:eastAsia="zh-CN"/>
              </w:rPr>
              <w:t>445670.64</w:t>
            </w:r>
            <w:r>
              <w:rPr>
                <w:rFonts w:hint="eastAsia" w:ascii="宋体" w:hAnsi="宋体"/>
                <w:kern w:val="0"/>
                <w:sz w:val="20"/>
                <w:szCs w:val="20"/>
              </w:rPr>
              <w:t>元，项目支出安排</w:t>
            </w:r>
            <w:r>
              <w:rPr>
                <w:rFonts w:hint="eastAsia" w:ascii="宋体" w:hAnsi="宋体"/>
                <w:kern w:val="0"/>
                <w:sz w:val="20"/>
                <w:szCs w:val="20"/>
                <w:lang w:val="en-US" w:eastAsia="zh-CN"/>
              </w:rPr>
              <w:t>52</w:t>
            </w:r>
            <w:r>
              <w:rPr>
                <w:rFonts w:hint="eastAsia" w:ascii="宋体" w:hAnsi="宋体"/>
                <w:kern w:val="0"/>
                <w:sz w:val="20"/>
                <w:szCs w:val="20"/>
              </w:rPr>
              <w:t>率%。</w:t>
            </w:r>
          </w:p>
        </w:tc>
      </w:tr>
      <w:tr>
        <w:tblPrEx>
          <w:tblCellMar>
            <w:top w:w="0" w:type="dxa"/>
            <w:left w:w="108" w:type="dxa"/>
            <w:bottom w:w="0" w:type="dxa"/>
            <w:right w:w="108" w:type="dxa"/>
          </w:tblCellMar>
        </w:tblPrEx>
        <w:trPr>
          <w:trHeight w:val="3385" w:hRule="atLeast"/>
        </w:trPr>
        <w:tc>
          <w:tcPr>
            <w:tcW w:w="308"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过程（30分）</w:t>
            </w:r>
          </w:p>
        </w:tc>
        <w:tc>
          <w:tcPr>
            <w:tcW w:w="24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预算执行（20分）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预算完成率（4分）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部门（单位）本年度预算完成数与预算数的比率，用以反映和考核部门（单位）预算完成程度。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预算完成率=（预算完成数/预算数）×100%。（完成年初预算计4分，未完成年初按比例扣减）</w:t>
            </w:r>
            <w:r>
              <w:rPr>
                <w:rFonts w:ascii="宋体" w:hAnsi="宋体"/>
                <w:kern w:val="0"/>
                <w:sz w:val="20"/>
                <w:szCs w:val="20"/>
              </w:rPr>
              <w:br w:type="textWrapping"/>
            </w:r>
            <w:r>
              <w:rPr>
                <w:rFonts w:ascii="宋体" w:hAnsi="宋体"/>
                <w:kern w:val="0"/>
                <w:sz w:val="20"/>
                <w:szCs w:val="20"/>
              </w:rPr>
              <w:t>预算完成数：部门（单位）本年度实际完成的预算数。</w:t>
            </w:r>
            <w:r>
              <w:rPr>
                <w:rFonts w:ascii="宋体" w:hAnsi="宋体"/>
                <w:kern w:val="0"/>
                <w:sz w:val="20"/>
                <w:szCs w:val="20"/>
              </w:rPr>
              <w:br w:type="textWrapping"/>
            </w:r>
            <w:r>
              <w:rPr>
                <w:rFonts w:ascii="宋体" w:hAnsi="宋体"/>
                <w:kern w:val="0"/>
                <w:sz w:val="20"/>
                <w:szCs w:val="20"/>
              </w:rPr>
              <w:t>预算数：财政部门批复的本年度部门（单位）预算数。</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3</w:t>
            </w: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w:t>
            </w:r>
            <w:r>
              <w:rPr>
                <w:rFonts w:ascii="宋体" w:hAnsi="宋体"/>
                <w:kern w:val="0"/>
                <w:sz w:val="20"/>
                <w:szCs w:val="20"/>
              </w:rPr>
              <w:t>预算</w:t>
            </w:r>
            <w:r>
              <w:rPr>
                <w:rFonts w:hint="eastAsia" w:ascii="宋体" w:hAnsi="宋体"/>
                <w:kern w:val="0"/>
                <w:sz w:val="20"/>
                <w:szCs w:val="20"/>
              </w:rPr>
              <w:t>政应拨付</w:t>
            </w:r>
            <w:r>
              <w:rPr>
                <w:rFonts w:hint="eastAsia" w:ascii="宋体" w:hAnsi="宋体"/>
                <w:kern w:val="0"/>
                <w:sz w:val="20"/>
                <w:szCs w:val="20"/>
                <w:lang w:val="en-US" w:eastAsia="zh-CN"/>
              </w:rPr>
              <w:t>3571779.2</w:t>
            </w:r>
            <w:r>
              <w:rPr>
                <w:rFonts w:hint="eastAsia" w:ascii="宋体" w:hAnsi="宋体"/>
                <w:kern w:val="0"/>
                <w:sz w:val="20"/>
                <w:szCs w:val="20"/>
              </w:rPr>
              <w:t>元，实际拨付</w:t>
            </w:r>
            <w:r>
              <w:rPr>
                <w:rFonts w:hint="eastAsia" w:ascii="宋体" w:hAnsi="宋体"/>
                <w:kern w:val="0"/>
                <w:sz w:val="20"/>
                <w:szCs w:val="20"/>
                <w:lang w:val="en-US" w:eastAsia="zh-CN"/>
              </w:rPr>
              <w:t>2584543.66</w:t>
            </w:r>
            <w:r>
              <w:rPr>
                <w:rFonts w:hint="eastAsia" w:ascii="宋体" w:hAnsi="宋体"/>
                <w:kern w:val="0"/>
                <w:sz w:val="20"/>
                <w:szCs w:val="20"/>
              </w:rPr>
              <w:t>元，完</w:t>
            </w:r>
            <w:r>
              <w:rPr>
                <w:rFonts w:hint="eastAsia" w:ascii="宋体" w:hAnsi="宋体"/>
                <w:kern w:val="0"/>
                <w:sz w:val="20"/>
                <w:szCs w:val="20"/>
                <w:lang w:eastAsia="zh-CN"/>
              </w:rPr>
              <w:t>成</w:t>
            </w:r>
            <w:r>
              <w:rPr>
                <w:rFonts w:hint="eastAsia" w:ascii="宋体" w:hAnsi="宋体"/>
                <w:kern w:val="0"/>
                <w:sz w:val="20"/>
                <w:szCs w:val="20"/>
              </w:rPr>
              <w:t>率</w:t>
            </w:r>
            <w:r>
              <w:rPr>
                <w:rFonts w:hint="eastAsia" w:ascii="宋体" w:hAnsi="宋体"/>
                <w:kern w:val="0"/>
                <w:sz w:val="20"/>
                <w:szCs w:val="20"/>
                <w:lang w:val="en-US" w:eastAsia="zh-CN"/>
              </w:rPr>
              <w:t>72.4</w:t>
            </w:r>
            <w:r>
              <w:rPr>
                <w:rFonts w:hint="eastAsia" w:ascii="宋体" w:hAnsi="宋体"/>
                <w:kern w:val="0"/>
                <w:sz w:val="20"/>
                <w:szCs w:val="20"/>
              </w:rPr>
              <w:t>%</w:t>
            </w:r>
            <w:r>
              <w:rPr>
                <w:rFonts w:ascii="宋体" w:hAnsi="宋体"/>
                <w:kern w:val="0"/>
                <w:sz w:val="20"/>
                <w:szCs w:val="20"/>
              </w:rPr>
              <w:t xml:space="preserve"> </w:t>
            </w:r>
          </w:p>
        </w:tc>
      </w:tr>
      <w:tr>
        <w:tblPrEx>
          <w:tblCellMar>
            <w:top w:w="0" w:type="dxa"/>
            <w:left w:w="108" w:type="dxa"/>
            <w:bottom w:w="0" w:type="dxa"/>
            <w:right w:w="108" w:type="dxa"/>
          </w:tblCellMar>
        </w:tblPrEx>
        <w:trPr>
          <w:trHeight w:val="3609"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预算调整率（2分）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部门（单位）本年度预算调整数与预算数的比率，用以反映和考核部门（单位）预算的调整程度。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预算调整率=（预算调整数/预算数）×100%。（未调整的计2分，调整了的除特殊原因外按比例扣减）</w:t>
            </w:r>
            <w:r>
              <w:rPr>
                <w:rFonts w:ascii="宋体" w:hAnsi="宋体"/>
                <w:kern w:val="0"/>
                <w:sz w:val="20"/>
                <w:szCs w:val="20"/>
              </w:rPr>
              <w:br w:type="textWrapping"/>
            </w:r>
            <w:r>
              <w:rPr>
                <w:rFonts w:ascii="宋体" w:hAnsi="宋体"/>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根据年初预算，除按要求以外的，未追加预算</w:t>
            </w:r>
          </w:p>
        </w:tc>
      </w:tr>
      <w:tr>
        <w:tblPrEx>
          <w:tblCellMar>
            <w:top w:w="0" w:type="dxa"/>
            <w:left w:w="108" w:type="dxa"/>
            <w:bottom w:w="0" w:type="dxa"/>
            <w:right w:w="108" w:type="dxa"/>
          </w:tblCellMar>
        </w:tblPrEx>
        <w:trPr>
          <w:trHeight w:val="5271"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支付进度率（2分）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部门（单位）实际支付进度与既定支付进度的比率，用以反映和考核部门（单位）预算执行的及时性和均衡性程度。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支付进度率=（实际支付进度/既定支付进度）×100%。完成年终进度的计1分，按季度完成预算进度的计1分。</w:t>
            </w:r>
            <w:r>
              <w:rPr>
                <w:rFonts w:ascii="宋体" w:hAnsi="宋体"/>
                <w:kern w:val="0"/>
                <w:sz w:val="20"/>
                <w:szCs w:val="20"/>
              </w:rPr>
              <w:br w:type="textWrapping"/>
            </w:r>
            <w:r>
              <w:rPr>
                <w:rFonts w:ascii="宋体" w:hAnsi="宋体"/>
                <w:kern w:val="0"/>
                <w:sz w:val="20"/>
                <w:szCs w:val="20"/>
              </w:rPr>
              <w:t>实际支付进度：部门（单位）在某一时点的支出预算执行总数与年度支出预算数的比率。</w:t>
            </w:r>
            <w:r>
              <w:rPr>
                <w:rFonts w:ascii="宋体" w:hAnsi="宋体"/>
                <w:kern w:val="0"/>
                <w:sz w:val="20"/>
                <w:szCs w:val="20"/>
              </w:rPr>
              <w:br w:type="textWrapping"/>
            </w:r>
            <w:r>
              <w:rPr>
                <w:rFonts w:ascii="宋体" w:hAnsi="宋体"/>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实际支付</w:t>
            </w:r>
            <w:r>
              <w:rPr>
                <w:rFonts w:ascii="宋体" w:hAnsi="宋体"/>
                <w:kern w:val="0"/>
                <w:sz w:val="20"/>
                <w:szCs w:val="20"/>
              </w:rPr>
              <w:t>进度与既定支付进度</w:t>
            </w:r>
            <w:r>
              <w:rPr>
                <w:rFonts w:hint="eastAsia" w:ascii="宋体" w:hAnsi="宋体"/>
                <w:kern w:val="0"/>
                <w:sz w:val="20"/>
                <w:szCs w:val="20"/>
              </w:rPr>
              <w:t>同步</w:t>
            </w:r>
          </w:p>
        </w:tc>
      </w:tr>
      <w:tr>
        <w:tblPrEx>
          <w:tblCellMar>
            <w:top w:w="0" w:type="dxa"/>
            <w:left w:w="108" w:type="dxa"/>
            <w:bottom w:w="0" w:type="dxa"/>
            <w:right w:w="108" w:type="dxa"/>
          </w:tblCellMar>
        </w:tblPrEx>
        <w:trPr>
          <w:trHeight w:val="271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部门（单位）本年度结转结余总额与支出预算数的比率，用以反映和考核部门（单位）对本年度结转结余资金的实际控制程度。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结转结余率=结转结余总额/支出预算数×100%。低于5%的计1分，每超过5个百分点扣1分，扣完为止。</w:t>
            </w:r>
            <w:r>
              <w:rPr>
                <w:rFonts w:ascii="宋体" w:hAnsi="宋体"/>
                <w:kern w:val="0"/>
                <w:sz w:val="20"/>
                <w:szCs w:val="20"/>
              </w:rPr>
              <w:br w:type="textWrapping"/>
            </w:r>
            <w:r>
              <w:rPr>
                <w:rFonts w:ascii="宋体" w:hAnsi="宋体"/>
                <w:kern w:val="0"/>
                <w:sz w:val="20"/>
                <w:szCs w:val="20"/>
              </w:rPr>
              <w:t>结转结余总额：部门（单位）本年度的结转资金与结余资金之和（以决算数为准）。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ascii="宋体" w:hAnsi="宋体"/>
                <w:kern w:val="0"/>
                <w:sz w:val="20"/>
                <w:szCs w:val="20"/>
              </w:rPr>
              <w:t>　</w:t>
            </w:r>
            <w:r>
              <w:rPr>
                <w:rFonts w:hint="eastAsia" w:ascii="宋体" w:hAnsi="宋体"/>
                <w:kern w:val="0"/>
                <w:sz w:val="20"/>
                <w:szCs w:val="20"/>
              </w:rPr>
              <w:t>结转结余额为</w:t>
            </w:r>
            <w:r>
              <w:rPr>
                <w:rFonts w:hint="eastAsia" w:ascii="宋体" w:hAnsi="宋体"/>
                <w:kern w:val="0"/>
                <w:sz w:val="20"/>
                <w:szCs w:val="20"/>
                <w:lang w:val="en-US" w:eastAsia="zh-CN"/>
              </w:rPr>
              <w:t>495132.13结转结余率为27%</w:t>
            </w:r>
          </w:p>
        </w:tc>
      </w:tr>
      <w:tr>
        <w:tblPrEx>
          <w:tblCellMar>
            <w:top w:w="0" w:type="dxa"/>
            <w:left w:w="108" w:type="dxa"/>
            <w:bottom w:w="0" w:type="dxa"/>
            <w:right w:w="108" w:type="dxa"/>
          </w:tblCellMar>
        </w:tblPrEx>
        <w:trPr>
          <w:trHeight w:val="1590"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结转结余变动率（2分）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部门（单位）本年度结转结余资金总额与上年度结转结余资金总额的变动比率，用以反映和考核部门（单位）对控制结转结余资金的努力程度。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结转结余变动率=[（本年度累计结转结余资金总额-上年度累计结转结余资金总额）/上年度累计结转结余资金总额]×100%。（低于15%的计2分，每超过5个百分点扣1分，扣完为止）</w:t>
            </w:r>
          </w:p>
        </w:tc>
        <w:tc>
          <w:tcPr>
            <w:tcW w:w="38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2</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ascii="宋体" w:hAnsi="宋体" w:eastAsia="宋体" w:cs="Times New Roman"/>
                <w:kern w:val="0"/>
                <w:sz w:val="20"/>
                <w:szCs w:val="20"/>
              </w:rPr>
              <w:t>结转结余变动率=</w:t>
            </w:r>
            <w:r>
              <w:rPr>
                <w:rFonts w:hint="eastAsia" w:ascii="宋体" w:hAnsi="宋体" w:eastAsia="宋体" w:cs="Times New Roman"/>
                <w:kern w:val="0"/>
                <w:sz w:val="20"/>
                <w:szCs w:val="20"/>
              </w:rPr>
              <w:t>（</w:t>
            </w:r>
            <w:r>
              <w:rPr>
                <w:rFonts w:hint="eastAsia" w:ascii="宋体" w:hAnsi="宋体" w:eastAsia="宋体" w:cs="Times New Roman"/>
                <w:kern w:val="0"/>
                <w:sz w:val="20"/>
                <w:szCs w:val="20"/>
                <w:lang w:val="en-US" w:eastAsia="zh-CN"/>
              </w:rPr>
              <w:t>148964.13</w:t>
            </w:r>
            <w:r>
              <w:rPr>
                <w:rFonts w:hint="eastAsia" w:ascii="宋体" w:hAnsi="宋体" w:eastAsia="宋体" w:cs="Times New Roman"/>
                <w:kern w:val="0"/>
                <w:sz w:val="20"/>
                <w:szCs w:val="20"/>
              </w:rPr>
              <w:t>-</w:t>
            </w:r>
            <w:r>
              <w:rPr>
                <w:rFonts w:hint="eastAsia" w:ascii="宋体" w:hAnsi="宋体" w:eastAsia="宋体" w:cs="Times New Roman"/>
                <w:kern w:val="0"/>
                <w:sz w:val="20"/>
                <w:szCs w:val="20"/>
                <w:lang w:val="en-US" w:eastAsia="zh-CN"/>
              </w:rPr>
              <w:t>495132.13</w:t>
            </w:r>
            <w:r>
              <w:rPr>
                <w:rFonts w:hint="eastAsia" w:ascii="宋体" w:hAnsi="宋体" w:eastAsia="宋体" w:cs="Times New Roman"/>
                <w:kern w:val="0"/>
                <w:sz w:val="20"/>
                <w:szCs w:val="20"/>
              </w:rPr>
              <w:t>）/</w:t>
            </w:r>
            <w:r>
              <w:rPr>
                <w:rFonts w:hint="eastAsia" w:ascii="宋体" w:hAnsi="宋体" w:eastAsia="宋体" w:cs="Times New Roman"/>
                <w:kern w:val="0"/>
                <w:sz w:val="20"/>
                <w:szCs w:val="20"/>
                <w:lang w:val="en-US" w:eastAsia="zh-CN"/>
              </w:rPr>
              <w:t>495132.13</w:t>
            </w:r>
            <w:r>
              <w:rPr>
                <w:rFonts w:hint="eastAsia" w:ascii="宋体" w:hAnsi="宋体" w:eastAsia="宋体" w:cs="Times New Roman"/>
                <w:kern w:val="0"/>
                <w:sz w:val="20"/>
                <w:szCs w:val="20"/>
              </w:rPr>
              <w:t>＝</w:t>
            </w:r>
            <w:r>
              <w:rPr>
                <w:rFonts w:hint="eastAsia" w:ascii="宋体" w:hAnsi="宋体"/>
                <w:kern w:val="0"/>
                <w:sz w:val="20"/>
                <w:szCs w:val="20"/>
              </w:rPr>
              <w:t>-</w:t>
            </w:r>
            <w:r>
              <w:rPr>
                <w:rFonts w:hint="eastAsia" w:ascii="宋体" w:hAnsi="宋体"/>
                <w:kern w:val="0"/>
                <w:sz w:val="20"/>
                <w:szCs w:val="20"/>
                <w:lang w:val="en-US" w:eastAsia="zh-CN"/>
              </w:rPr>
              <w:t>69.9</w:t>
            </w:r>
            <w:r>
              <w:rPr>
                <w:rFonts w:hint="eastAsia" w:ascii="宋体" w:hAnsi="宋体"/>
                <w:kern w:val="0"/>
                <w:sz w:val="20"/>
                <w:szCs w:val="20"/>
              </w:rPr>
              <w:t>%</w:t>
            </w:r>
          </w:p>
        </w:tc>
      </w:tr>
      <w:tr>
        <w:tblPrEx>
          <w:tblCellMar>
            <w:top w:w="0" w:type="dxa"/>
            <w:left w:w="108" w:type="dxa"/>
            <w:bottom w:w="0" w:type="dxa"/>
            <w:right w:w="108" w:type="dxa"/>
          </w:tblCellMar>
        </w:tblPrEx>
        <w:trPr>
          <w:trHeight w:val="1470"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公用经费控制率（2分）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部门（单位）本年度实际支出的公用经费总额与预算安排的公用经费总额的比率，用以反映和考核部门</w:t>
            </w:r>
            <w:r>
              <w:rPr>
                <w:rFonts w:ascii="宋体" w:hAnsi="宋体"/>
                <w:spacing w:val="-16"/>
                <w:kern w:val="0"/>
                <w:sz w:val="20"/>
                <w:szCs w:val="20"/>
              </w:rPr>
              <w:t>（单位）对机构运转成本的实际控制程度。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公用经费控制率=（实际支出公用经费总额/预算安排公用经费总额）×100%。（为100%的计2分，每超过1个百分点扣0.1分，扣完为止）</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ascii="宋体" w:hAnsi="宋体"/>
                <w:kern w:val="0"/>
                <w:sz w:val="20"/>
                <w:szCs w:val="20"/>
              </w:rPr>
              <w:t>　公用经费控制率=</w:t>
            </w:r>
            <w:r>
              <w:rPr>
                <w:rFonts w:hint="eastAsia" w:ascii="宋体" w:hAnsi="宋体"/>
                <w:kern w:val="0"/>
                <w:sz w:val="20"/>
                <w:szCs w:val="20"/>
                <w:lang w:val="en-US" w:eastAsia="zh-CN"/>
              </w:rPr>
              <w:t>214082.82</w:t>
            </w:r>
            <w:r>
              <w:rPr>
                <w:rFonts w:hint="eastAsia" w:ascii="宋体" w:hAnsi="宋体"/>
                <w:kern w:val="0"/>
                <w:sz w:val="20"/>
                <w:szCs w:val="20"/>
              </w:rPr>
              <w:t>/</w:t>
            </w:r>
            <w:r>
              <w:rPr>
                <w:rFonts w:hint="eastAsia" w:ascii="宋体" w:hAnsi="宋体"/>
                <w:kern w:val="0"/>
                <w:sz w:val="20"/>
                <w:szCs w:val="20"/>
                <w:lang w:val="en-US" w:eastAsia="zh-CN"/>
              </w:rPr>
              <w:t>228051.04</w:t>
            </w:r>
          </w:p>
          <w:p>
            <w:pPr>
              <w:widowControl/>
              <w:jc w:val="left"/>
              <w:rPr>
                <w:rFonts w:ascii="宋体" w:hAnsi="宋体"/>
                <w:kern w:val="0"/>
                <w:sz w:val="20"/>
                <w:szCs w:val="20"/>
              </w:rPr>
            </w:pPr>
            <w:r>
              <w:rPr>
                <w:rFonts w:hint="eastAsia" w:ascii="宋体" w:hAnsi="宋体"/>
                <w:kern w:val="0"/>
                <w:sz w:val="20"/>
                <w:szCs w:val="20"/>
              </w:rPr>
              <w:t>＝</w:t>
            </w:r>
            <w:r>
              <w:rPr>
                <w:rFonts w:hint="eastAsia" w:ascii="宋体" w:hAnsi="宋体"/>
                <w:kern w:val="0"/>
                <w:sz w:val="20"/>
                <w:szCs w:val="20"/>
                <w:lang w:val="en-US" w:eastAsia="zh-CN"/>
              </w:rPr>
              <w:t>93.8</w:t>
            </w:r>
            <w:r>
              <w:rPr>
                <w:rFonts w:hint="eastAsia" w:ascii="宋体" w:hAnsi="宋体"/>
                <w:kern w:val="0"/>
                <w:sz w:val="20"/>
                <w:szCs w:val="20"/>
              </w:rPr>
              <w:t>%</w:t>
            </w:r>
          </w:p>
        </w:tc>
      </w:tr>
      <w:tr>
        <w:tblPrEx>
          <w:tblCellMar>
            <w:top w:w="0" w:type="dxa"/>
            <w:left w:w="108" w:type="dxa"/>
            <w:bottom w:w="0" w:type="dxa"/>
            <w:right w:w="108" w:type="dxa"/>
          </w:tblCellMar>
        </w:tblPrEx>
        <w:trPr>
          <w:trHeight w:val="1494"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“三公经费”控制率（2分）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部门（单位）本年度“三公经费”实际支出数与预算安排数的比率，用以反映和考核部门（单位）对“三公经费”的实际控制程度。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“三公经费”控制率=（“三公经费”实际支出数/“三公经费”预算安排数）×100%。（为100%的计2分，每超过1个百分点扣0.5分，扣完为止）</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2</w:t>
            </w: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“三公经费”控制率=</w:t>
            </w:r>
            <w:r>
              <w:rPr>
                <w:rFonts w:hint="eastAsia" w:ascii="宋体" w:hAnsi="宋体"/>
                <w:kern w:val="0"/>
                <w:sz w:val="20"/>
                <w:szCs w:val="20"/>
                <w:lang w:val="en-US" w:eastAsia="zh-CN"/>
              </w:rPr>
              <w:t>15100</w:t>
            </w:r>
            <w:r>
              <w:rPr>
                <w:rFonts w:hint="eastAsia" w:ascii="宋体" w:hAnsi="宋体"/>
                <w:kern w:val="0"/>
                <w:sz w:val="20"/>
                <w:szCs w:val="20"/>
              </w:rPr>
              <w:t>/</w:t>
            </w:r>
            <w:r>
              <w:rPr>
                <w:rFonts w:hint="eastAsia" w:ascii="宋体" w:hAnsi="宋体"/>
                <w:kern w:val="0"/>
                <w:sz w:val="20"/>
                <w:szCs w:val="20"/>
                <w:lang w:val="en-US" w:eastAsia="zh-CN"/>
              </w:rPr>
              <w:t>45000</w:t>
            </w:r>
            <w:r>
              <w:rPr>
                <w:rFonts w:hint="eastAsia" w:ascii="宋体" w:hAnsi="宋体"/>
                <w:kern w:val="0"/>
                <w:sz w:val="20"/>
                <w:szCs w:val="20"/>
              </w:rPr>
              <w:t>＝</w:t>
            </w:r>
            <w:r>
              <w:rPr>
                <w:rFonts w:hint="eastAsia" w:ascii="宋体" w:hAnsi="宋体"/>
                <w:kern w:val="0"/>
                <w:sz w:val="20"/>
                <w:szCs w:val="20"/>
                <w:lang w:val="en-US" w:eastAsia="zh-CN"/>
              </w:rPr>
              <w:t>34</w:t>
            </w:r>
            <w:r>
              <w:rPr>
                <w:rFonts w:hint="eastAsia" w:ascii="宋体" w:hAnsi="宋体"/>
                <w:kern w:val="0"/>
                <w:sz w:val="20"/>
                <w:szCs w:val="20"/>
              </w:rPr>
              <w:t>%</w:t>
            </w:r>
          </w:p>
        </w:tc>
      </w:tr>
      <w:tr>
        <w:tblPrEx>
          <w:tblCellMar>
            <w:top w:w="0" w:type="dxa"/>
            <w:left w:w="108" w:type="dxa"/>
            <w:bottom w:w="0" w:type="dxa"/>
            <w:right w:w="108" w:type="dxa"/>
          </w:tblCellMar>
        </w:tblPrEx>
        <w:trPr>
          <w:trHeight w:val="1912"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政府采购执行率（4分）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部门（单位）本年度实际政府采购金额与年初政府采购预算的比率，用以反映和考核部门（单位）政府采购预算执行情况。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政府采购执行率=（实际政府采购金额/政府采购预算数）×100%。（为100%的计2分，每低于1个百分点扣0.5分，扣完为止）</w:t>
            </w:r>
            <w:r>
              <w:rPr>
                <w:rFonts w:ascii="宋体" w:hAnsi="宋体"/>
                <w:kern w:val="0"/>
                <w:sz w:val="20"/>
                <w:szCs w:val="20"/>
              </w:rPr>
              <w:br w:type="textWrapping"/>
            </w:r>
            <w:r>
              <w:rPr>
                <w:rFonts w:ascii="宋体" w:hAnsi="宋体"/>
                <w:kern w:val="0"/>
                <w:sz w:val="20"/>
                <w:szCs w:val="20"/>
              </w:rPr>
              <w:t xml:space="preserve">政府采购预算：采购机关根据事业发展计划和行政任务编制的、并经过规定程序批准的年度政府采购计划。 </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无</w:t>
            </w:r>
            <w:r>
              <w:rPr>
                <w:rFonts w:ascii="宋体" w:hAnsi="宋体"/>
                <w:kern w:val="0"/>
                <w:sz w:val="20"/>
                <w:szCs w:val="20"/>
              </w:rPr>
              <w:t>政府采购</w:t>
            </w:r>
          </w:p>
        </w:tc>
      </w:tr>
      <w:tr>
        <w:tblPrEx>
          <w:tblCellMar>
            <w:top w:w="0" w:type="dxa"/>
            <w:left w:w="108" w:type="dxa"/>
            <w:bottom w:w="0" w:type="dxa"/>
            <w:right w:w="108" w:type="dxa"/>
          </w:tblCellMar>
        </w:tblPrEx>
        <w:trPr>
          <w:trHeight w:val="2084"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预算管理（5分）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管理制度健全性（2分）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部门（单位）为加强预算管理、规范财务行为而制定的管理制度是否健全完整，用以反映和考核部门（单位）预算管理制度对完成主要职责或促进事业发展的保障情况。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是否已制定或具有预算资金管理办法、内部财务管理制度、会计核算制度等管理制度；（1分）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相</w:t>
            </w:r>
            <w:r>
              <w:rPr>
                <w:rFonts w:ascii="宋体" w:hAnsi="宋体"/>
                <w:spacing w:val="-16"/>
                <w:kern w:val="0"/>
                <w:sz w:val="20"/>
                <w:szCs w:val="20"/>
              </w:rPr>
              <w:t>关管理制度是否合法、合规、完整；（0.5分）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相关管理制度是否得到有效执行。（0.5分）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制定预算资金管理办法，财务管理制度，符合财务</w:t>
            </w:r>
          </w:p>
          <w:p>
            <w:pPr>
              <w:widowControl/>
              <w:jc w:val="left"/>
              <w:rPr>
                <w:rFonts w:ascii="宋体" w:hAnsi="宋体"/>
                <w:kern w:val="0"/>
                <w:sz w:val="20"/>
                <w:szCs w:val="20"/>
              </w:rPr>
            </w:pPr>
            <w:r>
              <w:rPr>
                <w:rFonts w:hint="eastAsia" w:ascii="宋体" w:hAnsi="宋体"/>
                <w:sz w:val="20"/>
                <w:szCs w:val="20"/>
              </w:rPr>
              <w:t>报销制度。</w:t>
            </w:r>
          </w:p>
        </w:tc>
      </w:tr>
      <w:tr>
        <w:tblPrEx>
          <w:tblCellMar>
            <w:top w:w="0" w:type="dxa"/>
            <w:left w:w="108" w:type="dxa"/>
            <w:bottom w:w="0" w:type="dxa"/>
            <w:right w:w="108" w:type="dxa"/>
          </w:tblCellMar>
        </w:tblPrEx>
        <w:trPr>
          <w:trHeight w:val="2976"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资金使用合规性（1分）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部门（单位）使用预算资金是否符合相关的预算财务管理制度的规定，用以反映和考核部门（单位）预算资金的规范运行情况。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是否符合国家财经法规和财务管理制度规定以及有关专项资金管理办法的规定；（0.2分）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资金的拨付是否有完整的审批程序和手续；（0.2分）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项目的重大开支是否经过评估论证；（0.2分）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是否符合部门预算批复的用途；（0.2分）</w:t>
            </w:r>
            <w:r>
              <w:rPr>
                <w:rFonts w:ascii="宋体" w:hAnsi="宋体"/>
                <w:kern w:val="0"/>
                <w:sz w:val="20"/>
                <w:szCs w:val="20"/>
              </w:rPr>
              <w:br w:type="textWrapping"/>
            </w:r>
            <w:r>
              <w:rPr>
                <w:rFonts w:hint="eastAsia" w:ascii="宋体" w:hAnsi="宋体" w:cs="宋体"/>
                <w:kern w:val="0"/>
                <w:sz w:val="20"/>
                <w:szCs w:val="20"/>
              </w:rPr>
              <w:t>⑤</w:t>
            </w:r>
            <w:r>
              <w:rPr>
                <w:rFonts w:ascii="宋体" w:hAnsi="宋体"/>
                <w:kern w:val="0"/>
                <w:sz w:val="20"/>
                <w:szCs w:val="20"/>
              </w:rPr>
              <w:t>是否存在截留、挤占、挪用、虚列支出等情况。（0.2分）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资金拨付按财政管理规定及审批程序，使用资金按</w:t>
            </w:r>
          </w:p>
          <w:p>
            <w:pPr>
              <w:widowControl/>
              <w:jc w:val="left"/>
              <w:rPr>
                <w:rFonts w:ascii="宋体" w:hAnsi="宋体"/>
                <w:kern w:val="0"/>
                <w:sz w:val="20"/>
                <w:szCs w:val="20"/>
              </w:rPr>
            </w:pPr>
            <w:r>
              <w:rPr>
                <w:rFonts w:hint="eastAsia" w:ascii="宋体" w:hAnsi="宋体"/>
                <w:sz w:val="20"/>
                <w:szCs w:val="20"/>
              </w:rPr>
              <w:t>资金性质专款专用。</w:t>
            </w:r>
          </w:p>
        </w:tc>
      </w:tr>
      <w:tr>
        <w:tblPrEx>
          <w:tblCellMar>
            <w:top w:w="0" w:type="dxa"/>
            <w:left w:w="108" w:type="dxa"/>
            <w:bottom w:w="0" w:type="dxa"/>
            <w:right w:w="108" w:type="dxa"/>
          </w:tblCellMar>
        </w:tblPrEx>
        <w:trPr>
          <w:trHeight w:val="2096"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预决算信息公开性（1分）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部门（单位）是否按照政府信息公开有关规定公开相关预决算信息，用以反映和考核部门（单位）预决算管理的公开透明情况。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是否按规定内容公开预决算信息；（0.5分）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是否按规定时限公开预决算信息。（0.5分）</w:t>
            </w:r>
            <w:r>
              <w:rPr>
                <w:rFonts w:ascii="宋体" w:hAnsi="宋体"/>
                <w:kern w:val="0"/>
                <w:sz w:val="20"/>
                <w:szCs w:val="20"/>
              </w:rPr>
              <w:br w:type="textWrapping"/>
            </w:r>
            <w:r>
              <w:rPr>
                <w:rFonts w:ascii="宋体" w:hAnsi="宋体"/>
                <w:kern w:val="0"/>
                <w:sz w:val="20"/>
                <w:szCs w:val="20"/>
              </w:rPr>
              <w:t>预决算信息是指与部门预算、执行、决算、监督、绩效等管理相关的信息。</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1</w:t>
            </w: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预决算</w:t>
            </w:r>
            <w:r>
              <w:rPr>
                <w:rFonts w:hint="eastAsia" w:ascii="宋体" w:hAnsi="宋体"/>
                <w:kern w:val="0"/>
                <w:sz w:val="20"/>
                <w:szCs w:val="20"/>
              </w:rPr>
              <w:t>按财政要求，</w:t>
            </w:r>
            <w:r>
              <w:rPr>
                <w:rFonts w:ascii="宋体" w:hAnsi="宋体"/>
                <w:kern w:val="0"/>
                <w:sz w:val="20"/>
                <w:szCs w:val="20"/>
              </w:rPr>
              <w:t>按</w:t>
            </w:r>
            <w:r>
              <w:rPr>
                <w:rFonts w:hint="eastAsia" w:ascii="宋体" w:hAnsi="宋体"/>
                <w:kern w:val="0"/>
                <w:sz w:val="20"/>
                <w:szCs w:val="20"/>
              </w:rPr>
              <w:t>时</w:t>
            </w:r>
            <w:r>
              <w:rPr>
                <w:rFonts w:ascii="宋体" w:hAnsi="宋体"/>
                <w:kern w:val="0"/>
                <w:sz w:val="20"/>
                <w:szCs w:val="20"/>
              </w:rPr>
              <w:t>公开预决算信息</w:t>
            </w:r>
          </w:p>
        </w:tc>
      </w:tr>
      <w:tr>
        <w:tblPrEx>
          <w:tblCellMar>
            <w:top w:w="0" w:type="dxa"/>
            <w:left w:w="108" w:type="dxa"/>
            <w:bottom w:w="0" w:type="dxa"/>
            <w:right w:w="108" w:type="dxa"/>
          </w:tblCellMar>
        </w:tblPrEx>
        <w:trPr>
          <w:trHeight w:val="198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基础信息完善性（1分）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部门（单位）基础信息是否完善，用以反映和考核基础信息对预算管理工作的支撑情况。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基础数据信息和会计信息资料是否真实；（0.4分）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基础数据信息和会计信息资料是否完整；（0.3分）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基础数据信息和会计信息资料是否准确。（0.3分）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根据财政付资金做好收支入账，数据准确，资料</w:t>
            </w:r>
          </w:p>
          <w:p>
            <w:pPr>
              <w:widowControl/>
              <w:jc w:val="left"/>
              <w:rPr>
                <w:rFonts w:ascii="宋体" w:hAnsi="宋体"/>
                <w:kern w:val="0"/>
                <w:sz w:val="20"/>
                <w:szCs w:val="20"/>
              </w:rPr>
            </w:pPr>
            <w:r>
              <w:rPr>
                <w:rFonts w:hint="eastAsia" w:ascii="宋体" w:hAnsi="宋体"/>
                <w:kern w:val="0"/>
                <w:sz w:val="20"/>
                <w:szCs w:val="20"/>
              </w:rPr>
              <w:t>保存完整。做到有据可查。</w:t>
            </w:r>
          </w:p>
        </w:tc>
      </w:tr>
      <w:tr>
        <w:tblPrEx>
          <w:tblCellMar>
            <w:top w:w="0" w:type="dxa"/>
            <w:left w:w="108" w:type="dxa"/>
            <w:bottom w:w="0" w:type="dxa"/>
            <w:right w:w="108" w:type="dxa"/>
          </w:tblCellMar>
        </w:tblPrEx>
        <w:trPr>
          <w:trHeight w:val="1290"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资产管理（5分）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管理制度健全性（2分）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154" w:type="pct"/>
            <w:tcBorders>
              <w:top w:val="nil"/>
              <w:left w:val="nil"/>
              <w:bottom w:val="single" w:color="auto" w:sz="4" w:space="0"/>
              <w:right w:val="single" w:color="auto" w:sz="4" w:space="0"/>
            </w:tcBorders>
            <w:noWrap w:val="0"/>
            <w:vAlign w:val="center"/>
          </w:tcPr>
          <w:p>
            <w:pPr>
              <w:widowControl/>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是否已制定或具有资产管理制度；（1分）</w:t>
            </w:r>
          </w:p>
          <w:p>
            <w:pPr>
              <w:widowControl/>
              <w:rPr>
                <w:rFonts w:ascii="宋体" w:hAnsi="宋体"/>
                <w:kern w:val="0"/>
                <w:sz w:val="20"/>
                <w:szCs w:val="20"/>
              </w:rPr>
            </w:pPr>
            <w:r>
              <w:rPr>
                <w:rFonts w:hint="eastAsia" w:ascii="宋体" w:hAnsi="宋体" w:cs="宋体"/>
                <w:kern w:val="0"/>
                <w:sz w:val="20"/>
                <w:szCs w:val="20"/>
              </w:rPr>
              <w:t>②</w:t>
            </w:r>
            <w:r>
              <w:rPr>
                <w:rFonts w:ascii="宋体" w:hAnsi="宋体"/>
                <w:kern w:val="0"/>
                <w:sz w:val="20"/>
                <w:szCs w:val="20"/>
              </w:rPr>
              <w:t>相关资金管理制度是否合法、合规、完整；（0.5分）</w:t>
            </w:r>
          </w:p>
          <w:p>
            <w:pPr>
              <w:widowControl/>
              <w:rPr>
                <w:rFonts w:ascii="宋体" w:hAnsi="宋体"/>
                <w:kern w:val="0"/>
                <w:sz w:val="20"/>
                <w:szCs w:val="20"/>
              </w:rPr>
            </w:pPr>
            <w:r>
              <w:rPr>
                <w:rFonts w:hint="eastAsia" w:ascii="宋体" w:hAnsi="宋体" w:cs="宋体"/>
                <w:kern w:val="0"/>
                <w:sz w:val="20"/>
                <w:szCs w:val="20"/>
              </w:rPr>
              <w:t>③</w:t>
            </w:r>
            <w:r>
              <w:rPr>
                <w:rFonts w:ascii="宋体" w:hAnsi="宋体"/>
                <w:kern w:val="0"/>
                <w:sz w:val="20"/>
                <w:szCs w:val="20"/>
              </w:rPr>
              <w:t>相关资产管理制度是否得到有效执行。（0.5分）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制定了资产管理制度，健全资产管理执行，符合法</w:t>
            </w:r>
          </w:p>
          <w:p>
            <w:pPr>
              <w:widowControl/>
              <w:jc w:val="left"/>
              <w:rPr>
                <w:rFonts w:ascii="宋体" w:hAnsi="宋体"/>
                <w:kern w:val="0"/>
                <w:sz w:val="20"/>
                <w:szCs w:val="20"/>
              </w:rPr>
            </w:pPr>
            <w:r>
              <w:rPr>
                <w:rFonts w:hint="eastAsia" w:ascii="宋体" w:hAnsi="宋体"/>
                <w:kern w:val="0"/>
                <w:sz w:val="20"/>
                <w:szCs w:val="20"/>
              </w:rPr>
              <w:t>律法</w:t>
            </w:r>
            <w:r>
              <w:rPr>
                <w:rFonts w:hint="eastAsia" w:ascii="宋体" w:hAnsi="宋体"/>
                <w:sz w:val="20"/>
                <w:szCs w:val="20"/>
              </w:rPr>
              <w:t>规要求。</w:t>
            </w:r>
          </w:p>
        </w:tc>
      </w:tr>
      <w:tr>
        <w:tblPrEx>
          <w:tblCellMar>
            <w:top w:w="0" w:type="dxa"/>
            <w:left w:w="108" w:type="dxa"/>
            <w:bottom w:w="0" w:type="dxa"/>
            <w:right w:w="108" w:type="dxa"/>
          </w:tblCellMar>
        </w:tblPrEx>
        <w:trPr>
          <w:trHeight w:val="2198"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资产管理安全性（2分）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部门（单位）的资产是否保存完整、使用合规、配置合理、处置规范、收入及时足额上缴，用以反映和考核部门（单位）资产安全运行情况。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资产保存是否完整；（0.4分）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资产配置是否合理；（0.4分）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资产处置是否规范；（0.4分）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资产账务管理是否合规，是否</w:t>
            </w:r>
            <w:r>
              <w:rPr>
                <w:rFonts w:hint="eastAsia" w:ascii="宋体" w:hAnsi="宋体"/>
                <w:kern w:val="0"/>
                <w:sz w:val="20"/>
                <w:szCs w:val="20"/>
                <w:lang w:eastAsia="zh-CN"/>
              </w:rPr>
              <w:t>账实相符</w:t>
            </w:r>
            <w:r>
              <w:rPr>
                <w:rFonts w:ascii="宋体" w:hAnsi="宋体"/>
                <w:kern w:val="0"/>
                <w:sz w:val="20"/>
                <w:szCs w:val="20"/>
              </w:rPr>
              <w:t>；（0.4分）</w:t>
            </w:r>
            <w:r>
              <w:rPr>
                <w:rFonts w:ascii="宋体" w:hAnsi="宋体"/>
                <w:kern w:val="0"/>
                <w:sz w:val="20"/>
                <w:szCs w:val="20"/>
              </w:rPr>
              <w:br w:type="textWrapping"/>
            </w:r>
            <w:r>
              <w:rPr>
                <w:rFonts w:hint="eastAsia" w:ascii="宋体" w:hAnsi="宋体" w:cs="宋体"/>
                <w:kern w:val="0"/>
                <w:sz w:val="20"/>
                <w:szCs w:val="20"/>
              </w:rPr>
              <w:t>⑤</w:t>
            </w:r>
            <w:r>
              <w:rPr>
                <w:rFonts w:ascii="宋体" w:hAnsi="宋体"/>
                <w:kern w:val="0"/>
                <w:sz w:val="20"/>
                <w:szCs w:val="20"/>
              </w:rPr>
              <w:t>资产是否有偿使用及处置收入及时足额上缴。（0.4分）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建立了资产管理台账，专人管理，资产登记有台账，</w:t>
            </w:r>
          </w:p>
          <w:p>
            <w:pPr>
              <w:widowControl/>
              <w:jc w:val="left"/>
              <w:rPr>
                <w:rFonts w:ascii="宋体" w:hAnsi="宋体"/>
                <w:kern w:val="0"/>
                <w:sz w:val="20"/>
                <w:szCs w:val="20"/>
              </w:rPr>
            </w:pPr>
            <w:r>
              <w:rPr>
                <w:rFonts w:hint="eastAsia" w:ascii="宋体" w:hAnsi="宋体"/>
                <w:kern w:val="0"/>
                <w:sz w:val="20"/>
                <w:szCs w:val="20"/>
              </w:rPr>
              <w:t>做</w:t>
            </w:r>
            <w:r>
              <w:rPr>
                <w:rFonts w:hint="eastAsia" w:ascii="宋体" w:hAnsi="宋体"/>
                <w:sz w:val="20"/>
                <w:szCs w:val="20"/>
              </w:rPr>
              <w:t>到账实相符。</w:t>
            </w:r>
          </w:p>
        </w:tc>
      </w:tr>
      <w:tr>
        <w:tblPrEx>
          <w:tblCellMar>
            <w:top w:w="0" w:type="dxa"/>
            <w:left w:w="108" w:type="dxa"/>
            <w:bottom w:w="0" w:type="dxa"/>
            <w:right w:w="108" w:type="dxa"/>
          </w:tblCellMar>
        </w:tblPrEx>
        <w:trPr>
          <w:trHeight w:val="1691"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固定资产利用率（1分）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部门（单位）实际在用固定资产总额与所有固定资产总额的比率，用以反映和考核部门（单位）固定资产使用效率程度。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固定资产利用率=（实际在用固定资产总额/所有固定资产总额）×100%。（利用率为100%的计1分，每降1个百分点扣0.1分，扣完为止）</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ascii="宋体" w:hAnsi="宋体"/>
                <w:kern w:val="0"/>
                <w:sz w:val="24"/>
              </w:rPr>
              <w:t>　</w:t>
            </w:r>
            <w:r>
              <w:rPr>
                <w:rFonts w:hint="eastAsia" w:ascii="宋体" w:hAnsi="宋体"/>
                <w:kern w:val="0"/>
                <w:sz w:val="20"/>
                <w:szCs w:val="20"/>
              </w:rPr>
              <w:t>固定资产采购是根据单位需要采购资产，做到物</w:t>
            </w:r>
          </w:p>
          <w:p>
            <w:pPr>
              <w:widowControl/>
              <w:jc w:val="left"/>
              <w:rPr>
                <w:rFonts w:hint="eastAsia" w:ascii="宋体" w:hAnsi="宋体"/>
                <w:kern w:val="0"/>
                <w:sz w:val="20"/>
                <w:szCs w:val="20"/>
              </w:rPr>
            </w:pPr>
            <w:r>
              <w:rPr>
                <w:rFonts w:hint="eastAsia" w:ascii="宋体" w:hAnsi="宋体"/>
                <w:kern w:val="0"/>
                <w:sz w:val="20"/>
                <w:szCs w:val="20"/>
              </w:rPr>
              <w:t>有所用，充分体现固定资产使用价值。</w:t>
            </w:r>
          </w:p>
          <w:p>
            <w:pPr>
              <w:widowControl/>
              <w:jc w:val="left"/>
              <w:rPr>
                <w:rFonts w:ascii="宋体" w:hAnsi="宋体"/>
                <w:kern w:val="0"/>
                <w:sz w:val="20"/>
                <w:szCs w:val="20"/>
              </w:rPr>
            </w:pPr>
          </w:p>
        </w:tc>
      </w:tr>
      <w:tr>
        <w:tblPrEx>
          <w:tblCellMar>
            <w:top w:w="0" w:type="dxa"/>
            <w:left w:w="108" w:type="dxa"/>
            <w:bottom w:w="0" w:type="dxa"/>
            <w:right w:w="108" w:type="dxa"/>
          </w:tblCellMar>
        </w:tblPrEx>
        <w:trPr>
          <w:trHeight w:val="2821" w:hRule="atLeast"/>
        </w:trPr>
        <w:tc>
          <w:tcPr>
            <w:tcW w:w="308"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产 出（30分）</w:t>
            </w: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职责履行（30分）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实际完成率（8分）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部门（单位）履行职责而实际完成工作数与计划工作数的比率，用以反映和考核部门（单位）履职工作任务目标的实现程度。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实际完成率=（实际完成工作数/计划工作数）×100%。（实际得分=实际工作完成率*8分）</w:t>
            </w:r>
            <w:r>
              <w:rPr>
                <w:rFonts w:ascii="宋体" w:hAnsi="宋体"/>
                <w:kern w:val="0"/>
                <w:sz w:val="20"/>
                <w:szCs w:val="20"/>
              </w:rPr>
              <w:br w:type="textWrapping"/>
            </w:r>
            <w:r>
              <w:rPr>
                <w:rFonts w:ascii="宋体" w:hAnsi="宋体"/>
                <w:kern w:val="0"/>
                <w:sz w:val="20"/>
                <w:szCs w:val="20"/>
              </w:rPr>
              <w:t>实际完成工作数：一定时期（年度或规划期）内部门（单位）实际完成工作任务的数量。</w:t>
            </w:r>
            <w:r>
              <w:rPr>
                <w:rFonts w:ascii="宋体" w:hAnsi="宋体"/>
                <w:kern w:val="0"/>
                <w:sz w:val="20"/>
                <w:szCs w:val="20"/>
              </w:rPr>
              <w:br w:type="textWrapping"/>
            </w:r>
            <w:r>
              <w:rPr>
                <w:rFonts w:ascii="宋体" w:hAnsi="宋体"/>
                <w:kern w:val="0"/>
                <w:sz w:val="20"/>
                <w:szCs w:val="20"/>
              </w:rPr>
              <w:t>计划工作数：部门（单位）整体绩效目标确定的一定时期（年度或规划期）内预计完成工作任务的数量。</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8</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根据年计划要求，逐项完成，完成率达100%</w:t>
            </w:r>
          </w:p>
        </w:tc>
      </w:tr>
      <w:tr>
        <w:tblPrEx>
          <w:tblCellMar>
            <w:top w:w="0" w:type="dxa"/>
            <w:left w:w="108" w:type="dxa"/>
            <w:bottom w:w="0" w:type="dxa"/>
            <w:right w:w="108" w:type="dxa"/>
          </w:tblCellMar>
        </w:tblPrEx>
        <w:trPr>
          <w:trHeight w:val="1732" w:hRule="atLeast"/>
        </w:trPr>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完成及时率（4分）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部门（单位）在规定时限内及时完成的实际工作数与计划工作数的比率,用以反映和考核部门履职时效目标的实现程度。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完成及时率=（及时完成实际工作数/计划工作数）×100%。（1--4季度各得1分）</w:t>
            </w:r>
            <w:r>
              <w:rPr>
                <w:rFonts w:ascii="宋体" w:hAnsi="宋体"/>
                <w:kern w:val="0"/>
                <w:sz w:val="20"/>
                <w:szCs w:val="20"/>
              </w:rPr>
              <w:br w:type="textWrapping"/>
            </w:r>
            <w:r>
              <w:rPr>
                <w:rFonts w:ascii="宋体" w:hAnsi="宋体"/>
                <w:kern w:val="0"/>
                <w:sz w:val="20"/>
                <w:szCs w:val="20"/>
              </w:rPr>
              <w:t>及时完成实际工作数：部门（单位）按照整体绩效目标确定的时限实际完成的工作任务数量。</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4</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制定工作计划，按时完成工作任务，完成及时率</w:t>
            </w:r>
          </w:p>
          <w:p>
            <w:pPr>
              <w:widowControl/>
              <w:jc w:val="left"/>
              <w:rPr>
                <w:rFonts w:ascii="宋体" w:hAnsi="宋体"/>
                <w:kern w:val="0"/>
                <w:sz w:val="20"/>
                <w:szCs w:val="20"/>
              </w:rPr>
            </w:pPr>
            <w:r>
              <w:rPr>
                <w:rFonts w:hint="eastAsia" w:ascii="宋体" w:hAnsi="宋体"/>
                <w:kern w:val="0"/>
                <w:sz w:val="20"/>
                <w:szCs w:val="20"/>
              </w:rPr>
              <w:t>为100%</w:t>
            </w:r>
          </w:p>
        </w:tc>
      </w:tr>
      <w:tr>
        <w:tblPrEx>
          <w:tblCellMar>
            <w:top w:w="0" w:type="dxa"/>
            <w:left w:w="108" w:type="dxa"/>
            <w:bottom w:w="0" w:type="dxa"/>
            <w:right w:w="108" w:type="dxa"/>
          </w:tblCellMar>
        </w:tblPrEx>
        <w:trPr>
          <w:trHeight w:val="2267" w:hRule="atLeast"/>
        </w:trPr>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质量达标率（8分）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达到质量标准（绩效标准值）的实际工作数与计划工作数的比率,用以反映和考核部门履职质量目标的实现程度。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质量达标率=（质量达标实际工作数/计划工作数）×100%。（实际得分=达标率*8分）</w:t>
            </w:r>
            <w:r>
              <w:rPr>
                <w:rFonts w:ascii="宋体" w:hAnsi="宋体"/>
                <w:kern w:val="0"/>
                <w:sz w:val="20"/>
                <w:szCs w:val="20"/>
              </w:rPr>
              <w:br w:type="textWrapping"/>
            </w:r>
            <w:r>
              <w:rPr>
                <w:rFonts w:ascii="宋体" w:hAnsi="宋体"/>
                <w:kern w:val="0"/>
                <w:sz w:val="20"/>
                <w:szCs w:val="20"/>
              </w:rPr>
              <w:t>质量达标实际工作数：一定时期（年度或规划期）内部门（单位）实际完成工作数中达到部门绩效目标要求（绩效标准值）的工作任务数量。</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7</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根据年初制定工作数量，年终逐项完成。完成数量</w:t>
            </w:r>
          </w:p>
          <w:p>
            <w:pPr>
              <w:widowControl/>
              <w:jc w:val="left"/>
              <w:rPr>
                <w:rFonts w:ascii="宋体" w:hAnsi="宋体"/>
                <w:kern w:val="0"/>
                <w:sz w:val="20"/>
                <w:szCs w:val="20"/>
              </w:rPr>
            </w:pPr>
            <w:r>
              <w:rPr>
                <w:rFonts w:hint="eastAsia" w:ascii="宋体" w:hAnsi="宋体"/>
                <w:sz w:val="20"/>
                <w:szCs w:val="20"/>
              </w:rPr>
              <w:t>达95%</w:t>
            </w:r>
          </w:p>
        </w:tc>
      </w:tr>
      <w:tr>
        <w:tblPrEx>
          <w:tblCellMar>
            <w:top w:w="0" w:type="dxa"/>
            <w:left w:w="108" w:type="dxa"/>
            <w:bottom w:w="0" w:type="dxa"/>
            <w:right w:w="108" w:type="dxa"/>
          </w:tblCellMar>
        </w:tblPrEx>
        <w:trPr>
          <w:trHeight w:val="1867" w:hRule="atLeast"/>
        </w:trPr>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重点工作办结率（10分）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部门（单位）年度重点工作实际完成数与交办或下达数的比率，用以反映部门（单位）对重点工作的办理落实程度。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重点工作办结率=（重点工作实际完成数/交办或下达数）×100%。（实际得分=办结率*10分）</w:t>
            </w:r>
            <w:r>
              <w:rPr>
                <w:rFonts w:ascii="宋体" w:hAnsi="宋体"/>
                <w:kern w:val="0"/>
                <w:sz w:val="20"/>
                <w:szCs w:val="20"/>
              </w:rPr>
              <w:br w:type="textWrapping"/>
            </w:r>
            <w:r>
              <w:rPr>
                <w:rFonts w:ascii="宋体" w:hAnsi="宋体"/>
                <w:kern w:val="0"/>
                <w:sz w:val="20"/>
                <w:szCs w:val="20"/>
              </w:rPr>
              <w:t>重点工作是指党委、政府、人大、相关部门交办或下达的工作任务。</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9</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4"/>
              </w:rPr>
              <w:t>　</w:t>
            </w:r>
            <w:r>
              <w:rPr>
                <w:rFonts w:hint="eastAsia" w:ascii="宋体" w:hAnsi="宋体"/>
                <w:kern w:val="0"/>
                <w:sz w:val="20"/>
                <w:szCs w:val="20"/>
              </w:rPr>
              <w:t>上级下达重点工作任务，单位按要求</w:t>
            </w:r>
            <w:r>
              <w:rPr>
                <w:rFonts w:hint="eastAsia" w:ascii="宋体" w:hAnsi="宋体"/>
                <w:kern w:val="0"/>
                <w:sz w:val="20"/>
                <w:szCs w:val="20"/>
                <w:lang w:eastAsia="zh-CN"/>
              </w:rPr>
              <w:t>圆满完成</w:t>
            </w:r>
            <w:r>
              <w:rPr>
                <w:rFonts w:hint="eastAsia" w:ascii="宋体" w:hAnsi="宋体"/>
                <w:kern w:val="0"/>
                <w:sz w:val="20"/>
                <w:szCs w:val="20"/>
              </w:rPr>
              <w:t>。完</w:t>
            </w:r>
          </w:p>
          <w:p>
            <w:pPr>
              <w:widowControl/>
              <w:jc w:val="left"/>
              <w:rPr>
                <w:rFonts w:ascii="宋体" w:hAnsi="宋体"/>
                <w:kern w:val="0"/>
                <w:sz w:val="20"/>
                <w:szCs w:val="20"/>
              </w:rPr>
            </w:pPr>
            <w:r>
              <w:rPr>
                <w:rFonts w:hint="eastAsia" w:ascii="宋体" w:hAnsi="宋体"/>
                <w:sz w:val="20"/>
                <w:szCs w:val="20"/>
              </w:rPr>
              <w:t>结率达94%</w:t>
            </w:r>
          </w:p>
        </w:tc>
      </w:tr>
      <w:tr>
        <w:tblPrEx>
          <w:tblCellMar>
            <w:top w:w="0" w:type="dxa"/>
            <w:left w:w="108" w:type="dxa"/>
            <w:bottom w:w="0" w:type="dxa"/>
            <w:right w:w="108" w:type="dxa"/>
          </w:tblCellMar>
        </w:tblPrEx>
        <w:trPr>
          <w:trHeight w:val="989" w:hRule="atLeast"/>
        </w:trPr>
        <w:tc>
          <w:tcPr>
            <w:tcW w:w="308"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效 果（20分）</w:t>
            </w:r>
          </w:p>
        </w:tc>
        <w:tc>
          <w:tcPr>
            <w:tcW w:w="24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履职效益（20分）</w:t>
            </w: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经济效益（5分）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部门（单位）履行职责对经济发展所带来的直接或间接影响。</w:t>
            </w:r>
          </w:p>
        </w:tc>
        <w:tc>
          <w:tcPr>
            <w:tcW w:w="115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hint="eastAsia" w:ascii="宋体" w:hAnsi="宋体"/>
                <w:kern w:val="0"/>
                <w:sz w:val="20"/>
                <w:szCs w:val="20"/>
              </w:rPr>
              <w:t>落实了</w:t>
            </w:r>
            <w:r>
              <w:rPr>
                <w:rFonts w:hint="eastAsia" w:ascii="宋体" w:hAnsi="宋体"/>
                <w:kern w:val="0"/>
                <w:sz w:val="20"/>
                <w:szCs w:val="20"/>
                <w:lang w:val="en-US" w:eastAsia="zh-CN"/>
              </w:rPr>
              <w:t>免费开放</w:t>
            </w:r>
            <w:r>
              <w:rPr>
                <w:rFonts w:hint="eastAsia" w:ascii="宋体" w:hAnsi="宋体"/>
                <w:kern w:val="0"/>
                <w:sz w:val="20"/>
                <w:szCs w:val="20"/>
              </w:rPr>
              <w:t>经费及</w:t>
            </w:r>
            <w:r>
              <w:rPr>
                <w:rFonts w:hint="eastAsia" w:ascii="宋体" w:hAnsi="宋体"/>
                <w:kern w:val="0"/>
                <w:sz w:val="20"/>
                <w:szCs w:val="20"/>
                <w:lang w:val="en-US" w:eastAsia="zh-CN"/>
              </w:rPr>
              <w:t>文化文艺创作、演出等专项</w:t>
            </w:r>
            <w:r>
              <w:rPr>
                <w:rFonts w:hint="eastAsia" w:ascii="宋体" w:hAnsi="宋体"/>
                <w:kern w:val="0"/>
                <w:sz w:val="20"/>
                <w:szCs w:val="20"/>
              </w:rPr>
              <w:t>费，确保了</w:t>
            </w:r>
            <w:r>
              <w:rPr>
                <w:rFonts w:hint="eastAsia" w:ascii="宋体" w:hAnsi="宋体"/>
                <w:kern w:val="0"/>
                <w:sz w:val="20"/>
                <w:szCs w:val="20"/>
                <w:lang w:val="en-US" w:eastAsia="zh-CN"/>
              </w:rPr>
              <w:t>全面文化文艺的知晓率和参与度</w:t>
            </w:r>
          </w:p>
        </w:tc>
      </w:tr>
      <w:tr>
        <w:tblPrEx>
          <w:tblCellMar>
            <w:top w:w="0" w:type="dxa"/>
            <w:left w:w="108" w:type="dxa"/>
            <w:bottom w:w="0" w:type="dxa"/>
            <w:right w:w="108" w:type="dxa"/>
          </w:tblCellMar>
        </w:tblPrEx>
        <w:trPr>
          <w:trHeight w:val="1117" w:hRule="atLeast"/>
        </w:trPr>
        <w:tc>
          <w:tcPr>
            <w:tcW w:w="3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社会效益（5分）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部门（单位）履行职责对社会发展所带来的直接或间接影响。</w:t>
            </w:r>
          </w:p>
        </w:tc>
        <w:tc>
          <w:tcPr>
            <w:tcW w:w="115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在经费不足的情况下，保证了完成主要工作。获得较好的社会效益。</w:t>
            </w:r>
          </w:p>
          <w:p>
            <w:pPr>
              <w:widowControl/>
              <w:jc w:val="left"/>
              <w:rPr>
                <w:rFonts w:ascii="宋体" w:hAnsi="宋体"/>
                <w:kern w:val="0"/>
                <w:sz w:val="20"/>
                <w:szCs w:val="20"/>
              </w:rPr>
            </w:pPr>
          </w:p>
        </w:tc>
      </w:tr>
      <w:tr>
        <w:tblPrEx>
          <w:tblCellMar>
            <w:top w:w="0" w:type="dxa"/>
            <w:left w:w="108" w:type="dxa"/>
            <w:bottom w:w="0" w:type="dxa"/>
            <w:right w:w="108" w:type="dxa"/>
          </w:tblCellMar>
        </w:tblPrEx>
        <w:trPr>
          <w:trHeight w:val="991" w:hRule="atLeast"/>
        </w:trPr>
        <w:tc>
          <w:tcPr>
            <w:tcW w:w="3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生态效益（5分）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部门（单位）履行职责对生态环境所带来的直接或间接影响。</w:t>
            </w:r>
          </w:p>
        </w:tc>
        <w:tc>
          <w:tcPr>
            <w:tcW w:w="115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ascii="宋体" w:hAnsi="宋体"/>
                <w:kern w:val="0"/>
                <w:sz w:val="20"/>
                <w:szCs w:val="20"/>
              </w:rPr>
              <w:t>　</w:t>
            </w:r>
            <w:r>
              <w:rPr>
                <w:rFonts w:hint="eastAsia" w:ascii="宋体" w:hAnsi="宋体"/>
                <w:kern w:val="0"/>
                <w:sz w:val="20"/>
                <w:szCs w:val="20"/>
                <w:lang w:val="en-US" w:eastAsia="zh-CN"/>
              </w:rPr>
              <w:t>落实文化职责，强化文化自信，为群众幸福指数的提升创造了条件。</w:t>
            </w:r>
          </w:p>
        </w:tc>
      </w:tr>
      <w:tr>
        <w:tblPrEx>
          <w:tblCellMar>
            <w:top w:w="0" w:type="dxa"/>
            <w:left w:w="108" w:type="dxa"/>
            <w:bottom w:w="0" w:type="dxa"/>
            <w:right w:w="108" w:type="dxa"/>
          </w:tblCellMar>
        </w:tblPrEx>
        <w:trPr>
          <w:trHeight w:val="1687" w:hRule="atLeast"/>
        </w:trPr>
        <w:tc>
          <w:tcPr>
            <w:tcW w:w="3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社会公众或服务对象满意度（5分）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社会公众或部门（单位）的服务对象对部门履职效果的满意程度。</w:t>
            </w:r>
          </w:p>
        </w:tc>
        <w:tc>
          <w:tcPr>
            <w:tcW w:w="115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社会公众或服务对象是指部门（单位）履行职责而影响到的部门、群体或个人。一般采取社会调查的方式。（按收到的服务对象的满意率计算得分）</w:t>
            </w: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4"/>
              </w:rPr>
              <w:t>　</w:t>
            </w:r>
            <w:r>
              <w:rPr>
                <w:rFonts w:hint="eastAsia" w:ascii="宋体" w:hAnsi="宋体"/>
                <w:kern w:val="0"/>
                <w:sz w:val="20"/>
                <w:szCs w:val="20"/>
              </w:rPr>
              <w:t>树立良好工作姿态，全心全意为人民服务，一致受</w:t>
            </w:r>
          </w:p>
          <w:p>
            <w:pPr>
              <w:widowControl/>
              <w:jc w:val="left"/>
              <w:rPr>
                <w:rFonts w:ascii="宋体" w:hAnsi="宋体"/>
                <w:kern w:val="0"/>
                <w:sz w:val="20"/>
                <w:szCs w:val="20"/>
              </w:rPr>
            </w:pPr>
            <w:r>
              <w:rPr>
                <w:rFonts w:hint="eastAsia" w:ascii="宋体" w:hAnsi="宋体"/>
                <w:sz w:val="20"/>
                <w:szCs w:val="20"/>
              </w:rPr>
              <w:t>到上级及当地群众的好评。</w:t>
            </w:r>
          </w:p>
        </w:tc>
      </w:tr>
      <w:tr>
        <w:tblPrEx>
          <w:tblCellMar>
            <w:top w:w="0" w:type="dxa"/>
            <w:left w:w="108" w:type="dxa"/>
            <w:bottom w:w="0" w:type="dxa"/>
            <w:right w:w="108" w:type="dxa"/>
          </w:tblCellMar>
        </w:tblPrEx>
        <w:trPr>
          <w:trHeight w:val="744" w:hRule="atLeast"/>
        </w:trPr>
        <w:tc>
          <w:tcPr>
            <w:tcW w:w="3154"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0"/>
                <w:szCs w:val="20"/>
              </w:rPr>
            </w:pPr>
            <w:r>
              <w:rPr>
                <w:rFonts w:ascii="宋体" w:hAnsi="宋体"/>
              </w:rPr>
              <w:t>合      计</w:t>
            </w: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89.0</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0"/>
                <w:szCs w:val="20"/>
              </w:rPr>
            </w:pPr>
          </w:p>
        </w:tc>
      </w:tr>
    </w:tbl>
    <w:p>
      <w:pPr>
        <w:numPr>
          <w:ilvl w:val="0"/>
          <w:numId w:val="0"/>
        </w:numPr>
        <w:spacing w:line="580" w:lineRule="exact"/>
        <w:ind w:firstLine="640" w:firstLineChars="200"/>
        <w:rPr>
          <w:rFonts w:hint="eastAsia" w:ascii="仿宋" w:hAnsi="仿宋" w:eastAsia="仿宋"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存在问题</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 xml:space="preserve"> 财务制度执行力有待加强，资金使用计划有待细化。</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财政预算资金到位比较迟缓。</w:t>
      </w:r>
    </w:p>
    <w:p>
      <w:pPr>
        <w:numPr>
          <w:ilvl w:val="0"/>
          <w:numId w:val="0"/>
        </w:numPr>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七、改进建议</w:t>
      </w:r>
      <w:bookmarkStart w:id="58" w:name="_Toc17103569"/>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进一步规范财务管理，对本单位当年度的各项工作开展做到心中有数，统筹安排，合理配置。在以后工作中，坚持做到合理安排预算资金，不断完善支出结构，优化资金使用效率，进一步完善预算管理体制。</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(二)</w:t>
      </w:r>
      <w:r>
        <w:rPr>
          <w:rFonts w:hint="eastAsia" w:ascii="仿宋" w:hAnsi="仿宋" w:eastAsia="仿宋" w:cs="仿宋_GB2312"/>
          <w:sz w:val="32"/>
          <w:szCs w:val="32"/>
        </w:rPr>
        <w:t>高度重视政策培训、专业技能培训，建议进一步加大培训投入，采用多种形式组织业务人员通过培训提高工作效</w:t>
      </w:r>
      <w:r>
        <w:rPr>
          <w:rFonts w:hint="eastAsia" w:ascii="仿宋" w:hAnsi="仿宋" w:eastAsia="仿宋" w:cs="仿宋_GB2312"/>
          <w:sz w:val="32"/>
          <w:szCs w:val="32"/>
          <w:lang w:eastAsia="zh-CN"/>
        </w:rPr>
        <w:t>率</w:t>
      </w:r>
      <w:r>
        <w:rPr>
          <w:rFonts w:hint="eastAsia" w:ascii="仿宋" w:hAnsi="仿宋" w:eastAsia="仿宋" w:cs="仿宋_GB2312"/>
          <w:sz w:val="32"/>
          <w:szCs w:val="32"/>
        </w:rPr>
        <w:t>、服务质量；同时，建议通过业务技能大赛、奖惩考核等方式，构建激励约束机制。</w:t>
      </w:r>
    </w:p>
    <w:p>
      <w:pPr>
        <w:pStyle w:val="2"/>
        <w:rPr>
          <w:rFonts w:hint="eastAsia" w:ascii="仿宋" w:hAnsi="仿宋" w:eastAsia="仿宋" w:cs="仿宋_GB2312"/>
          <w:sz w:val="32"/>
          <w:szCs w:val="32"/>
        </w:rPr>
      </w:pPr>
    </w:p>
    <w:p>
      <w:pPr>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4"/>
        <w:rPr>
          <w:rStyle w:val="25"/>
          <w:rFonts w:ascii="仿宋" w:hAnsi="仿宋" w:eastAsia="仿宋"/>
          <w:b w:val="0"/>
          <w:bCs w:val="0"/>
          <w:sz w:val="32"/>
          <w:szCs w:val="32"/>
        </w:rPr>
      </w:pPr>
      <w:r>
        <w:rPr>
          <w:rStyle w:val="25"/>
          <w:rFonts w:hint="eastAsia" w:ascii="仿宋" w:hAnsi="仿宋" w:eastAsia="仿宋"/>
          <w:b w:val="0"/>
          <w:bCs w:val="0"/>
          <w:sz w:val="32"/>
          <w:szCs w:val="32"/>
        </w:rPr>
        <w:t>附件2</w:t>
      </w:r>
      <w:bookmarkEnd w:id="58"/>
    </w:p>
    <w:p>
      <w:pPr>
        <w:pStyle w:val="16"/>
        <w:ind w:firstLine="420"/>
        <w:jc w:val="center"/>
        <w:rPr>
          <w:rFonts w:hint="eastAsia" w:ascii="黑体" w:hAnsi="黑体" w:eastAsia="黑体" w:cs="方正小标宋简体"/>
          <w:sz w:val="44"/>
          <w:szCs w:val="44"/>
          <w:lang w:eastAsia="zh-CN"/>
        </w:rPr>
      </w:pPr>
      <w:r>
        <w:rPr>
          <w:rFonts w:hint="eastAsia" w:ascii="黑体" w:hAnsi="黑体" w:eastAsia="黑体" w:cs="方正小标宋简体"/>
          <w:sz w:val="44"/>
          <w:szCs w:val="44"/>
          <w:lang w:eastAsia="zh-CN"/>
        </w:rPr>
        <w:t>资阳市雁江区文化馆</w:t>
      </w:r>
    </w:p>
    <w:p>
      <w:pPr>
        <w:pStyle w:val="16"/>
        <w:ind w:firstLine="420"/>
        <w:rPr>
          <w:rFonts w:hint="eastAsia" w:ascii="黑体" w:hAnsi="黑体" w:eastAsia="黑体" w:cs="方正小标宋简体"/>
          <w:sz w:val="44"/>
          <w:szCs w:val="44"/>
        </w:rPr>
      </w:pPr>
      <w:r>
        <w:rPr>
          <w:rFonts w:hint="eastAsia" w:ascii="黑体" w:hAnsi="黑体" w:eastAsia="黑体" w:cs="方正小标宋简体"/>
          <w:sz w:val="44"/>
          <w:szCs w:val="44"/>
        </w:rPr>
        <w:t>2021年1--12月项目支出绩效自评报告</w:t>
      </w:r>
    </w:p>
    <w:p>
      <w:pPr>
        <w:pStyle w:val="16"/>
        <w:ind w:firstLine="420"/>
      </w:pPr>
    </w:p>
    <w:p>
      <w:pPr>
        <w:rPr>
          <w:rFonts w:hint="eastAsia" w:ascii="仿宋" w:hAnsi="仿宋" w:eastAsia="仿宋" w:cs="仿宋_GB2312"/>
          <w:sz w:val="32"/>
          <w:szCs w:val="32"/>
        </w:rPr>
      </w:pPr>
      <w:r>
        <w:rPr>
          <w:rFonts w:hint="eastAsia" w:ascii="仿宋" w:hAnsi="仿宋" w:eastAsia="仿宋" w:cs="仿宋_GB2312"/>
          <w:sz w:val="32"/>
          <w:szCs w:val="32"/>
        </w:rPr>
        <w:t>一、部门（单位）概况</w:t>
      </w:r>
    </w:p>
    <w:p>
      <w:pPr>
        <w:rPr>
          <w:rFonts w:hint="eastAsia" w:ascii="仿宋" w:hAnsi="仿宋" w:eastAsia="仿宋" w:cs="仿宋_GB2312"/>
          <w:sz w:val="32"/>
          <w:szCs w:val="32"/>
        </w:rPr>
      </w:pPr>
      <w:r>
        <w:rPr>
          <w:rFonts w:hint="eastAsia" w:ascii="仿宋" w:hAnsi="仿宋" w:eastAsia="仿宋" w:cs="仿宋_GB2312"/>
          <w:sz w:val="32"/>
          <w:szCs w:val="32"/>
        </w:rPr>
        <w:t>（一）机构组成</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本单位属于全额拨款的事业单位，1个机构。</w:t>
      </w:r>
    </w:p>
    <w:p>
      <w:pPr>
        <w:rPr>
          <w:rFonts w:hint="eastAsia" w:ascii="仿宋" w:hAnsi="仿宋" w:eastAsia="仿宋" w:cs="仿宋_GB2312"/>
          <w:sz w:val="32"/>
          <w:szCs w:val="32"/>
        </w:rPr>
      </w:pPr>
      <w:r>
        <w:rPr>
          <w:rFonts w:hint="eastAsia" w:ascii="仿宋" w:hAnsi="仿宋" w:eastAsia="仿宋" w:cs="仿宋_GB2312"/>
          <w:sz w:val="32"/>
          <w:szCs w:val="32"/>
        </w:rPr>
        <w:t>（二）机构职能</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资阳市雁江区文化馆业务工作主要是组织群众文化活动、繁荣群众文化事业、文化宣传、文艺活动组织、群众文艺理论研究、大众科普资料编辑、民族民间文化艺术遗产收集整理与保护。</w:t>
      </w:r>
    </w:p>
    <w:p>
      <w:pPr>
        <w:rPr>
          <w:rFonts w:hint="eastAsia" w:ascii="仿宋" w:hAnsi="仿宋" w:eastAsia="仿宋" w:cs="仿宋_GB2312"/>
          <w:sz w:val="32"/>
          <w:szCs w:val="32"/>
        </w:rPr>
      </w:pPr>
      <w:r>
        <w:rPr>
          <w:rFonts w:hint="eastAsia" w:ascii="仿宋" w:hAnsi="仿宋" w:eastAsia="仿宋" w:cs="仿宋_GB2312"/>
          <w:sz w:val="32"/>
          <w:szCs w:val="32"/>
        </w:rPr>
        <w:t>（三）人员概况</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本单位编制人数19人，年末实有人数18人。</w:t>
      </w:r>
    </w:p>
    <w:p>
      <w:pPr>
        <w:rPr>
          <w:rFonts w:hint="eastAsia" w:ascii="仿宋" w:hAnsi="仿宋" w:eastAsia="仿宋" w:cs="仿宋_GB2312"/>
          <w:sz w:val="32"/>
          <w:szCs w:val="32"/>
        </w:rPr>
      </w:pPr>
      <w:r>
        <w:rPr>
          <w:rFonts w:hint="eastAsia" w:ascii="仿宋" w:hAnsi="仿宋" w:eastAsia="仿宋" w:cs="仿宋_GB2312"/>
          <w:sz w:val="32"/>
          <w:szCs w:val="32"/>
        </w:rPr>
        <w:t>二、项目概况</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本单位项目共计4个（87万），分别为：</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1．免费开放2万元；</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2．文艺创作30万元；</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3．文艺演出40万元；</w:t>
      </w:r>
    </w:p>
    <w:p>
      <w:pPr>
        <w:ind w:firstLine="640" w:firstLineChars="200"/>
        <w:rPr>
          <w:rFonts w:hint="eastAsia"/>
        </w:rPr>
      </w:pPr>
      <w:r>
        <w:rPr>
          <w:rFonts w:hint="eastAsia" w:ascii="仿宋" w:hAnsi="仿宋" w:eastAsia="仿宋" w:cs="仿宋_GB2312"/>
          <w:sz w:val="32"/>
          <w:szCs w:val="32"/>
        </w:rPr>
        <w:t>4．文艺志愿服务15万元。</w:t>
      </w:r>
    </w:p>
    <w:p>
      <w:pPr>
        <w:pStyle w:val="16"/>
        <w:ind w:firstLine="420"/>
        <w:rPr>
          <w:rFonts w:hint="eastAsia"/>
        </w:rPr>
      </w:pPr>
    </w:p>
    <w:p>
      <w:pPr>
        <w:pStyle w:val="16"/>
        <w:ind w:firstLine="420"/>
        <w:rPr>
          <w:rFonts w:hint="eastAsia"/>
        </w:rPr>
        <w:sectPr>
          <w:footerReference r:id="rId6" w:type="default"/>
          <w:pgSz w:w="11906" w:h="16838"/>
          <w:pgMar w:top="1440" w:right="1800" w:bottom="1440" w:left="1800" w:header="851" w:footer="992" w:gutter="0"/>
          <w:pgNumType w:fmt="decimal"/>
          <w:cols w:space="425" w:num="1"/>
          <w:titlePg/>
          <w:docGrid w:type="lines" w:linePitch="312" w:charSpace="0"/>
        </w:sectPr>
      </w:pPr>
    </w:p>
    <w:p>
      <w:pPr>
        <w:spacing w:line="620" w:lineRule="exact"/>
        <w:jc w:val="center"/>
        <w:rPr>
          <w:rFonts w:ascii="宋体" w:hAnsi="宋体" w:eastAsia="方正小标宋简体"/>
          <w:bCs/>
          <w:kern w:val="0"/>
          <w:sz w:val="40"/>
          <w:szCs w:val="40"/>
        </w:rPr>
      </w:pPr>
      <w:bookmarkStart w:id="59" w:name="_Toc17103570"/>
      <w:r>
        <w:rPr>
          <w:rFonts w:ascii="宋体" w:hAnsi="宋体" w:eastAsia="方正小标宋简体"/>
          <w:bCs/>
          <w:kern w:val="0"/>
          <w:sz w:val="40"/>
          <w:szCs w:val="40"/>
        </w:rPr>
        <w:t>2021</w:t>
      </w:r>
      <w:r>
        <w:rPr>
          <w:rFonts w:hint="eastAsia" w:ascii="宋体" w:hAnsi="宋体" w:eastAsia="方正小标宋简体"/>
          <w:bCs/>
          <w:kern w:val="0"/>
          <w:sz w:val="40"/>
          <w:szCs w:val="40"/>
        </w:rPr>
        <w:t>年度雁江区项目支出绩效自评计分表</w:t>
      </w:r>
    </w:p>
    <w:p>
      <w:pPr>
        <w:spacing w:line="620" w:lineRule="exact"/>
        <w:jc w:val="center"/>
        <w:rPr>
          <w:rFonts w:ascii="宋体" w:hAnsi="宋体" w:eastAsia="楷体_GB2312"/>
          <w:b/>
          <w:bCs/>
          <w:kern w:val="0"/>
          <w:sz w:val="20"/>
          <w:szCs w:val="20"/>
        </w:rPr>
      </w:pPr>
      <w:r>
        <w:rPr>
          <w:rFonts w:hint="eastAsia" w:ascii="宋体" w:hAnsi="宋体" w:eastAsia="楷体_GB2312"/>
          <w:b/>
          <w:bCs/>
          <w:kern w:val="0"/>
          <w:sz w:val="20"/>
          <w:szCs w:val="20"/>
        </w:rPr>
        <w:t>（</w:t>
      </w:r>
      <w:r>
        <w:rPr>
          <w:rFonts w:hint="eastAsia" w:ascii="宋体" w:hAnsi="宋体" w:eastAsia="楷体_GB2312"/>
          <w:b/>
          <w:bCs/>
          <w:kern w:val="0"/>
          <w:sz w:val="20"/>
          <w:szCs w:val="20"/>
          <w:lang w:val="en-US" w:eastAsia="zh-CN"/>
        </w:rPr>
        <w:t>文艺创作、文艺演出、志愿服务、免费开放</w:t>
      </w:r>
      <w:r>
        <w:rPr>
          <w:rFonts w:hint="eastAsia" w:ascii="宋体" w:hAnsi="宋体" w:eastAsia="楷体_GB2312"/>
          <w:b/>
          <w:bCs/>
          <w:kern w:val="0"/>
          <w:sz w:val="20"/>
          <w:szCs w:val="20"/>
        </w:rPr>
        <w:t>）</w:t>
      </w:r>
    </w:p>
    <w:p>
      <w:pPr>
        <w:spacing w:line="620" w:lineRule="exact"/>
        <w:rPr>
          <w:rFonts w:ascii="宋体" w:hAnsi="宋体" w:eastAsia="方正黑体简体"/>
          <w:sz w:val="32"/>
          <w:szCs w:val="32"/>
        </w:rPr>
      </w:pPr>
      <w:r>
        <w:rPr>
          <w:rFonts w:hint="eastAsia" w:ascii="宋体" w:hAnsi="宋体" w:eastAsia="楷体_GB2312"/>
          <w:b/>
          <w:bCs/>
          <w:kern w:val="0"/>
          <w:sz w:val="20"/>
          <w:szCs w:val="20"/>
        </w:rPr>
        <w:t>预算单位名称：雁江区</w:t>
      </w:r>
      <w:r>
        <w:rPr>
          <w:rFonts w:hint="eastAsia" w:ascii="宋体" w:hAnsi="宋体" w:eastAsia="楷体_GB2312"/>
          <w:b/>
          <w:bCs/>
          <w:kern w:val="0"/>
          <w:sz w:val="20"/>
          <w:szCs w:val="20"/>
          <w:lang w:val="en-US" w:eastAsia="zh-CN"/>
        </w:rPr>
        <w:t>文化馆</w:t>
      </w:r>
      <w:r>
        <w:rPr>
          <w:rFonts w:ascii="宋体" w:hAnsi="宋体" w:eastAsia="楷体_GB2312"/>
          <w:b/>
          <w:bCs/>
          <w:kern w:val="0"/>
          <w:sz w:val="20"/>
          <w:szCs w:val="20"/>
        </w:rPr>
        <w:t xml:space="preserve">         </w:t>
      </w:r>
      <w:r>
        <w:rPr>
          <w:rFonts w:hint="eastAsia" w:ascii="宋体" w:hAnsi="宋体" w:eastAsia="楷体_GB2312"/>
          <w:b/>
          <w:bCs/>
          <w:kern w:val="0"/>
          <w:sz w:val="20"/>
          <w:szCs w:val="20"/>
        </w:rPr>
        <w:t>预算单位编码：</w:t>
      </w:r>
      <w:r>
        <w:rPr>
          <w:rFonts w:ascii="宋体" w:hAnsi="宋体" w:eastAsia="楷体_GB2312"/>
          <w:b/>
          <w:bCs/>
          <w:kern w:val="0"/>
          <w:sz w:val="20"/>
          <w:szCs w:val="20"/>
        </w:rPr>
        <w:t>16</w:t>
      </w:r>
      <w:r>
        <w:rPr>
          <w:rFonts w:hint="eastAsia" w:ascii="宋体" w:hAnsi="宋体" w:eastAsia="楷体_GB2312"/>
          <w:b/>
          <w:bCs/>
          <w:kern w:val="0"/>
          <w:sz w:val="20"/>
          <w:szCs w:val="20"/>
          <w:lang w:val="en-US" w:eastAsia="zh-CN"/>
        </w:rPr>
        <w:t>6001</w:t>
      </w:r>
      <w:r>
        <w:rPr>
          <w:rFonts w:ascii="宋体" w:hAnsi="宋体" w:eastAsia="楷体_GB2312"/>
          <w:b/>
          <w:bCs/>
          <w:kern w:val="0"/>
          <w:sz w:val="20"/>
          <w:szCs w:val="20"/>
        </w:rPr>
        <w:t xml:space="preserve">            </w:t>
      </w:r>
      <w:r>
        <w:rPr>
          <w:rFonts w:hint="eastAsia" w:ascii="宋体" w:hAnsi="宋体" w:eastAsia="楷体_GB2312"/>
          <w:b/>
          <w:bCs/>
          <w:kern w:val="0"/>
          <w:sz w:val="20"/>
          <w:szCs w:val="20"/>
        </w:rPr>
        <w:t>自评等级：良</w:t>
      </w:r>
    </w:p>
    <w:tbl>
      <w:tblPr>
        <w:tblStyle w:val="12"/>
        <w:tblW w:w="5145"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616"/>
        <w:gridCol w:w="616"/>
        <w:gridCol w:w="1452"/>
        <w:gridCol w:w="3188"/>
        <w:gridCol w:w="69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29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一级</w:t>
            </w:r>
          </w:p>
          <w:p>
            <w:pPr>
              <w:widowControl/>
              <w:jc w:val="center"/>
              <w:rPr>
                <w:rFonts w:ascii="宋体"/>
                <w:b/>
                <w:bCs/>
                <w:kern w:val="0"/>
                <w:sz w:val="20"/>
                <w:szCs w:val="20"/>
              </w:rPr>
            </w:pPr>
            <w:r>
              <w:rPr>
                <w:rFonts w:hint="eastAsia" w:ascii="宋体" w:hAnsi="宋体"/>
                <w:b/>
                <w:bCs/>
                <w:kern w:val="0"/>
                <w:sz w:val="20"/>
                <w:szCs w:val="20"/>
              </w:rPr>
              <w:t>指标</w:t>
            </w:r>
          </w:p>
        </w:tc>
        <w:tc>
          <w:tcPr>
            <w:tcW w:w="357"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二级</w:t>
            </w:r>
          </w:p>
          <w:p>
            <w:pPr>
              <w:widowControl/>
              <w:jc w:val="center"/>
              <w:rPr>
                <w:rFonts w:ascii="宋体"/>
                <w:b/>
                <w:bCs/>
                <w:kern w:val="0"/>
                <w:sz w:val="20"/>
                <w:szCs w:val="20"/>
              </w:rPr>
            </w:pPr>
            <w:r>
              <w:rPr>
                <w:rFonts w:hint="eastAsia" w:ascii="宋体" w:hAnsi="宋体"/>
                <w:b/>
                <w:bCs/>
                <w:kern w:val="0"/>
                <w:sz w:val="20"/>
                <w:szCs w:val="20"/>
              </w:rPr>
              <w:t>指标</w:t>
            </w:r>
          </w:p>
        </w:tc>
        <w:tc>
          <w:tcPr>
            <w:tcW w:w="357"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三级</w:t>
            </w:r>
          </w:p>
          <w:p>
            <w:pPr>
              <w:widowControl/>
              <w:jc w:val="center"/>
              <w:rPr>
                <w:rFonts w:ascii="宋体"/>
                <w:b/>
                <w:bCs/>
                <w:kern w:val="0"/>
                <w:sz w:val="20"/>
                <w:szCs w:val="20"/>
              </w:rPr>
            </w:pPr>
            <w:r>
              <w:rPr>
                <w:rFonts w:hint="eastAsia" w:ascii="宋体" w:hAnsi="宋体"/>
                <w:b/>
                <w:bCs/>
                <w:kern w:val="0"/>
                <w:sz w:val="20"/>
                <w:szCs w:val="20"/>
              </w:rPr>
              <w:t>指标</w:t>
            </w:r>
          </w:p>
        </w:tc>
        <w:tc>
          <w:tcPr>
            <w:tcW w:w="83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指标解释</w:t>
            </w:r>
          </w:p>
        </w:tc>
        <w:tc>
          <w:tcPr>
            <w:tcW w:w="182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指标说明（评价计分标准）</w:t>
            </w:r>
          </w:p>
        </w:tc>
        <w:tc>
          <w:tcPr>
            <w:tcW w:w="37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自评</w:t>
            </w:r>
          </w:p>
          <w:p>
            <w:pPr>
              <w:widowControl/>
              <w:jc w:val="center"/>
              <w:rPr>
                <w:rFonts w:ascii="宋体"/>
                <w:b/>
                <w:bCs/>
                <w:kern w:val="0"/>
                <w:sz w:val="20"/>
                <w:szCs w:val="20"/>
              </w:rPr>
            </w:pPr>
            <w:r>
              <w:rPr>
                <w:rFonts w:hint="eastAsia" w:ascii="宋体" w:hAnsi="宋体"/>
                <w:b/>
                <w:bCs/>
                <w:kern w:val="0"/>
                <w:sz w:val="20"/>
                <w:szCs w:val="20"/>
              </w:rPr>
              <w:t>分数</w:t>
            </w:r>
          </w:p>
        </w:tc>
        <w:tc>
          <w:tcPr>
            <w:tcW w:w="961"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投</w:t>
            </w:r>
            <w:r>
              <w:rPr>
                <w:rFonts w:ascii="宋体" w:hAnsi="宋体"/>
                <w:kern w:val="0"/>
                <w:sz w:val="20"/>
                <w:szCs w:val="20"/>
              </w:rPr>
              <w:t xml:space="preserve">   </w:t>
            </w:r>
            <w:r>
              <w:rPr>
                <w:rFonts w:hint="eastAsia" w:ascii="宋体" w:hAnsi="宋体"/>
                <w:kern w:val="0"/>
                <w:sz w:val="20"/>
                <w:szCs w:val="20"/>
              </w:rPr>
              <w:t>入（</w:t>
            </w:r>
            <w:r>
              <w:rPr>
                <w:rFonts w:ascii="宋体" w:hAnsi="宋体"/>
                <w:kern w:val="0"/>
                <w:sz w:val="20"/>
                <w:szCs w:val="20"/>
              </w:rPr>
              <w:t>25</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项目</w:t>
            </w:r>
          </w:p>
          <w:p>
            <w:pPr>
              <w:widowControl/>
              <w:jc w:val="center"/>
              <w:rPr>
                <w:rFonts w:ascii="宋体"/>
                <w:kern w:val="0"/>
                <w:sz w:val="20"/>
                <w:szCs w:val="20"/>
              </w:rPr>
            </w:pPr>
            <w:r>
              <w:rPr>
                <w:rFonts w:hint="eastAsia" w:ascii="宋体" w:hAnsi="宋体"/>
                <w:kern w:val="0"/>
                <w:sz w:val="20"/>
                <w:szCs w:val="20"/>
              </w:rPr>
              <w:t>立项（</w:t>
            </w:r>
            <w:r>
              <w:rPr>
                <w:rFonts w:ascii="宋体" w:hAnsi="宋体"/>
                <w:kern w:val="0"/>
                <w:sz w:val="20"/>
                <w:szCs w:val="20"/>
              </w:rPr>
              <w:t>15</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项目立项规范性（</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项目的申请、设立过程是否符合相关要求，用以反映和考核项目立项的规范情况。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①项目是否按照规定的程序申请设立；（</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②所提交的文件、材料是否符合相关要求；（</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③事前是否已经过必要的可行性研究、专家论证、风险评估、集体决策等。（</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r>
              <w:rPr>
                <w:rFonts w:hint="eastAsia" w:ascii="宋体" w:hAnsi="宋体" w:eastAsia="仿宋"/>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绩效目标合理性（</w:t>
            </w:r>
            <w:r>
              <w:rPr>
                <w:rFonts w:ascii="宋体" w:hAnsi="宋体"/>
                <w:kern w:val="0"/>
                <w:sz w:val="20"/>
                <w:szCs w:val="20"/>
              </w:rPr>
              <w:t>4</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项目所设定的绩效目标是否依据充分，是否符合客观实际，用以反映和考核项目绩效目标与项目实施的相符情况。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①是否符合国家相关法律法规、国民经济发展规划和党委政府决策；（</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②是否与项目实施单位或委托单位职责密切相关；（</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③项目是否为促进事业发展所必需；（</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④项目预期产出效益和效果是否符合正常的业绩水平。（</w:t>
            </w:r>
            <w:r>
              <w:rPr>
                <w:rFonts w:ascii="宋体" w:hAnsi="宋体"/>
                <w:kern w:val="0"/>
                <w:sz w:val="20"/>
                <w:szCs w:val="20"/>
              </w:rPr>
              <w:t>1</w:t>
            </w:r>
            <w:r>
              <w:rPr>
                <w:rFonts w:hint="eastAsia" w:ascii="宋体" w:hAnsi="宋体"/>
                <w:kern w:val="0"/>
                <w:sz w:val="20"/>
                <w:szCs w:val="20"/>
              </w:rPr>
              <w:t>分）</w:t>
            </w:r>
          </w:p>
        </w:tc>
        <w:tc>
          <w:tcPr>
            <w:tcW w:w="374" w:type="pct"/>
            <w:noWrap/>
            <w:vAlign w:val="center"/>
          </w:tcPr>
          <w:p>
            <w:pPr>
              <w:widowControl/>
              <w:jc w:val="left"/>
              <w:rPr>
                <w:rFonts w:ascii="宋体"/>
                <w:kern w:val="0"/>
                <w:sz w:val="24"/>
              </w:rPr>
            </w:pPr>
            <w:r>
              <w:rPr>
                <w:rFonts w:ascii="宋体" w:hAnsi="宋体"/>
                <w:kern w:val="0"/>
                <w:sz w:val="24"/>
              </w:rPr>
              <w:t>4</w:t>
            </w:r>
            <w:r>
              <w:rPr>
                <w:rFonts w:hint="eastAsia" w:ascii="宋体" w:hAnsi="宋体"/>
                <w:kern w:val="0"/>
                <w:sz w:val="24"/>
              </w:rPr>
              <w:t>　</w:t>
            </w:r>
          </w:p>
        </w:tc>
        <w:tc>
          <w:tcPr>
            <w:tcW w:w="961" w:type="pct"/>
            <w:noWrap/>
            <w:vAlign w:val="center"/>
          </w:tcPr>
          <w:p>
            <w:pPr>
              <w:widowControl/>
              <w:jc w:val="left"/>
              <w:rPr>
                <w:rFonts w:ascii="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绩效指标明确性（</w:t>
            </w:r>
            <w:r>
              <w:rPr>
                <w:rFonts w:ascii="宋体" w:hAnsi="宋体"/>
                <w:kern w:val="0"/>
                <w:sz w:val="20"/>
                <w:szCs w:val="20"/>
              </w:rPr>
              <w:t>6</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依据绩效目标设定的绩效指标是否清晰、细化、可衡量等，用以反映和考核项目绩效目标的明细化情况。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①是否将项目绩效目标细化分解为具体的绩效指标；（</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②是否通过清晰、可衡量的指标值予以体现；（</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③是否与项目年度任务数或计划数相对应；（</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④是否与预算确定的项目投资额或资金量相匹配。（</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6</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0" w:type="auto"/>
            <w:vMerge w:val="continue"/>
            <w:vAlign w:val="center"/>
          </w:tcPr>
          <w:p>
            <w:pPr>
              <w:widowControl/>
              <w:jc w:val="left"/>
              <w:rPr>
                <w:rFonts w:ascii="宋体"/>
                <w:kern w:val="0"/>
                <w:sz w:val="20"/>
                <w:szCs w:val="20"/>
              </w:rPr>
            </w:pP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资金</w:t>
            </w:r>
          </w:p>
          <w:p>
            <w:pPr>
              <w:widowControl/>
              <w:jc w:val="center"/>
              <w:rPr>
                <w:rFonts w:ascii="宋体"/>
                <w:kern w:val="0"/>
                <w:sz w:val="20"/>
                <w:szCs w:val="20"/>
              </w:rPr>
            </w:pPr>
            <w:r>
              <w:rPr>
                <w:rFonts w:hint="eastAsia" w:ascii="宋体" w:hAnsi="宋体"/>
                <w:kern w:val="0"/>
                <w:sz w:val="20"/>
                <w:szCs w:val="20"/>
              </w:rPr>
              <w:t>落实（</w:t>
            </w:r>
            <w:r>
              <w:rPr>
                <w:rFonts w:ascii="宋体" w:hAnsi="宋体"/>
                <w:kern w:val="0"/>
                <w:sz w:val="20"/>
                <w:szCs w:val="20"/>
              </w:rPr>
              <w:t>10</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资金到位率（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实际到位资金与计划投入资金的比率，用以反映和考核资金落实情况对项目实施的总体保障程度。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资金到位率</w:t>
            </w:r>
            <w:r>
              <w:rPr>
                <w:rFonts w:ascii="宋体" w:hAnsi="宋体"/>
                <w:kern w:val="0"/>
                <w:sz w:val="20"/>
                <w:szCs w:val="20"/>
              </w:rPr>
              <w:t>=</w:t>
            </w:r>
            <w:r>
              <w:rPr>
                <w:rFonts w:hint="eastAsia" w:ascii="宋体" w:hAnsi="宋体"/>
                <w:kern w:val="0"/>
                <w:sz w:val="20"/>
                <w:szCs w:val="20"/>
              </w:rPr>
              <w:t>（实际到位资金</w:t>
            </w:r>
            <w:r>
              <w:rPr>
                <w:rFonts w:ascii="宋体" w:hAnsi="宋体"/>
                <w:kern w:val="0"/>
                <w:sz w:val="20"/>
                <w:szCs w:val="20"/>
              </w:rPr>
              <w:t>/</w:t>
            </w:r>
            <w:r>
              <w:rPr>
                <w:rFonts w:hint="eastAsia" w:ascii="宋体" w:hAnsi="宋体"/>
                <w:kern w:val="0"/>
                <w:sz w:val="20"/>
                <w:szCs w:val="20"/>
              </w:rPr>
              <w:t>计划投入资金）×</w:t>
            </w:r>
            <w:r>
              <w:rPr>
                <w:rFonts w:ascii="宋体" w:hAnsi="宋体"/>
                <w:kern w:val="0"/>
                <w:sz w:val="20"/>
                <w:szCs w:val="20"/>
              </w:rPr>
              <w:t>100%</w:t>
            </w:r>
            <w:r>
              <w:rPr>
                <w:rFonts w:hint="eastAsia" w:ascii="宋体" w:hAnsi="宋体"/>
                <w:kern w:val="0"/>
                <w:sz w:val="20"/>
                <w:szCs w:val="20"/>
              </w:rPr>
              <w:t>。（达到目标值得</w:t>
            </w:r>
            <w:r>
              <w:rPr>
                <w:rFonts w:ascii="宋体" w:hAnsi="宋体"/>
                <w:kern w:val="0"/>
                <w:sz w:val="20"/>
                <w:szCs w:val="20"/>
              </w:rPr>
              <w:t>5</w:t>
            </w:r>
            <w:r>
              <w:rPr>
                <w:rFonts w:hint="eastAsia" w:ascii="宋体" w:hAnsi="宋体"/>
                <w:kern w:val="0"/>
                <w:sz w:val="20"/>
                <w:szCs w:val="20"/>
              </w:rPr>
              <w:t>分，每少一个百分点扣</w:t>
            </w:r>
            <w:r>
              <w:rPr>
                <w:rFonts w:ascii="宋体" w:hAnsi="宋体"/>
                <w:kern w:val="0"/>
                <w:sz w:val="20"/>
                <w:szCs w:val="20"/>
              </w:rPr>
              <w:t>1</w:t>
            </w:r>
            <w:r>
              <w:rPr>
                <w:rFonts w:hint="eastAsia" w:ascii="宋体" w:hAnsi="宋体"/>
                <w:kern w:val="0"/>
                <w:sz w:val="20"/>
                <w:szCs w:val="20"/>
              </w:rPr>
              <w:t>分，扣完为止）</w:t>
            </w:r>
          </w:p>
          <w:p>
            <w:pPr>
              <w:widowControl/>
              <w:jc w:val="left"/>
              <w:rPr>
                <w:rFonts w:ascii="宋体"/>
                <w:kern w:val="0"/>
                <w:sz w:val="20"/>
                <w:szCs w:val="20"/>
              </w:rPr>
            </w:pPr>
            <w:r>
              <w:rPr>
                <w:rFonts w:hint="eastAsia" w:ascii="宋体" w:hAnsi="宋体"/>
                <w:kern w:val="0"/>
                <w:sz w:val="20"/>
                <w:szCs w:val="20"/>
              </w:rPr>
              <w:t>实际到位资金：一定时期（本年度或项目期）内实际落实到具体项目的资金。</w:t>
            </w:r>
          </w:p>
          <w:p>
            <w:pPr>
              <w:widowControl/>
              <w:jc w:val="left"/>
              <w:rPr>
                <w:rFonts w:ascii="宋体"/>
                <w:kern w:val="0"/>
                <w:sz w:val="20"/>
                <w:szCs w:val="20"/>
              </w:rPr>
            </w:pPr>
            <w:r>
              <w:rPr>
                <w:rFonts w:hint="eastAsia" w:ascii="宋体" w:hAnsi="宋体"/>
                <w:kern w:val="0"/>
                <w:sz w:val="20"/>
                <w:szCs w:val="20"/>
              </w:rPr>
              <w:t>计划投入资金：一定时期（本年度或项目期）内计划投入到具体项目的资金。</w:t>
            </w:r>
          </w:p>
        </w:tc>
        <w:tc>
          <w:tcPr>
            <w:tcW w:w="374" w:type="pct"/>
            <w:noWrap/>
            <w:vAlign w:val="center"/>
          </w:tcPr>
          <w:p>
            <w:pPr>
              <w:widowControl/>
              <w:jc w:val="left"/>
              <w:rPr>
                <w:rFonts w:ascii="宋体"/>
                <w:kern w:val="0"/>
                <w:sz w:val="24"/>
              </w:rPr>
            </w:pPr>
            <w:r>
              <w:rPr>
                <w:rFonts w:ascii="宋体" w:hAnsi="宋体"/>
                <w:kern w:val="0"/>
                <w:sz w:val="24"/>
              </w:rPr>
              <w:t>5</w:t>
            </w:r>
            <w:r>
              <w:rPr>
                <w:rFonts w:hint="eastAsia" w:ascii="宋体" w:hAnsi="宋体"/>
                <w:kern w:val="0"/>
                <w:sz w:val="24"/>
              </w:rPr>
              <w:t>　</w:t>
            </w:r>
          </w:p>
        </w:tc>
        <w:tc>
          <w:tcPr>
            <w:tcW w:w="961" w:type="pct"/>
            <w:noWrap/>
            <w:vAlign w:val="center"/>
          </w:tcPr>
          <w:p>
            <w:pPr>
              <w:widowControl/>
              <w:jc w:val="left"/>
              <w:rPr>
                <w:rFonts w:ascii="宋体" w:hAnsi="宋体"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到位及时率（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及时到位资金与应到位资金的比率，用以反映和考核项目资金落实的及时性程度。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到位及时率</w:t>
            </w:r>
            <w:r>
              <w:rPr>
                <w:rFonts w:ascii="宋体" w:hAnsi="宋体"/>
                <w:kern w:val="0"/>
                <w:sz w:val="20"/>
                <w:szCs w:val="20"/>
              </w:rPr>
              <w:t>=</w:t>
            </w:r>
            <w:r>
              <w:rPr>
                <w:rFonts w:hint="eastAsia" w:ascii="宋体" w:hAnsi="宋体"/>
                <w:kern w:val="0"/>
                <w:sz w:val="20"/>
                <w:szCs w:val="20"/>
              </w:rPr>
              <w:t>（及时到位资金</w:t>
            </w:r>
            <w:r>
              <w:rPr>
                <w:rFonts w:ascii="宋体" w:hAnsi="宋体"/>
                <w:kern w:val="0"/>
                <w:sz w:val="20"/>
                <w:szCs w:val="20"/>
              </w:rPr>
              <w:t>/</w:t>
            </w:r>
            <w:r>
              <w:rPr>
                <w:rFonts w:hint="eastAsia" w:ascii="宋体" w:hAnsi="宋体"/>
                <w:kern w:val="0"/>
                <w:sz w:val="20"/>
                <w:szCs w:val="20"/>
              </w:rPr>
              <w:t>应到位资金）×</w:t>
            </w:r>
            <w:r>
              <w:rPr>
                <w:rFonts w:ascii="宋体" w:hAnsi="宋体"/>
                <w:kern w:val="0"/>
                <w:sz w:val="20"/>
                <w:szCs w:val="20"/>
              </w:rPr>
              <w:t>100%</w:t>
            </w:r>
            <w:r>
              <w:rPr>
                <w:rFonts w:hint="eastAsia" w:ascii="宋体" w:hAnsi="宋体"/>
                <w:kern w:val="0"/>
                <w:sz w:val="20"/>
                <w:szCs w:val="20"/>
              </w:rPr>
              <w:t>。（达到目标值得</w:t>
            </w:r>
            <w:r>
              <w:rPr>
                <w:rFonts w:ascii="宋体" w:hAnsi="宋体"/>
                <w:kern w:val="0"/>
                <w:sz w:val="20"/>
                <w:szCs w:val="20"/>
              </w:rPr>
              <w:t>5</w:t>
            </w:r>
            <w:r>
              <w:rPr>
                <w:rFonts w:hint="eastAsia" w:ascii="宋体" w:hAnsi="宋体"/>
                <w:kern w:val="0"/>
                <w:sz w:val="20"/>
                <w:szCs w:val="20"/>
              </w:rPr>
              <w:t>分，每少一个百分点扣</w:t>
            </w:r>
            <w:r>
              <w:rPr>
                <w:rFonts w:ascii="宋体" w:hAnsi="宋体"/>
                <w:kern w:val="0"/>
                <w:sz w:val="20"/>
                <w:szCs w:val="20"/>
              </w:rPr>
              <w:t>1</w:t>
            </w:r>
            <w:r>
              <w:rPr>
                <w:rFonts w:hint="eastAsia" w:ascii="宋体" w:hAnsi="宋体"/>
                <w:kern w:val="0"/>
                <w:sz w:val="20"/>
                <w:szCs w:val="20"/>
              </w:rPr>
              <w:t>分，扣完为止）</w:t>
            </w:r>
          </w:p>
          <w:p>
            <w:pPr>
              <w:widowControl/>
              <w:jc w:val="left"/>
              <w:rPr>
                <w:rFonts w:ascii="宋体"/>
                <w:kern w:val="0"/>
                <w:sz w:val="20"/>
                <w:szCs w:val="20"/>
              </w:rPr>
            </w:pPr>
            <w:r>
              <w:rPr>
                <w:rFonts w:hint="eastAsia" w:ascii="宋体" w:hAnsi="宋体"/>
                <w:kern w:val="0"/>
                <w:sz w:val="20"/>
                <w:szCs w:val="20"/>
              </w:rPr>
              <w:t>及时到位资金：截至规定时点实际落实到具体项目的资金。</w:t>
            </w:r>
          </w:p>
          <w:p>
            <w:pPr>
              <w:widowControl/>
              <w:jc w:val="left"/>
              <w:rPr>
                <w:rFonts w:ascii="宋体"/>
                <w:kern w:val="0"/>
                <w:sz w:val="20"/>
                <w:szCs w:val="20"/>
              </w:rPr>
            </w:pPr>
            <w:r>
              <w:rPr>
                <w:rFonts w:hint="eastAsia" w:ascii="宋体" w:hAnsi="宋体"/>
                <w:kern w:val="0"/>
                <w:sz w:val="20"/>
                <w:szCs w:val="20"/>
              </w:rPr>
              <w:t>应到位资金：按照合同或项目进度要求截至规定时点应落实到具体项目的资金。</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过</w:t>
            </w:r>
            <w:r>
              <w:rPr>
                <w:rFonts w:ascii="宋体" w:hAnsi="宋体"/>
                <w:kern w:val="0"/>
                <w:sz w:val="20"/>
                <w:szCs w:val="20"/>
              </w:rPr>
              <w:t xml:space="preserve">   </w:t>
            </w:r>
            <w:r>
              <w:rPr>
                <w:rFonts w:hint="eastAsia" w:ascii="宋体" w:hAnsi="宋体"/>
                <w:kern w:val="0"/>
                <w:sz w:val="20"/>
                <w:szCs w:val="20"/>
              </w:rPr>
              <w:t>程（</w:t>
            </w:r>
            <w:r>
              <w:rPr>
                <w:rFonts w:ascii="宋体" w:hAnsi="宋体"/>
                <w:kern w:val="0"/>
                <w:sz w:val="20"/>
                <w:szCs w:val="20"/>
              </w:rPr>
              <w:t>25</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业务</w:t>
            </w:r>
          </w:p>
          <w:p>
            <w:pPr>
              <w:widowControl/>
              <w:jc w:val="center"/>
              <w:rPr>
                <w:rFonts w:ascii="宋体"/>
                <w:kern w:val="0"/>
                <w:sz w:val="20"/>
                <w:szCs w:val="20"/>
              </w:rPr>
            </w:pPr>
            <w:r>
              <w:rPr>
                <w:rFonts w:hint="eastAsia" w:ascii="宋体" w:hAnsi="宋体"/>
                <w:kern w:val="0"/>
                <w:sz w:val="20"/>
                <w:szCs w:val="20"/>
              </w:rPr>
              <w:t>管理（</w:t>
            </w:r>
            <w:r>
              <w:rPr>
                <w:rFonts w:ascii="宋体" w:hAnsi="宋体"/>
                <w:kern w:val="0"/>
                <w:sz w:val="20"/>
                <w:szCs w:val="20"/>
              </w:rPr>
              <w:t>13</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管理制度健全性（</w:t>
            </w:r>
            <w:r>
              <w:rPr>
                <w:rFonts w:ascii="宋体" w:hAnsi="宋体"/>
                <w:kern w:val="0"/>
                <w:sz w:val="20"/>
                <w:szCs w:val="20"/>
              </w:rPr>
              <w:t>4</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项目实施单位的业务管理制度是否健全，用以反映和考核业务管理制度对项目顺利实施的保障情况。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①是否已制定或具有相应的业务管理制度；（</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②业务管理制度是否合法、合规、完整。（</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3</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制度执行有效性（</w:t>
            </w:r>
            <w:r>
              <w:rPr>
                <w:rFonts w:ascii="宋体" w:hAnsi="宋体"/>
                <w:kern w:val="0"/>
                <w:sz w:val="20"/>
                <w:szCs w:val="20"/>
              </w:rPr>
              <w:t>6</w:t>
            </w:r>
            <w:r>
              <w:rPr>
                <w:rFonts w:hint="eastAsia" w:ascii="宋体" w:hAnsi="宋体"/>
                <w:kern w:val="0"/>
                <w:sz w:val="20"/>
                <w:szCs w:val="20"/>
              </w:rPr>
              <w:t>分</w:t>
            </w:r>
            <w:r>
              <w:rPr>
                <w:rFonts w:ascii="宋体" w:hAnsi="宋体"/>
                <w:kern w:val="0"/>
                <w:sz w:val="20"/>
                <w:szCs w:val="20"/>
              </w:rPr>
              <w:t>)</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项目实施是否符合相关业务管理规定，用以反映和考核业务管理制度的有效执行情况。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①是否遵守相关法律法规和业务管理规定；</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②项目调整及支出调整手续是否完备；（</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③项目合同书、验收报告、技术鉴定等资料是否齐全并及时归档；（</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④项目实施的人员条件、场地设备、信息支撑等是否落实到位。（</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项目质量可控性（</w:t>
            </w:r>
            <w:r>
              <w:rPr>
                <w:rFonts w:ascii="宋体" w:hAnsi="宋体"/>
                <w:kern w:val="0"/>
                <w:sz w:val="20"/>
                <w:szCs w:val="20"/>
              </w:rPr>
              <w:t>3</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6"/>
                <w:kern w:val="0"/>
                <w:sz w:val="20"/>
                <w:szCs w:val="20"/>
              </w:rPr>
            </w:pPr>
            <w:r>
              <w:rPr>
                <w:rFonts w:hint="eastAsia" w:ascii="宋体" w:hAnsi="宋体"/>
                <w:spacing w:val="-6"/>
                <w:kern w:val="0"/>
                <w:sz w:val="20"/>
                <w:szCs w:val="20"/>
              </w:rPr>
              <w:t>项目实施单位是否为达到项目质量要求而采取</w:t>
            </w:r>
            <w:r>
              <w:rPr>
                <w:rFonts w:hint="eastAsia" w:ascii="宋体" w:hAnsi="宋体"/>
                <w:spacing w:val="-8"/>
                <w:kern w:val="0"/>
                <w:sz w:val="20"/>
                <w:szCs w:val="20"/>
              </w:rPr>
              <w:t>了必需的措施</w:t>
            </w:r>
            <w:r>
              <w:rPr>
                <w:rFonts w:ascii="宋体" w:hAnsi="宋体"/>
                <w:spacing w:val="-8"/>
                <w:kern w:val="0"/>
                <w:sz w:val="20"/>
                <w:szCs w:val="20"/>
              </w:rPr>
              <w:t>,</w:t>
            </w:r>
            <w:r>
              <w:rPr>
                <w:rFonts w:hint="eastAsia" w:ascii="宋体" w:hAnsi="宋体"/>
                <w:spacing w:val="-8"/>
                <w:kern w:val="0"/>
                <w:sz w:val="20"/>
                <w:szCs w:val="20"/>
              </w:rPr>
              <w:t>用以反映和考核项目实施单位对项目质量的控制情况。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①是否已制定或具有相应的项目质量要求或标准；（</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②是否采取了相应的项目质量检查、验收等必需的控制措施或手段。（</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3</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0" w:type="auto"/>
            <w:vMerge w:val="continue"/>
            <w:vAlign w:val="center"/>
          </w:tcPr>
          <w:p>
            <w:pPr>
              <w:widowControl/>
              <w:jc w:val="left"/>
              <w:rPr>
                <w:rFonts w:ascii="宋体"/>
                <w:kern w:val="0"/>
                <w:sz w:val="20"/>
                <w:szCs w:val="20"/>
              </w:rPr>
            </w:pP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财务</w:t>
            </w:r>
          </w:p>
          <w:p>
            <w:pPr>
              <w:widowControl/>
              <w:jc w:val="center"/>
              <w:rPr>
                <w:rFonts w:ascii="宋体"/>
                <w:kern w:val="0"/>
                <w:sz w:val="20"/>
                <w:szCs w:val="20"/>
              </w:rPr>
            </w:pPr>
            <w:r>
              <w:rPr>
                <w:rFonts w:hint="eastAsia" w:ascii="宋体" w:hAnsi="宋体"/>
                <w:kern w:val="0"/>
                <w:sz w:val="20"/>
                <w:szCs w:val="20"/>
              </w:rPr>
              <w:t>管理（</w:t>
            </w:r>
            <w:r>
              <w:rPr>
                <w:rFonts w:ascii="宋体" w:hAnsi="宋体"/>
                <w:kern w:val="0"/>
                <w:sz w:val="20"/>
                <w:szCs w:val="20"/>
              </w:rPr>
              <w:t>12</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管理制度健全性（</w:t>
            </w:r>
            <w:r>
              <w:rPr>
                <w:rFonts w:ascii="宋体" w:hAnsi="宋体"/>
                <w:kern w:val="0"/>
                <w:sz w:val="20"/>
                <w:szCs w:val="20"/>
              </w:rPr>
              <w:t>3</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6"/>
                <w:kern w:val="0"/>
                <w:sz w:val="20"/>
                <w:szCs w:val="20"/>
              </w:rPr>
            </w:pPr>
            <w:r>
              <w:rPr>
                <w:rFonts w:hint="eastAsia" w:ascii="宋体" w:hAnsi="宋体"/>
                <w:spacing w:val="-6"/>
                <w:kern w:val="0"/>
                <w:sz w:val="20"/>
                <w:szCs w:val="20"/>
              </w:rPr>
              <w:t>项目实施单位的财务制度是否健全，用以反映和考核财务管理制度对资金规范、安全运行的保障情况。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①是否已制定或具有相应的项目资金管理办法；（</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②项目资金管理办法是否符合相关财务会计制度的规定。（</w:t>
            </w:r>
            <w:r>
              <w:rPr>
                <w:rFonts w:ascii="宋体" w:hAnsi="宋体"/>
                <w:kern w:val="0"/>
                <w:sz w:val="20"/>
                <w:szCs w:val="20"/>
              </w:rPr>
              <w:t>1</w:t>
            </w:r>
            <w:r>
              <w:rPr>
                <w:rFonts w:hint="eastAsia" w:ascii="宋体" w:hAnsi="宋体"/>
                <w:kern w:val="0"/>
                <w:sz w:val="20"/>
                <w:szCs w:val="20"/>
              </w:rPr>
              <w:t>分）</w:t>
            </w:r>
          </w:p>
        </w:tc>
        <w:tc>
          <w:tcPr>
            <w:tcW w:w="374" w:type="pct"/>
            <w:noWrap/>
            <w:vAlign w:val="center"/>
          </w:tcPr>
          <w:p>
            <w:pPr>
              <w:widowControl/>
              <w:jc w:val="left"/>
              <w:rPr>
                <w:rFonts w:ascii="宋体"/>
                <w:kern w:val="0"/>
                <w:sz w:val="24"/>
              </w:rPr>
            </w:pPr>
            <w:r>
              <w:rPr>
                <w:rFonts w:ascii="宋体" w:hAnsi="宋体"/>
                <w:kern w:val="0"/>
                <w:sz w:val="24"/>
              </w:rPr>
              <w:t>2</w:t>
            </w:r>
            <w:r>
              <w:rPr>
                <w:rFonts w:hint="eastAsia" w:ascii="宋体" w:hAnsi="宋体"/>
                <w:kern w:val="0"/>
                <w:sz w:val="24"/>
              </w:rPr>
              <w:t>　</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资金使用合规性（</w:t>
            </w:r>
            <w:r>
              <w:rPr>
                <w:rFonts w:ascii="宋体" w:hAnsi="宋体"/>
                <w:kern w:val="0"/>
                <w:sz w:val="20"/>
                <w:szCs w:val="20"/>
              </w:rPr>
              <w:t>7</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项目资金使用是否符合相关的财务管理制度规定，用以反映和考核项目资金的规范运行情况。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①是否符合国家财经法规和财务管理制度以及有关专项资金管理办法的规定；（</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②资金的拨付是否有完整的审批程序和手续；（</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③项目的重大开支是否经过评估认证；（</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④是否符合项目预算批复或合同规定的用途；（</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⑤是否存在截留、挤占、挪用、虚列支出等情况。（</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7</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财务监控有效性（</w:t>
            </w:r>
            <w:r>
              <w:rPr>
                <w:rFonts w:ascii="宋体" w:hAnsi="宋体"/>
                <w:kern w:val="0"/>
                <w:sz w:val="20"/>
                <w:szCs w:val="20"/>
              </w:rPr>
              <w:t>2</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项目实施单位是否为保障资金的安全、规范运行而采取了必要的监控措施，用以反映和考核项目实施单位对资金运行的控制情况。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①是否已制定或具有相应的监控机制；（</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②是否采取了相应的财务检查等必要的监控措施或手段。（</w:t>
            </w:r>
            <w:r>
              <w:rPr>
                <w:rFonts w:ascii="宋体" w:hAnsi="宋体"/>
                <w:kern w:val="0"/>
                <w:sz w:val="20"/>
                <w:szCs w:val="20"/>
              </w:rPr>
              <w:t>1</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2</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产</w:t>
            </w:r>
            <w:r>
              <w:rPr>
                <w:rFonts w:ascii="宋体" w:hAnsi="宋体"/>
                <w:kern w:val="0"/>
                <w:sz w:val="20"/>
                <w:szCs w:val="20"/>
              </w:rPr>
              <w:t xml:space="preserve">   </w:t>
            </w:r>
            <w:r>
              <w:rPr>
                <w:rFonts w:hint="eastAsia" w:ascii="宋体" w:hAnsi="宋体"/>
                <w:kern w:val="0"/>
                <w:sz w:val="20"/>
                <w:szCs w:val="20"/>
              </w:rPr>
              <w:t>出（</w:t>
            </w:r>
            <w:r>
              <w:rPr>
                <w:rFonts w:ascii="宋体" w:hAnsi="宋体"/>
                <w:kern w:val="0"/>
                <w:sz w:val="20"/>
                <w:szCs w:val="20"/>
              </w:rPr>
              <w:t>20</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项目</w:t>
            </w:r>
          </w:p>
          <w:p>
            <w:pPr>
              <w:widowControl/>
              <w:jc w:val="center"/>
              <w:rPr>
                <w:rFonts w:ascii="宋体"/>
                <w:kern w:val="0"/>
                <w:sz w:val="20"/>
                <w:szCs w:val="20"/>
              </w:rPr>
            </w:pPr>
            <w:r>
              <w:rPr>
                <w:rFonts w:hint="eastAsia" w:ascii="宋体" w:hAnsi="宋体"/>
                <w:kern w:val="0"/>
                <w:sz w:val="20"/>
                <w:szCs w:val="20"/>
              </w:rPr>
              <w:t>产出（</w:t>
            </w:r>
            <w:r>
              <w:rPr>
                <w:rFonts w:ascii="宋体" w:hAnsi="宋体"/>
                <w:kern w:val="0"/>
                <w:sz w:val="20"/>
                <w:szCs w:val="20"/>
              </w:rPr>
              <w:t>20</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实际完成率（</w:t>
            </w:r>
            <w:r>
              <w:rPr>
                <w:rFonts w:ascii="宋体" w:hAnsi="宋体"/>
                <w:kern w:val="0"/>
                <w:sz w:val="20"/>
                <w:szCs w:val="20"/>
              </w:rPr>
              <w:t>4</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项目实施的实际产出数与计划产出数的比率，用以反映和考核项目产出数量目标的实现程度。</w:t>
            </w:r>
          </w:p>
        </w:tc>
        <w:tc>
          <w:tcPr>
            <w:tcW w:w="1824" w:type="pct"/>
            <w:shd w:val="clear" w:color="auto" w:fill="FFFFFF"/>
            <w:vAlign w:val="center"/>
          </w:tcPr>
          <w:p>
            <w:pPr>
              <w:widowControl/>
              <w:jc w:val="left"/>
              <w:rPr>
                <w:rFonts w:ascii="宋体"/>
                <w:spacing w:val="-14"/>
                <w:kern w:val="0"/>
                <w:sz w:val="20"/>
                <w:szCs w:val="20"/>
              </w:rPr>
            </w:pPr>
            <w:r>
              <w:rPr>
                <w:rFonts w:hint="eastAsia" w:ascii="宋体" w:hAnsi="宋体"/>
                <w:spacing w:val="-14"/>
                <w:kern w:val="0"/>
                <w:sz w:val="20"/>
                <w:szCs w:val="20"/>
              </w:rPr>
              <w:t>实际完成率</w:t>
            </w:r>
            <w:r>
              <w:rPr>
                <w:rFonts w:ascii="宋体" w:hAnsi="宋体"/>
                <w:spacing w:val="-14"/>
                <w:kern w:val="0"/>
                <w:sz w:val="20"/>
                <w:szCs w:val="20"/>
              </w:rPr>
              <w:t>=</w:t>
            </w:r>
            <w:r>
              <w:rPr>
                <w:rFonts w:hint="eastAsia" w:ascii="宋体" w:hAnsi="宋体"/>
                <w:spacing w:val="-14"/>
                <w:kern w:val="0"/>
                <w:sz w:val="20"/>
                <w:szCs w:val="20"/>
              </w:rPr>
              <w:t>（实际产出数</w:t>
            </w:r>
            <w:r>
              <w:rPr>
                <w:rFonts w:ascii="宋体" w:hAnsi="宋体"/>
                <w:spacing w:val="-14"/>
                <w:kern w:val="0"/>
                <w:sz w:val="20"/>
                <w:szCs w:val="20"/>
              </w:rPr>
              <w:t>/</w:t>
            </w:r>
            <w:r>
              <w:rPr>
                <w:rFonts w:hint="eastAsia" w:ascii="宋体" w:hAnsi="宋体"/>
                <w:spacing w:val="-14"/>
                <w:kern w:val="0"/>
                <w:sz w:val="20"/>
                <w:szCs w:val="20"/>
              </w:rPr>
              <w:t>计划产出数）×</w:t>
            </w:r>
            <w:r>
              <w:rPr>
                <w:rFonts w:ascii="宋体" w:hAnsi="宋体"/>
                <w:spacing w:val="-14"/>
                <w:kern w:val="0"/>
                <w:sz w:val="20"/>
                <w:szCs w:val="20"/>
              </w:rPr>
              <w:t>100%</w:t>
            </w:r>
            <w:r>
              <w:rPr>
                <w:rFonts w:hint="eastAsia" w:ascii="宋体" w:hAnsi="宋体"/>
                <w:spacing w:val="-14"/>
                <w:kern w:val="0"/>
                <w:sz w:val="20"/>
                <w:szCs w:val="20"/>
              </w:rPr>
              <w:t>。（得分</w:t>
            </w:r>
            <w:r>
              <w:rPr>
                <w:rFonts w:ascii="宋体" w:hAnsi="宋体"/>
                <w:spacing w:val="-14"/>
                <w:kern w:val="0"/>
                <w:sz w:val="20"/>
                <w:szCs w:val="20"/>
              </w:rPr>
              <w:t>=</w:t>
            </w:r>
            <w:r>
              <w:rPr>
                <w:rFonts w:hint="eastAsia" w:ascii="宋体" w:hAnsi="宋体"/>
                <w:spacing w:val="-14"/>
                <w:kern w:val="0"/>
                <w:sz w:val="20"/>
                <w:szCs w:val="20"/>
              </w:rPr>
              <w:t>实际完成率</w:t>
            </w:r>
            <w:r>
              <w:rPr>
                <w:rFonts w:ascii="宋体" w:hAnsi="宋体"/>
                <w:spacing w:val="-14"/>
                <w:kern w:val="0"/>
                <w:sz w:val="20"/>
                <w:szCs w:val="20"/>
              </w:rPr>
              <w:t>*4</w:t>
            </w:r>
            <w:r>
              <w:rPr>
                <w:rFonts w:hint="eastAsia" w:ascii="宋体" w:hAnsi="宋体"/>
                <w:spacing w:val="-14"/>
                <w:kern w:val="0"/>
                <w:sz w:val="20"/>
                <w:szCs w:val="20"/>
              </w:rPr>
              <w:t>分）</w:t>
            </w:r>
          </w:p>
          <w:p>
            <w:pPr>
              <w:widowControl/>
              <w:jc w:val="left"/>
              <w:rPr>
                <w:rFonts w:ascii="宋体"/>
                <w:spacing w:val="-14"/>
                <w:kern w:val="0"/>
                <w:sz w:val="20"/>
                <w:szCs w:val="20"/>
              </w:rPr>
            </w:pPr>
            <w:r>
              <w:rPr>
                <w:rFonts w:hint="eastAsia" w:ascii="宋体" w:hAnsi="宋体"/>
                <w:spacing w:val="-14"/>
                <w:kern w:val="0"/>
                <w:sz w:val="20"/>
                <w:szCs w:val="20"/>
              </w:rPr>
              <w:t>实际产出数：一定时期（本年度或项目期）内项目实际产出的产品或提供的服务数量。</w:t>
            </w:r>
          </w:p>
          <w:p>
            <w:pPr>
              <w:widowControl/>
              <w:jc w:val="left"/>
              <w:rPr>
                <w:rFonts w:ascii="宋体"/>
                <w:kern w:val="0"/>
                <w:sz w:val="20"/>
                <w:szCs w:val="20"/>
              </w:rPr>
            </w:pPr>
            <w:r>
              <w:rPr>
                <w:rFonts w:hint="eastAsia" w:ascii="宋体" w:hAnsi="宋体"/>
                <w:kern w:val="0"/>
                <w:sz w:val="20"/>
                <w:szCs w:val="20"/>
              </w:rPr>
              <w:t>计划产出数：项目绩效目标确定的在一定时期（本年度或项目期）内计划产出的产品或提供的服务数量。</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完成及时率（</w:t>
            </w:r>
            <w:r>
              <w:rPr>
                <w:rFonts w:ascii="宋体" w:hAnsi="宋体"/>
                <w:kern w:val="0"/>
                <w:sz w:val="20"/>
                <w:szCs w:val="20"/>
              </w:rPr>
              <w:t>6</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项目实际提前完成时间与计划完成时间的比率，用以反映和考核项目产出时效目标的实现程度。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完成及时率</w:t>
            </w:r>
            <w:r>
              <w:rPr>
                <w:rFonts w:ascii="宋体" w:hAnsi="宋体"/>
                <w:kern w:val="0"/>
                <w:sz w:val="20"/>
                <w:szCs w:val="20"/>
              </w:rPr>
              <w:t>=[</w:t>
            </w:r>
            <w:r>
              <w:rPr>
                <w:rFonts w:hint="eastAsia" w:ascii="宋体" w:hAnsi="宋体"/>
                <w:kern w:val="0"/>
                <w:sz w:val="20"/>
                <w:szCs w:val="20"/>
              </w:rPr>
              <w:t>（计划完成时间</w:t>
            </w:r>
            <w:r>
              <w:rPr>
                <w:rFonts w:ascii="宋体" w:hAnsi="宋体"/>
                <w:kern w:val="0"/>
                <w:sz w:val="20"/>
                <w:szCs w:val="20"/>
              </w:rPr>
              <w:t>-</w:t>
            </w:r>
            <w:r>
              <w:rPr>
                <w:rFonts w:hint="eastAsia" w:ascii="宋体" w:hAnsi="宋体"/>
                <w:kern w:val="0"/>
                <w:sz w:val="20"/>
                <w:szCs w:val="20"/>
              </w:rPr>
              <w:t>实际完成时间）</w:t>
            </w:r>
            <w:r>
              <w:rPr>
                <w:rFonts w:ascii="宋体" w:hAnsi="宋体"/>
                <w:kern w:val="0"/>
                <w:sz w:val="20"/>
                <w:szCs w:val="20"/>
              </w:rPr>
              <w:t>/</w:t>
            </w:r>
            <w:r>
              <w:rPr>
                <w:rFonts w:hint="eastAsia" w:ascii="宋体" w:hAnsi="宋体"/>
                <w:kern w:val="0"/>
                <w:sz w:val="20"/>
                <w:szCs w:val="20"/>
              </w:rPr>
              <w:t>计划完成时间</w:t>
            </w:r>
            <w:r>
              <w:rPr>
                <w:rFonts w:ascii="宋体" w:hAnsi="宋体"/>
                <w:kern w:val="0"/>
                <w:sz w:val="20"/>
                <w:szCs w:val="20"/>
              </w:rPr>
              <w:t>]</w:t>
            </w:r>
            <w:r>
              <w:rPr>
                <w:rFonts w:hint="eastAsia" w:ascii="宋体" w:hAnsi="宋体"/>
                <w:kern w:val="0"/>
                <w:sz w:val="20"/>
                <w:szCs w:val="20"/>
              </w:rPr>
              <w:t>×</w:t>
            </w:r>
            <w:r>
              <w:rPr>
                <w:rFonts w:ascii="宋体" w:hAnsi="宋体"/>
                <w:kern w:val="0"/>
                <w:sz w:val="20"/>
                <w:szCs w:val="20"/>
              </w:rPr>
              <w:t>100%</w:t>
            </w:r>
            <w:r>
              <w:rPr>
                <w:rFonts w:hint="eastAsia" w:ascii="宋体" w:hAnsi="宋体"/>
                <w:kern w:val="0"/>
                <w:sz w:val="20"/>
                <w:szCs w:val="20"/>
              </w:rPr>
              <w:t>。（</w:t>
            </w:r>
            <w:r>
              <w:rPr>
                <w:rFonts w:ascii="宋体" w:hAnsi="宋体"/>
                <w:kern w:val="0"/>
                <w:sz w:val="20"/>
                <w:szCs w:val="20"/>
              </w:rPr>
              <w:t>1--4</w:t>
            </w:r>
            <w:r>
              <w:rPr>
                <w:rFonts w:hint="eastAsia" w:ascii="宋体" w:hAnsi="宋体"/>
                <w:kern w:val="0"/>
                <w:sz w:val="20"/>
                <w:szCs w:val="20"/>
              </w:rPr>
              <w:t>季度各得</w:t>
            </w:r>
            <w:r>
              <w:rPr>
                <w:rFonts w:ascii="宋体" w:hAnsi="宋体"/>
                <w:kern w:val="0"/>
                <w:sz w:val="20"/>
                <w:szCs w:val="20"/>
              </w:rPr>
              <w:t>1.5</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实际完成时间：项目实施单位完成该项目实际所耗用的时间。</w:t>
            </w:r>
          </w:p>
          <w:p>
            <w:pPr>
              <w:widowControl/>
              <w:jc w:val="left"/>
              <w:rPr>
                <w:rFonts w:ascii="宋体"/>
                <w:kern w:val="0"/>
                <w:sz w:val="20"/>
                <w:szCs w:val="20"/>
              </w:rPr>
            </w:pPr>
            <w:r>
              <w:rPr>
                <w:rFonts w:hint="eastAsia" w:ascii="宋体" w:hAnsi="宋体"/>
                <w:kern w:val="0"/>
                <w:sz w:val="20"/>
                <w:szCs w:val="20"/>
              </w:rPr>
              <w:t>计划完成时间：按照项目实施计划或相关规定完成该项目所需的时间。</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质量达标率（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项目完成的质量达标产出数与实际产出数的比率，用以反映和考核项目产出质量目标的实现程度。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质量达标率</w:t>
            </w:r>
            <w:r>
              <w:rPr>
                <w:rFonts w:ascii="宋体" w:hAnsi="宋体"/>
                <w:kern w:val="0"/>
                <w:sz w:val="20"/>
                <w:szCs w:val="20"/>
              </w:rPr>
              <w:t>=</w:t>
            </w:r>
            <w:r>
              <w:rPr>
                <w:rFonts w:hint="eastAsia" w:ascii="宋体" w:hAnsi="宋体"/>
                <w:kern w:val="0"/>
                <w:sz w:val="20"/>
                <w:szCs w:val="20"/>
              </w:rPr>
              <w:t>（质量达标产出数</w:t>
            </w:r>
            <w:r>
              <w:rPr>
                <w:rFonts w:ascii="宋体" w:hAnsi="宋体"/>
                <w:kern w:val="0"/>
                <w:sz w:val="20"/>
                <w:szCs w:val="20"/>
              </w:rPr>
              <w:t>/</w:t>
            </w:r>
            <w:r>
              <w:rPr>
                <w:rFonts w:hint="eastAsia" w:ascii="宋体" w:hAnsi="宋体"/>
                <w:kern w:val="0"/>
                <w:sz w:val="20"/>
                <w:szCs w:val="20"/>
              </w:rPr>
              <w:t>实际产出数）×</w:t>
            </w:r>
            <w:r>
              <w:rPr>
                <w:rFonts w:ascii="宋体" w:hAnsi="宋体"/>
                <w:kern w:val="0"/>
                <w:sz w:val="20"/>
                <w:szCs w:val="20"/>
              </w:rPr>
              <w:t>100%</w:t>
            </w:r>
            <w:r>
              <w:rPr>
                <w:rFonts w:hint="eastAsia" w:ascii="宋体" w:hAnsi="宋体"/>
                <w:kern w:val="0"/>
                <w:sz w:val="20"/>
                <w:szCs w:val="20"/>
              </w:rPr>
              <w:t>。（得分</w:t>
            </w:r>
            <w:r>
              <w:rPr>
                <w:rFonts w:ascii="宋体" w:hAnsi="宋体"/>
                <w:kern w:val="0"/>
                <w:sz w:val="20"/>
                <w:szCs w:val="20"/>
              </w:rPr>
              <w:t>=</w:t>
            </w:r>
            <w:r>
              <w:rPr>
                <w:rFonts w:hint="eastAsia" w:ascii="宋体" w:hAnsi="宋体"/>
                <w:kern w:val="0"/>
                <w:sz w:val="20"/>
                <w:szCs w:val="20"/>
              </w:rPr>
              <w:t>达标率</w:t>
            </w:r>
            <w:r>
              <w:rPr>
                <w:rFonts w:ascii="宋体" w:hAnsi="宋体"/>
                <w:kern w:val="0"/>
                <w:sz w:val="20"/>
                <w:szCs w:val="20"/>
              </w:rPr>
              <w:t>*5</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质量达标产出数：一定时期（本年度或项目期）内实际达到既定质量标准的产品或服务数量。</w:t>
            </w:r>
          </w:p>
          <w:p>
            <w:pPr>
              <w:widowControl/>
              <w:jc w:val="left"/>
              <w:rPr>
                <w:rFonts w:ascii="宋体"/>
                <w:kern w:val="0"/>
                <w:sz w:val="20"/>
                <w:szCs w:val="20"/>
              </w:rPr>
            </w:pPr>
            <w:r>
              <w:rPr>
                <w:rFonts w:hint="eastAsia" w:ascii="宋体" w:hAnsi="宋体"/>
                <w:spacing w:val="-10"/>
                <w:kern w:val="0"/>
                <w:sz w:val="20"/>
                <w:szCs w:val="20"/>
              </w:rPr>
              <w:t>既定质量标准是指项目实施单位设立绩效目标时依据计划标准、行业标准、历史标准或其他标准而设定的绩效指标值。</w:t>
            </w:r>
          </w:p>
        </w:tc>
        <w:tc>
          <w:tcPr>
            <w:tcW w:w="374" w:type="pct"/>
            <w:noWrap/>
            <w:vAlign w:val="center"/>
          </w:tcPr>
          <w:p>
            <w:pPr>
              <w:widowControl/>
              <w:jc w:val="left"/>
              <w:rPr>
                <w:rFonts w:ascii="宋体"/>
                <w:kern w:val="0"/>
                <w:sz w:val="24"/>
              </w:rPr>
            </w:pPr>
            <w:r>
              <w:rPr>
                <w:rFonts w:ascii="宋体" w:hAnsi="宋体"/>
                <w:kern w:val="0"/>
                <w:sz w:val="24"/>
              </w:rPr>
              <w:t>5</w:t>
            </w:r>
            <w:r>
              <w:rPr>
                <w:rFonts w:hint="eastAsia" w:ascii="宋体" w:hAnsi="宋体"/>
                <w:kern w:val="0"/>
                <w:sz w:val="24"/>
              </w:rPr>
              <w:t>　</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成本节约率（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完成项目计划工作目标的实际节约成本与计划成本的比率，用以反映和考核项目的成本节约程度。</w:t>
            </w:r>
          </w:p>
        </w:tc>
        <w:tc>
          <w:tcPr>
            <w:tcW w:w="1824" w:type="pct"/>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w:t>
            </w:r>
            <w:r>
              <w:rPr>
                <w:rFonts w:ascii="宋体" w:hAnsi="宋体"/>
                <w:kern w:val="0"/>
                <w:sz w:val="20"/>
                <w:szCs w:val="20"/>
              </w:rPr>
              <w:t>=[</w:t>
            </w:r>
            <w:r>
              <w:rPr>
                <w:rFonts w:hint="eastAsia" w:ascii="宋体" w:hAnsi="宋体"/>
                <w:kern w:val="0"/>
                <w:sz w:val="20"/>
                <w:szCs w:val="20"/>
              </w:rPr>
              <w:t>（计划成本</w:t>
            </w:r>
            <w:r>
              <w:rPr>
                <w:rFonts w:ascii="宋体" w:hAnsi="宋体"/>
                <w:kern w:val="0"/>
                <w:sz w:val="20"/>
                <w:szCs w:val="20"/>
              </w:rPr>
              <w:t>-</w:t>
            </w:r>
            <w:r>
              <w:rPr>
                <w:rFonts w:hint="eastAsia" w:ascii="宋体" w:hAnsi="宋体"/>
                <w:kern w:val="0"/>
                <w:sz w:val="20"/>
                <w:szCs w:val="20"/>
              </w:rPr>
              <w:t>实际成本）</w:t>
            </w:r>
            <w:r>
              <w:rPr>
                <w:rFonts w:ascii="宋体" w:hAnsi="宋体"/>
                <w:kern w:val="0"/>
                <w:sz w:val="20"/>
                <w:szCs w:val="20"/>
              </w:rPr>
              <w:t>/</w:t>
            </w:r>
            <w:r>
              <w:rPr>
                <w:rFonts w:hint="eastAsia" w:ascii="宋体" w:hAnsi="宋体"/>
                <w:kern w:val="0"/>
                <w:sz w:val="20"/>
                <w:szCs w:val="20"/>
              </w:rPr>
              <w:t>计划成本</w:t>
            </w:r>
            <w:r>
              <w:rPr>
                <w:rFonts w:ascii="宋体" w:hAnsi="宋体"/>
                <w:kern w:val="0"/>
                <w:sz w:val="20"/>
                <w:szCs w:val="20"/>
              </w:rPr>
              <w:t>]</w:t>
            </w:r>
            <w:r>
              <w:rPr>
                <w:rFonts w:hint="eastAsia" w:ascii="宋体" w:hAnsi="宋体"/>
                <w:kern w:val="0"/>
                <w:sz w:val="20"/>
                <w:szCs w:val="20"/>
              </w:rPr>
              <w:t>×</w:t>
            </w:r>
            <w:r>
              <w:rPr>
                <w:rFonts w:ascii="宋体" w:hAnsi="宋体"/>
                <w:kern w:val="0"/>
                <w:sz w:val="20"/>
                <w:szCs w:val="20"/>
              </w:rPr>
              <w:t>100%</w:t>
            </w:r>
            <w:r>
              <w:rPr>
                <w:rFonts w:hint="eastAsia" w:ascii="宋体" w:hAnsi="宋体"/>
                <w:kern w:val="0"/>
                <w:sz w:val="20"/>
                <w:szCs w:val="20"/>
              </w:rPr>
              <w:t>。</w:t>
            </w:r>
            <w:r>
              <w:rPr>
                <w:rFonts w:ascii="宋体" w:hAnsi="宋体"/>
                <w:kern w:val="0"/>
                <w:sz w:val="20"/>
                <w:szCs w:val="20"/>
              </w:rPr>
              <w:t>(</w:t>
            </w:r>
            <w:r>
              <w:rPr>
                <w:rFonts w:hint="eastAsia" w:ascii="宋体" w:hAnsi="宋体"/>
                <w:kern w:val="0"/>
                <w:sz w:val="20"/>
                <w:szCs w:val="20"/>
              </w:rPr>
              <w:t>节约的计</w:t>
            </w:r>
            <w:r>
              <w:rPr>
                <w:rFonts w:ascii="宋体" w:hAnsi="宋体"/>
                <w:kern w:val="0"/>
                <w:sz w:val="20"/>
                <w:szCs w:val="20"/>
              </w:rPr>
              <w:t>5</w:t>
            </w:r>
            <w:r>
              <w:rPr>
                <w:rFonts w:hint="eastAsia" w:ascii="宋体" w:hAnsi="宋体"/>
                <w:kern w:val="0"/>
                <w:sz w:val="20"/>
                <w:szCs w:val="20"/>
              </w:rPr>
              <w:t>分</w:t>
            </w:r>
            <w:r>
              <w:rPr>
                <w:rFonts w:ascii="宋体" w:hAnsi="宋体"/>
                <w:kern w:val="0"/>
                <w:sz w:val="20"/>
                <w:szCs w:val="20"/>
              </w:rPr>
              <w:t>,</w:t>
            </w:r>
            <w:r>
              <w:rPr>
                <w:rFonts w:hint="eastAsia" w:ascii="宋体" w:hAnsi="宋体"/>
                <w:kern w:val="0"/>
                <w:sz w:val="20"/>
                <w:szCs w:val="20"/>
              </w:rPr>
              <w:t>增加的按比例扣分</w:t>
            </w:r>
            <w:r>
              <w:rPr>
                <w:rFonts w:ascii="宋体" w:hAnsi="宋体"/>
                <w:kern w:val="0"/>
                <w:sz w:val="20"/>
                <w:szCs w:val="20"/>
              </w:rPr>
              <w:t>)</w:t>
            </w:r>
          </w:p>
          <w:p>
            <w:pPr>
              <w:widowControl/>
              <w:jc w:val="left"/>
              <w:rPr>
                <w:rFonts w:ascii="宋体"/>
                <w:spacing w:val="-10"/>
                <w:kern w:val="0"/>
                <w:sz w:val="20"/>
                <w:szCs w:val="20"/>
              </w:rPr>
            </w:pPr>
            <w:r>
              <w:rPr>
                <w:rFonts w:hint="eastAsia" w:ascii="宋体" w:hAnsi="宋体"/>
                <w:spacing w:val="-10"/>
                <w:kern w:val="0"/>
                <w:sz w:val="20"/>
                <w:szCs w:val="20"/>
              </w:rPr>
              <w:t>实际成本：项目实施单位如期、保质、保量完成既定工作目标实际所耗费的支出。</w:t>
            </w:r>
          </w:p>
          <w:p>
            <w:pPr>
              <w:widowControl/>
              <w:jc w:val="left"/>
              <w:rPr>
                <w:rFonts w:ascii="宋体"/>
                <w:kern w:val="0"/>
                <w:sz w:val="20"/>
                <w:szCs w:val="20"/>
              </w:rPr>
            </w:pPr>
            <w:r>
              <w:rPr>
                <w:rFonts w:hint="eastAsia" w:ascii="宋体" w:hAnsi="宋体"/>
                <w:spacing w:val="-10"/>
                <w:kern w:val="0"/>
                <w:sz w:val="20"/>
                <w:szCs w:val="20"/>
              </w:rPr>
              <w:t>计划成本：项目实施单位为完成工作目标计划安排的支出，一般以项目预算为参考。</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效</w:t>
            </w:r>
            <w:r>
              <w:rPr>
                <w:rFonts w:ascii="宋体" w:hAnsi="宋体"/>
                <w:kern w:val="0"/>
                <w:sz w:val="20"/>
                <w:szCs w:val="20"/>
              </w:rPr>
              <w:t xml:space="preserve">   </w:t>
            </w:r>
            <w:r>
              <w:rPr>
                <w:rFonts w:hint="eastAsia" w:ascii="宋体" w:hAnsi="宋体"/>
                <w:kern w:val="0"/>
                <w:sz w:val="20"/>
                <w:szCs w:val="20"/>
              </w:rPr>
              <w:t>果（</w:t>
            </w:r>
            <w:r>
              <w:rPr>
                <w:rFonts w:ascii="宋体" w:hAnsi="宋体"/>
                <w:kern w:val="0"/>
                <w:sz w:val="20"/>
                <w:szCs w:val="20"/>
              </w:rPr>
              <w:t>30</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项目</w:t>
            </w:r>
          </w:p>
          <w:p>
            <w:pPr>
              <w:widowControl/>
              <w:jc w:val="center"/>
              <w:rPr>
                <w:rFonts w:ascii="宋体"/>
                <w:kern w:val="0"/>
                <w:sz w:val="20"/>
                <w:szCs w:val="20"/>
              </w:rPr>
            </w:pPr>
            <w:r>
              <w:rPr>
                <w:rFonts w:hint="eastAsia" w:ascii="宋体" w:hAnsi="宋体"/>
                <w:kern w:val="0"/>
                <w:sz w:val="20"/>
                <w:szCs w:val="20"/>
              </w:rPr>
              <w:t>效益（</w:t>
            </w:r>
            <w:r>
              <w:rPr>
                <w:rFonts w:ascii="宋体" w:hAnsi="宋体"/>
                <w:kern w:val="0"/>
                <w:sz w:val="20"/>
                <w:szCs w:val="20"/>
              </w:rPr>
              <w:t>30</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经济效益</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项目实施对经济发展所带来的直接或间接影响情况。</w:t>
            </w:r>
          </w:p>
        </w:tc>
        <w:tc>
          <w:tcPr>
            <w:tcW w:w="1824" w:type="pct"/>
            <w:vMerge w:val="restart"/>
            <w:shd w:val="clear" w:color="auto" w:fill="FFFFFF"/>
            <w:vAlign w:val="center"/>
          </w:tcPr>
          <w:p>
            <w:pPr>
              <w:widowControl/>
              <w:jc w:val="left"/>
              <w:rPr>
                <w:rFonts w:ascii="宋体"/>
                <w:kern w:val="0"/>
                <w:sz w:val="20"/>
                <w:szCs w:val="20"/>
              </w:rPr>
            </w:pPr>
            <w:r>
              <w:rPr>
                <w:rFonts w:hint="eastAsia" w:ascii="宋体" w:hAnsi="宋体"/>
                <w:kern w:val="0"/>
                <w:sz w:val="20"/>
                <w:szCs w:val="20"/>
              </w:rPr>
              <w:t>此四项指标为项目支出绩效评价指标的共性要素，各单位按照项目支出绩效目标实现程度为依据。（按经济效益实现程度</w:t>
            </w:r>
            <w:r>
              <w:rPr>
                <w:rFonts w:ascii="宋体" w:hAnsi="宋体"/>
                <w:kern w:val="0"/>
                <w:sz w:val="20"/>
                <w:szCs w:val="20"/>
              </w:rPr>
              <w:t>*5</w:t>
            </w:r>
            <w:r>
              <w:rPr>
                <w:rFonts w:hint="eastAsia" w:ascii="宋体" w:hAnsi="宋体"/>
                <w:kern w:val="0"/>
                <w:sz w:val="20"/>
                <w:szCs w:val="20"/>
              </w:rPr>
              <w:t>分、社会效益实现程度</w:t>
            </w:r>
            <w:r>
              <w:rPr>
                <w:rFonts w:ascii="宋体" w:hAnsi="宋体"/>
                <w:kern w:val="0"/>
                <w:sz w:val="20"/>
                <w:szCs w:val="20"/>
              </w:rPr>
              <w:t>*5</w:t>
            </w:r>
            <w:r>
              <w:rPr>
                <w:rFonts w:hint="eastAsia" w:ascii="宋体" w:hAnsi="宋体"/>
                <w:kern w:val="0"/>
                <w:sz w:val="20"/>
                <w:szCs w:val="20"/>
              </w:rPr>
              <w:t>分、生态效益实现程度</w:t>
            </w:r>
            <w:r>
              <w:rPr>
                <w:rFonts w:ascii="宋体" w:hAnsi="宋体"/>
                <w:kern w:val="0"/>
                <w:sz w:val="20"/>
                <w:szCs w:val="20"/>
              </w:rPr>
              <w:t>*5</w:t>
            </w:r>
            <w:r>
              <w:rPr>
                <w:rFonts w:hint="eastAsia" w:ascii="宋体" w:hAnsi="宋体"/>
                <w:kern w:val="0"/>
                <w:sz w:val="20"/>
                <w:szCs w:val="20"/>
              </w:rPr>
              <w:t>分、可持续影响程度</w:t>
            </w:r>
            <w:r>
              <w:rPr>
                <w:rFonts w:ascii="宋体" w:hAnsi="宋体"/>
                <w:kern w:val="0"/>
                <w:sz w:val="20"/>
                <w:szCs w:val="20"/>
              </w:rPr>
              <w:t>*5</w:t>
            </w:r>
            <w:r>
              <w:rPr>
                <w:rFonts w:hint="eastAsia" w:ascii="宋体" w:hAnsi="宋体"/>
                <w:kern w:val="0"/>
                <w:sz w:val="20"/>
                <w:szCs w:val="20"/>
              </w:rPr>
              <w:t>分计算实际得分）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社会效益（</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项目实施对社会发展所带来的直接或间接影响情况。</w:t>
            </w:r>
          </w:p>
        </w:tc>
        <w:tc>
          <w:tcPr>
            <w:tcW w:w="0" w:type="auto"/>
            <w:vMerge w:val="continue"/>
            <w:vAlign w:val="center"/>
          </w:tcPr>
          <w:p>
            <w:pPr>
              <w:widowControl/>
              <w:jc w:val="left"/>
              <w:rPr>
                <w:rFonts w:ascii="宋体"/>
                <w:kern w:val="0"/>
                <w:sz w:val="20"/>
                <w:szCs w:val="20"/>
              </w:rPr>
            </w:pP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生态效益（</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项目实施对生态环境所带来的直接或间接影响情况。</w:t>
            </w:r>
          </w:p>
        </w:tc>
        <w:tc>
          <w:tcPr>
            <w:tcW w:w="0" w:type="auto"/>
            <w:vMerge w:val="continue"/>
            <w:vAlign w:val="center"/>
          </w:tcPr>
          <w:p>
            <w:pPr>
              <w:widowControl/>
              <w:jc w:val="left"/>
              <w:rPr>
                <w:rFonts w:ascii="宋体"/>
                <w:kern w:val="0"/>
                <w:sz w:val="20"/>
                <w:szCs w:val="20"/>
              </w:rPr>
            </w:pP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可持续影响</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项目后续运行及成效发挥的可持续影响情况。</w:t>
            </w:r>
          </w:p>
        </w:tc>
        <w:tc>
          <w:tcPr>
            <w:tcW w:w="0" w:type="auto"/>
            <w:vMerge w:val="continue"/>
            <w:vAlign w:val="center"/>
          </w:tcPr>
          <w:p>
            <w:pPr>
              <w:widowControl/>
              <w:jc w:val="left"/>
              <w:rPr>
                <w:rFonts w:ascii="宋体"/>
                <w:kern w:val="0"/>
                <w:sz w:val="20"/>
                <w:szCs w:val="20"/>
              </w:rPr>
            </w:pPr>
          </w:p>
        </w:tc>
        <w:tc>
          <w:tcPr>
            <w:tcW w:w="374" w:type="pct"/>
            <w:noWrap/>
            <w:vAlign w:val="center"/>
          </w:tcPr>
          <w:p>
            <w:pPr>
              <w:widowControl/>
              <w:jc w:val="left"/>
              <w:rPr>
                <w:rFonts w:ascii="宋体"/>
                <w:kern w:val="0"/>
                <w:sz w:val="24"/>
              </w:rPr>
            </w:pPr>
            <w:r>
              <w:rPr>
                <w:rFonts w:hint="eastAsia" w:ascii="宋体" w:hAnsi="宋体"/>
                <w:kern w:val="0"/>
                <w:sz w:val="24"/>
              </w:rPr>
              <w:t>　</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社会公众或服务对象满意度（</w:t>
            </w:r>
            <w:r>
              <w:rPr>
                <w:rFonts w:ascii="宋体" w:hAnsi="宋体"/>
                <w:spacing w:val="-10"/>
                <w:kern w:val="0"/>
                <w:sz w:val="20"/>
                <w:szCs w:val="20"/>
              </w:rPr>
              <w:t>10</w:t>
            </w:r>
            <w:r>
              <w:rPr>
                <w:rFonts w:hint="eastAsia" w:ascii="宋体" w:hAnsi="宋体"/>
                <w:spacing w:val="-10"/>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社会公众或服务对象对项目实施效果的满意程度。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社会公众或服务对象是指因该项目实施而受到影响的部门（单位）、群体或个人。一般采取社会调查的方式。（按收到的服务对象的满意率计算得分）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10</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666" w:type="pct"/>
            <w:gridSpan w:val="5"/>
            <w:shd w:val="clear" w:color="auto" w:fill="FFFFFF"/>
            <w:vAlign w:val="center"/>
          </w:tcPr>
          <w:p>
            <w:pPr>
              <w:widowControl/>
              <w:jc w:val="center"/>
              <w:rPr>
                <w:rFonts w:ascii="宋体"/>
                <w:kern w:val="0"/>
                <w:sz w:val="20"/>
                <w:szCs w:val="20"/>
              </w:rPr>
            </w:pPr>
            <w:r>
              <w:rPr>
                <w:rFonts w:hint="eastAsia" w:ascii="宋体" w:hAnsi="宋体"/>
                <w:kern w:val="0"/>
                <w:sz w:val="20"/>
                <w:szCs w:val="20"/>
              </w:rPr>
              <w:t>合计</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87</w:t>
            </w:r>
          </w:p>
        </w:tc>
        <w:tc>
          <w:tcPr>
            <w:tcW w:w="961" w:type="pct"/>
            <w:noWrap/>
            <w:vAlign w:val="center"/>
          </w:tcPr>
          <w:p>
            <w:pPr>
              <w:widowControl/>
              <w:jc w:val="left"/>
              <w:rPr>
                <w:rFonts w:ascii="宋体"/>
                <w:kern w:val="0"/>
                <w:sz w:val="24"/>
              </w:rPr>
            </w:pPr>
            <w:r>
              <w:rPr>
                <w:rFonts w:hint="eastAsia" w:ascii="宋体" w:hAnsi="宋体"/>
                <w:kern w:val="0"/>
                <w:sz w:val="24"/>
              </w:rPr>
              <w:t>　</w:t>
            </w:r>
          </w:p>
        </w:tc>
      </w:tr>
    </w:tbl>
    <w:p>
      <w:pPr>
        <w:spacing w:line="620" w:lineRule="exact"/>
        <w:jc w:val="left"/>
        <w:rPr>
          <w:rFonts w:ascii="宋体" w:hAnsi="宋体" w:eastAsia="方正黑体简体"/>
          <w:sz w:val="32"/>
          <w:szCs w:val="32"/>
        </w:rPr>
      </w:pPr>
    </w:p>
    <w:p>
      <w:pPr>
        <w:spacing w:line="620" w:lineRule="exact"/>
        <w:jc w:val="left"/>
        <w:rPr>
          <w:rFonts w:ascii="宋体" w:hAnsi="宋体" w:eastAsia="方正黑体简体"/>
          <w:sz w:val="32"/>
          <w:szCs w:val="32"/>
        </w:rPr>
      </w:pPr>
    </w:p>
    <w:p>
      <w:pPr>
        <w:pStyle w:val="2"/>
        <w:rPr>
          <w:rFonts w:ascii="宋体"/>
        </w:rPr>
      </w:pPr>
    </w:p>
    <w:p>
      <w:pPr>
        <w:pStyle w:val="2"/>
        <w:rPr>
          <w:rFonts w:ascii="宋体"/>
        </w:rPr>
      </w:pPr>
    </w:p>
    <w:p>
      <w:pPr>
        <w:pStyle w:val="2"/>
        <w:rPr>
          <w:rFonts w:ascii="宋体"/>
        </w:rPr>
      </w:pPr>
    </w:p>
    <w:p>
      <w:pPr>
        <w:rPr>
          <w:rFonts w:ascii="宋体"/>
        </w:rPr>
      </w:pPr>
    </w:p>
    <w:p>
      <w:pPr>
        <w:pStyle w:val="2"/>
      </w:pPr>
    </w:p>
    <w:p>
      <w:pPr>
        <w:spacing w:line="620" w:lineRule="exact"/>
        <w:jc w:val="left"/>
        <w:rPr>
          <w:rFonts w:ascii="宋体" w:hAnsi="宋体" w:eastAsia="方正黑体简体"/>
          <w:sz w:val="32"/>
          <w:szCs w:val="32"/>
        </w:rPr>
      </w:pPr>
    </w:p>
    <w:p>
      <w:pPr>
        <w:spacing w:line="620" w:lineRule="exact"/>
        <w:jc w:val="center"/>
        <w:rPr>
          <w:rFonts w:hint="eastAsia"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2021</w:t>
      </w:r>
      <w:r>
        <w:rPr>
          <w:rFonts w:hint="eastAsia" w:ascii="宋体" w:hAnsi="宋体" w:eastAsia="方正小标宋简体"/>
          <w:color w:val="000000"/>
          <w:spacing w:val="-12"/>
          <w:kern w:val="0"/>
          <w:sz w:val="44"/>
          <w:szCs w:val="44"/>
        </w:rPr>
        <w:t>年度雁江区项目支出绩效目标完成</w:t>
      </w:r>
    </w:p>
    <w:p>
      <w:pPr>
        <w:spacing w:line="620" w:lineRule="exact"/>
        <w:jc w:val="center"/>
        <w:rPr>
          <w:rFonts w:ascii="宋体" w:hAnsi="宋体" w:eastAsia="方正小标宋简体"/>
          <w:color w:val="000000"/>
          <w:spacing w:val="-12"/>
          <w:kern w:val="0"/>
          <w:sz w:val="44"/>
          <w:szCs w:val="44"/>
        </w:rPr>
      </w:pPr>
      <w:r>
        <w:rPr>
          <w:rFonts w:hint="eastAsia" w:ascii="宋体" w:hAnsi="宋体" w:eastAsia="方正小标宋简体"/>
          <w:color w:val="000000"/>
          <w:spacing w:val="-12"/>
          <w:kern w:val="0"/>
          <w:sz w:val="44"/>
          <w:szCs w:val="44"/>
        </w:rPr>
        <w:t>情况表</w:t>
      </w:r>
    </w:p>
    <w:p>
      <w:pPr>
        <w:pStyle w:val="2"/>
        <w:rPr>
          <w:rFonts w:ascii="宋体"/>
        </w:rPr>
      </w:pPr>
    </w:p>
    <w:tbl>
      <w:tblPr>
        <w:tblStyle w:val="12"/>
        <w:tblW w:w="51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684"/>
        <w:gridCol w:w="414"/>
        <w:gridCol w:w="670"/>
        <w:gridCol w:w="215"/>
        <w:gridCol w:w="746"/>
        <w:gridCol w:w="336"/>
        <w:gridCol w:w="1144"/>
        <w:gridCol w:w="1654"/>
        <w:gridCol w:w="357"/>
        <w:gridCol w:w="179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名称</w:t>
            </w:r>
          </w:p>
        </w:tc>
        <w:tc>
          <w:tcPr>
            <w:tcW w:w="4531" w:type="pct"/>
            <w:gridSpan w:val="10"/>
            <w:noWrap/>
            <w:vAlign w:val="center"/>
          </w:tcPr>
          <w:p>
            <w:pPr>
              <w:widowControl/>
              <w:spacing w:line="240" w:lineRule="exact"/>
              <w:jc w:val="center"/>
              <w:rPr>
                <w:rFonts w:hint="default" w:ascii="宋体"/>
                <w:color w:val="000000"/>
                <w:kern w:val="0"/>
                <w:sz w:val="18"/>
                <w:szCs w:val="18"/>
                <w:lang w:val="en-US"/>
              </w:rPr>
            </w:pPr>
            <w:r>
              <w:rPr>
                <w:rFonts w:hint="eastAsia" w:ascii="宋体" w:hAnsi="宋体" w:eastAsia="楷体_GB2312"/>
                <w:b/>
                <w:bCs/>
                <w:kern w:val="0"/>
                <w:sz w:val="20"/>
                <w:szCs w:val="20"/>
                <w:lang w:val="en-US" w:eastAsia="zh-CN"/>
              </w:rPr>
              <w:t>文艺创作、文艺演出、志愿服务、免费开放项目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类型</w:t>
            </w: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产业发展</w:t>
            </w:r>
          </w:p>
        </w:tc>
        <w:tc>
          <w:tcPr>
            <w:tcW w:w="378"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民生</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保障</w:t>
            </w:r>
          </w:p>
        </w:tc>
        <w:tc>
          <w:tcPr>
            <w:tcW w:w="1380" w:type="pct"/>
            <w:gridSpan w:val="4"/>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基础设施</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事业运行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08"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w:t>
            </w:r>
          </w:p>
        </w:tc>
        <w:tc>
          <w:tcPr>
            <w:tcW w:w="378" w:type="pct"/>
            <w:noWrap/>
            <w:vAlign w:val="center"/>
          </w:tcPr>
          <w:p>
            <w:pPr>
              <w:spacing w:line="240" w:lineRule="exact"/>
              <w:jc w:val="center"/>
              <w:rPr>
                <w:rFonts w:ascii="宋体"/>
              </w:rPr>
            </w:pPr>
            <w:r>
              <w:rPr>
                <w:rFonts w:hint="eastAsia" w:ascii="宋体" w:hAnsi="宋体"/>
                <w:color w:val="000000"/>
                <w:kern w:val="0"/>
                <w:sz w:val="18"/>
                <w:szCs w:val="18"/>
              </w:rPr>
              <w:t>□</w:t>
            </w:r>
          </w:p>
        </w:tc>
        <w:tc>
          <w:tcPr>
            <w:tcW w:w="1380" w:type="pct"/>
            <w:gridSpan w:val="4"/>
            <w:noWrap/>
            <w:vAlign w:val="center"/>
          </w:tcPr>
          <w:p>
            <w:pPr>
              <w:spacing w:line="240" w:lineRule="exact"/>
              <w:jc w:val="center"/>
              <w:rPr>
                <w:rFonts w:ascii="宋体"/>
              </w:rPr>
            </w:pPr>
            <w:r>
              <w:rPr>
                <w:rFonts w:hint="eastAsia" w:ascii="宋体" w:hAnsi="宋体"/>
                <w:color w:val="000000"/>
                <w:kern w:val="0"/>
                <w:sz w:val="18"/>
                <w:szCs w:val="18"/>
              </w:rPr>
              <w:t>□</w:t>
            </w:r>
          </w:p>
        </w:tc>
        <w:tc>
          <w:tcPr>
            <w:tcW w:w="2151" w:type="pct"/>
            <w:gridSpan w:val="3"/>
            <w:noWrap/>
            <w:vAlign w:val="center"/>
          </w:tcPr>
          <w:p>
            <w:pPr>
              <w:pStyle w:val="24"/>
              <w:numPr>
                <w:ilvl w:val="0"/>
                <w:numId w:val="7"/>
              </w:numPr>
              <w:spacing w:line="240" w:lineRule="exact"/>
              <w:ind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部门（单位）名称</w:t>
            </w:r>
          </w:p>
        </w:tc>
        <w:tc>
          <w:tcPr>
            <w:tcW w:w="2380" w:type="pct"/>
            <w:gridSpan w:val="7"/>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lang w:eastAsia="zh-CN"/>
              </w:rPr>
              <w:t>资阳市</w:t>
            </w:r>
            <w:r>
              <w:rPr>
                <w:rFonts w:hint="eastAsia" w:ascii="宋体" w:hAnsi="宋体"/>
                <w:color w:val="000000"/>
                <w:kern w:val="0"/>
                <w:sz w:val="18"/>
                <w:szCs w:val="18"/>
              </w:rPr>
              <w:t>雁江区</w:t>
            </w:r>
            <w:r>
              <w:rPr>
                <w:rFonts w:hint="eastAsia" w:ascii="宋体" w:hAnsi="宋体"/>
                <w:color w:val="000000"/>
                <w:kern w:val="0"/>
                <w:sz w:val="18"/>
                <w:szCs w:val="18"/>
                <w:lang w:eastAsia="zh-CN"/>
              </w:rPr>
              <w:t>文化馆</w:t>
            </w:r>
            <w:r>
              <w:rPr>
                <w:rFonts w:ascii="宋体" w:hAnsi="宋体"/>
                <w:color w:val="000000"/>
                <w:kern w:val="0"/>
                <w:sz w:val="18"/>
                <w:szCs w:val="18"/>
              </w:rPr>
              <w:t xml:space="preserve">    </w:t>
            </w:r>
            <w:r>
              <w:rPr>
                <w:rFonts w:hint="eastAsia" w:ascii="宋体" w:hAnsi="宋体"/>
                <w:color w:val="000000"/>
                <w:kern w:val="0"/>
                <w:sz w:val="18"/>
                <w:szCs w:val="18"/>
              </w:rPr>
              <w:t>　</w:t>
            </w:r>
          </w:p>
        </w:tc>
        <w:tc>
          <w:tcPr>
            <w:tcW w:w="1138"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预算单位编码</w:t>
            </w:r>
          </w:p>
        </w:tc>
        <w:tc>
          <w:tcPr>
            <w:tcW w:w="1013" w:type="pct"/>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ascii="宋体" w:hAnsi="宋体"/>
                <w:color w:val="000000"/>
                <w:kern w:val="0"/>
                <w:sz w:val="18"/>
                <w:szCs w:val="18"/>
              </w:rPr>
              <w:t>16</w:t>
            </w:r>
            <w:r>
              <w:rPr>
                <w:rFonts w:hint="eastAsia" w:ascii="宋体" w:hAnsi="宋体"/>
                <w:color w:val="000000"/>
                <w:kern w:val="0"/>
                <w:sz w:val="18"/>
                <w:szCs w:val="18"/>
                <w:lang w:val="en-US" w:eastAsia="zh-CN"/>
              </w:rPr>
              <w:t>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07"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预算执行情况</w:t>
            </w: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tc>
        <w:tc>
          <w:tcPr>
            <w:tcW w:w="50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611"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执行额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647" w:type="pct"/>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1138"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r>
              <w:rPr>
                <w:rFonts w:ascii="宋体" w:hAnsi="宋体"/>
                <w:color w:val="000000"/>
                <w:kern w:val="0"/>
                <w:sz w:val="18"/>
                <w:szCs w:val="18"/>
              </w:rPr>
              <w:t>%</w:t>
            </w:r>
          </w:p>
        </w:tc>
        <w:tc>
          <w:tcPr>
            <w:tcW w:w="1013" w:type="pct"/>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合</w:t>
            </w:r>
            <w:r>
              <w:rPr>
                <w:rFonts w:ascii="宋体" w:hAnsi="宋体"/>
                <w:color w:val="000000"/>
                <w:kern w:val="0"/>
                <w:sz w:val="18"/>
                <w:szCs w:val="18"/>
              </w:rPr>
              <w:t xml:space="preserve">   </w:t>
            </w:r>
            <w:r>
              <w:rPr>
                <w:rFonts w:hint="eastAsia" w:ascii="宋体" w:hAnsi="宋体"/>
                <w:color w:val="000000"/>
                <w:kern w:val="0"/>
                <w:sz w:val="18"/>
                <w:szCs w:val="18"/>
              </w:rPr>
              <w:t>计</w:t>
            </w:r>
          </w:p>
        </w:tc>
        <w:tc>
          <w:tcPr>
            <w:tcW w:w="500"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8700</w:t>
            </w:r>
          </w:p>
        </w:tc>
        <w:tc>
          <w:tcPr>
            <w:tcW w:w="611"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6751</w:t>
            </w:r>
          </w:p>
        </w:tc>
        <w:tc>
          <w:tcPr>
            <w:tcW w:w="647" w:type="pct"/>
            <w:noWrap/>
            <w:vAlign w:val="center"/>
          </w:tcPr>
          <w:p>
            <w:pPr>
              <w:pStyle w:val="30"/>
              <w:jc w:val="both"/>
              <w:rPr>
                <w:rFonts w:hint="default" w:eastAsia="宋体" w:cs="Times New Roman"/>
                <w:sz w:val="18"/>
                <w:lang w:val="en-US" w:eastAsia="zh-CN"/>
              </w:rPr>
            </w:pPr>
            <w:r>
              <w:rPr>
                <w:rFonts w:hint="eastAsia" w:ascii="宋体" w:hAnsi="宋体"/>
                <w:color w:val="000000"/>
                <w:kern w:val="0"/>
                <w:sz w:val="18"/>
                <w:szCs w:val="18"/>
                <w:lang w:val="en-US" w:eastAsia="zh-CN"/>
              </w:rPr>
              <w:t>1949</w:t>
            </w:r>
          </w:p>
        </w:tc>
        <w:tc>
          <w:tcPr>
            <w:tcW w:w="1138" w:type="pct"/>
            <w:gridSpan w:val="2"/>
            <w:noWrap/>
            <w:vAlign w:val="center"/>
          </w:tcPr>
          <w:p>
            <w:pPr>
              <w:pStyle w:val="30"/>
              <w:jc w:val="both"/>
              <w:rPr>
                <w:rFonts w:hint="default" w:eastAsia="宋体" w:cs="Times New Roman"/>
                <w:sz w:val="18"/>
                <w:lang w:val="en-US" w:eastAsia="zh-CN"/>
              </w:rPr>
            </w:pPr>
            <w:r>
              <w:rPr>
                <w:rFonts w:hint="eastAsia" w:cs="Times New Roman"/>
                <w:sz w:val="18"/>
                <w:lang w:val="en-US" w:eastAsia="zh-CN"/>
              </w:rPr>
              <w:t>22%</w:t>
            </w:r>
          </w:p>
        </w:tc>
        <w:tc>
          <w:tcPr>
            <w:tcW w:w="1013" w:type="pct"/>
            <w:noWrap/>
            <w:vAlign w:val="center"/>
          </w:tcPr>
          <w:p>
            <w:pPr>
              <w:pStyle w:val="30"/>
              <w:jc w:val="both"/>
              <w:rPr>
                <w:rFonts w:cs="Times New Roman"/>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财政拨款</w:t>
            </w:r>
          </w:p>
        </w:tc>
        <w:tc>
          <w:tcPr>
            <w:tcW w:w="500"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8700</w:t>
            </w:r>
          </w:p>
        </w:tc>
        <w:tc>
          <w:tcPr>
            <w:tcW w:w="611"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6751</w:t>
            </w:r>
          </w:p>
        </w:tc>
        <w:tc>
          <w:tcPr>
            <w:tcW w:w="647" w:type="pct"/>
            <w:noWrap/>
            <w:vAlign w:val="center"/>
          </w:tcPr>
          <w:p>
            <w:pPr>
              <w:pStyle w:val="30"/>
              <w:jc w:val="both"/>
              <w:rPr>
                <w:rFonts w:hint="default" w:eastAsia="宋体" w:cs="Times New Roman"/>
                <w:sz w:val="18"/>
                <w:lang w:val="en-US" w:eastAsia="zh-CN"/>
              </w:rPr>
            </w:pPr>
            <w:r>
              <w:rPr>
                <w:rFonts w:hint="eastAsia" w:ascii="宋体" w:hAnsi="宋体"/>
                <w:color w:val="000000"/>
                <w:kern w:val="0"/>
                <w:sz w:val="18"/>
                <w:szCs w:val="18"/>
                <w:lang w:val="en-US" w:eastAsia="zh-CN"/>
              </w:rPr>
              <w:t>1949</w:t>
            </w:r>
          </w:p>
        </w:tc>
        <w:tc>
          <w:tcPr>
            <w:tcW w:w="1138" w:type="pct"/>
            <w:gridSpan w:val="2"/>
            <w:noWrap/>
            <w:vAlign w:val="center"/>
          </w:tcPr>
          <w:p>
            <w:pPr>
              <w:pStyle w:val="30"/>
              <w:jc w:val="both"/>
              <w:rPr>
                <w:rFonts w:hint="default" w:eastAsia="宋体" w:cs="Times New Roman"/>
                <w:sz w:val="18"/>
                <w:lang w:val="en-US" w:eastAsia="zh-CN"/>
              </w:rPr>
            </w:pPr>
            <w:r>
              <w:rPr>
                <w:rFonts w:hint="eastAsia" w:cs="Times New Roman"/>
                <w:sz w:val="18"/>
                <w:lang w:val="en-US" w:eastAsia="zh-CN"/>
              </w:rPr>
              <w:t>22%</w:t>
            </w:r>
          </w:p>
        </w:tc>
        <w:tc>
          <w:tcPr>
            <w:tcW w:w="1013" w:type="pct"/>
            <w:noWrap/>
            <w:vAlign w:val="center"/>
          </w:tcPr>
          <w:p>
            <w:pPr>
              <w:pStyle w:val="30"/>
              <w:jc w:val="both"/>
              <w:rPr>
                <w:rFonts w:cs="Times New Roman"/>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其他资金</w:t>
            </w:r>
          </w:p>
        </w:tc>
        <w:tc>
          <w:tcPr>
            <w:tcW w:w="500" w:type="pct"/>
            <w:gridSpan w:val="2"/>
            <w:noWrap/>
            <w:vAlign w:val="center"/>
          </w:tcPr>
          <w:p>
            <w:pPr>
              <w:pStyle w:val="30"/>
              <w:jc w:val="center"/>
              <w:rPr>
                <w:rFonts w:cs="Times New Roman"/>
                <w:sz w:val="18"/>
                <w:lang w:val="en-US"/>
              </w:rPr>
            </w:pPr>
          </w:p>
        </w:tc>
        <w:tc>
          <w:tcPr>
            <w:tcW w:w="611" w:type="pct"/>
            <w:gridSpan w:val="2"/>
            <w:noWrap/>
            <w:vAlign w:val="center"/>
          </w:tcPr>
          <w:p>
            <w:pPr>
              <w:pStyle w:val="30"/>
              <w:tabs>
                <w:tab w:val="left" w:pos="290"/>
                <w:tab w:val="center" w:pos="536"/>
              </w:tabs>
              <w:rPr>
                <w:rFonts w:cs="Times New Roman"/>
                <w:sz w:val="18"/>
                <w:lang w:val="en-US"/>
              </w:rPr>
            </w:pPr>
            <w:r>
              <w:rPr>
                <w:rFonts w:cs="Times New Roman"/>
                <w:sz w:val="18"/>
                <w:lang w:val="en-US"/>
              </w:rPr>
              <w:tab/>
            </w:r>
          </w:p>
        </w:tc>
        <w:tc>
          <w:tcPr>
            <w:tcW w:w="647" w:type="pct"/>
            <w:noWrap/>
            <w:vAlign w:val="center"/>
          </w:tcPr>
          <w:p>
            <w:pPr>
              <w:pStyle w:val="30"/>
              <w:jc w:val="both"/>
              <w:rPr>
                <w:rFonts w:cs="Times New Roman"/>
                <w:sz w:val="18"/>
                <w:lang w:val="en-US"/>
              </w:rPr>
            </w:pPr>
            <w:r>
              <w:rPr>
                <w:rFonts w:cs="Times New Roman"/>
                <w:sz w:val="18"/>
                <w:lang w:val="en-US"/>
              </w:rPr>
              <w:t>0</w:t>
            </w:r>
          </w:p>
        </w:tc>
        <w:tc>
          <w:tcPr>
            <w:tcW w:w="1138" w:type="pct"/>
            <w:gridSpan w:val="2"/>
            <w:noWrap/>
            <w:vAlign w:val="center"/>
          </w:tcPr>
          <w:p>
            <w:pPr>
              <w:pStyle w:val="30"/>
              <w:jc w:val="both"/>
              <w:rPr>
                <w:rFonts w:cs="Times New Roman"/>
                <w:sz w:val="18"/>
                <w:lang w:val="en-US"/>
              </w:rPr>
            </w:pPr>
            <w:r>
              <w:rPr>
                <w:rFonts w:cs="Times New Roman"/>
                <w:sz w:val="18"/>
                <w:lang w:val="en-US"/>
              </w:rPr>
              <w:t>0%</w:t>
            </w:r>
          </w:p>
        </w:tc>
        <w:tc>
          <w:tcPr>
            <w:tcW w:w="1013" w:type="pct"/>
            <w:noWrap/>
            <w:vAlign w:val="center"/>
          </w:tcPr>
          <w:p>
            <w:pPr>
              <w:pStyle w:val="30"/>
              <w:jc w:val="both"/>
              <w:rPr>
                <w:rFonts w:cs="Times New Roman"/>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3"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财政拨款结构</w:t>
            </w: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tc>
        <w:tc>
          <w:tcPr>
            <w:tcW w:w="50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合计</w:t>
            </w:r>
          </w:p>
        </w:tc>
        <w:tc>
          <w:tcPr>
            <w:tcW w:w="611"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一般公共预算安排</w:t>
            </w:r>
          </w:p>
        </w:tc>
        <w:tc>
          <w:tcPr>
            <w:tcW w:w="647"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政府性基金预算安排</w:t>
            </w:r>
          </w:p>
        </w:tc>
        <w:tc>
          <w:tcPr>
            <w:tcW w:w="1138"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国有资本经营预算安排</w:t>
            </w:r>
          </w:p>
        </w:tc>
        <w:tc>
          <w:tcPr>
            <w:tcW w:w="1013"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85"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预算额</w:t>
            </w:r>
          </w:p>
          <w:p>
            <w:pPr>
              <w:widowControl/>
              <w:spacing w:line="240" w:lineRule="exact"/>
              <w:jc w:val="center"/>
              <w:rPr>
                <w:rFonts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8700</w:t>
            </w:r>
          </w:p>
        </w:tc>
        <w:tc>
          <w:tcPr>
            <w:tcW w:w="611"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8700</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执行额</w:t>
            </w:r>
          </w:p>
          <w:p>
            <w:pPr>
              <w:widowControl/>
              <w:spacing w:line="240" w:lineRule="exact"/>
              <w:jc w:val="center"/>
              <w:rPr>
                <w:rFonts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6751</w:t>
            </w:r>
          </w:p>
        </w:tc>
        <w:tc>
          <w:tcPr>
            <w:tcW w:w="611"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6751</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75"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1949</w:t>
            </w:r>
          </w:p>
        </w:tc>
        <w:tc>
          <w:tcPr>
            <w:tcW w:w="611"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1949</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22%</w:t>
            </w:r>
          </w:p>
        </w:tc>
        <w:tc>
          <w:tcPr>
            <w:tcW w:w="611"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22%</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ascii="宋体"/>
                <w:color w:val="000000"/>
                <w:kern w:val="0"/>
                <w:sz w:val="18"/>
                <w:szCs w:val="18"/>
              </w:rPr>
            </w:pPr>
          </w:p>
        </w:tc>
        <w:tc>
          <w:tcPr>
            <w:tcW w:w="611" w:type="pct"/>
            <w:gridSpan w:val="2"/>
            <w:noWrap/>
            <w:vAlign w:val="center"/>
          </w:tcPr>
          <w:p>
            <w:pPr>
              <w:widowControl/>
              <w:spacing w:line="240" w:lineRule="exact"/>
              <w:jc w:val="left"/>
              <w:rPr>
                <w:rFonts w:ascii="宋体"/>
                <w:color w:val="000000"/>
                <w:kern w:val="0"/>
                <w:sz w:val="18"/>
                <w:szCs w:val="18"/>
              </w:rPr>
            </w:pP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24"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年度总体目标</w:t>
            </w:r>
          </w:p>
        </w:tc>
        <w:tc>
          <w:tcPr>
            <w:tcW w:w="1121" w:type="pct"/>
            <w:gridSpan w:val="4"/>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预算总体目标</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预算总体目标执行结果</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673"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hAnsi="宋体"/>
                <w:color w:val="000000"/>
                <w:kern w:val="0"/>
                <w:sz w:val="18"/>
                <w:szCs w:val="18"/>
              </w:rPr>
              <w:t>目标</w:t>
            </w:r>
            <w:r>
              <w:rPr>
                <w:rFonts w:ascii="宋体" w:hAnsi="宋体"/>
                <w:color w:val="000000"/>
                <w:kern w:val="0"/>
                <w:sz w:val="18"/>
                <w:szCs w:val="18"/>
              </w:rPr>
              <w:t>1:</w:t>
            </w:r>
            <w:r>
              <w:rPr>
                <w:rFonts w:ascii="宋体" w:hAnsi="宋体"/>
                <w:b/>
                <w:sz w:val="32"/>
              </w:rPr>
              <w:t xml:space="preserve"> </w:t>
            </w:r>
            <w:r>
              <w:rPr>
                <w:rFonts w:hint="eastAsia" w:ascii="宋体" w:hAnsi="宋体"/>
                <w:color w:val="000000"/>
                <w:kern w:val="0"/>
                <w:sz w:val="18"/>
                <w:szCs w:val="18"/>
                <w:lang w:val="en-US" w:eastAsia="zh-CN"/>
              </w:rPr>
              <w:t>持续免费开放</w:t>
            </w:r>
          </w:p>
        </w:tc>
        <w:tc>
          <w:tcPr>
            <w:tcW w:w="1258" w:type="pct"/>
            <w:gridSpan w:val="3"/>
            <w:noWrap/>
            <w:vAlign w:val="center"/>
          </w:tcPr>
          <w:p>
            <w:pPr>
              <w:widowControl/>
              <w:spacing w:line="240" w:lineRule="exact"/>
              <w:jc w:val="both"/>
              <w:rPr>
                <w:rFonts w:hint="eastAsia" w:ascii="宋体" w:eastAsia="宋体"/>
                <w:color w:val="000000"/>
                <w:kern w:val="0"/>
                <w:sz w:val="18"/>
                <w:szCs w:val="18"/>
                <w:lang w:val="en-US" w:eastAsia="zh-CN"/>
              </w:rPr>
            </w:pPr>
            <w:r>
              <w:rPr>
                <w:rFonts w:hint="eastAsia" w:ascii="宋体" w:hAnsi="宋体"/>
                <w:color w:val="000000"/>
                <w:kern w:val="0"/>
                <w:sz w:val="18"/>
                <w:szCs w:val="18"/>
                <w:lang w:val="en-US" w:eastAsia="zh-CN"/>
              </w:rPr>
              <w:t>坚持做好疫情常态化防控管理措施，落实全面免费开放工作</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336"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目标</w:t>
            </w:r>
            <w:r>
              <w:rPr>
                <w:rFonts w:ascii="宋体" w:hAnsi="宋体"/>
                <w:color w:val="000000"/>
                <w:kern w:val="0"/>
                <w:sz w:val="18"/>
                <w:szCs w:val="18"/>
              </w:rPr>
              <w:t>2:</w:t>
            </w:r>
            <w:r>
              <w:rPr>
                <w:rFonts w:hint="eastAsia" w:ascii="宋体" w:hAnsi="宋体"/>
                <w:color w:val="000000"/>
                <w:kern w:val="0"/>
                <w:sz w:val="18"/>
                <w:szCs w:val="18"/>
                <w:lang w:val="en-US" w:eastAsia="zh-CN"/>
              </w:rPr>
              <w:t>做好文艺创作、演出、志愿服务等文化活动</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lang w:val="en-US" w:eastAsia="zh-CN"/>
              </w:rPr>
              <w:t>督导分馆建设，开设免开阵地文艺；进行公益性艺术辅导</w:t>
            </w: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目标</w:t>
            </w:r>
            <w:r>
              <w:rPr>
                <w:rFonts w:ascii="宋体" w:hAnsi="宋体"/>
                <w:color w:val="000000"/>
                <w:kern w:val="0"/>
                <w:sz w:val="18"/>
                <w:szCs w:val="18"/>
              </w:rPr>
              <w:t>3:</w:t>
            </w:r>
            <w:r>
              <w:rPr>
                <w:rFonts w:hint="eastAsia" w:ascii="宋体" w:hAnsi="宋体"/>
                <w:color w:val="000000"/>
                <w:kern w:val="0"/>
                <w:sz w:val="18"/>
                <w:szCs w:val="18"/>
              </w:rPr>
              <w:t>………</w:t>
            </w:r>
            <w:r>
              <w:rPr>
                <w:rFonts w:ascii="宋体" w:hAnsi="宋体"/>
                <w:color w:val="000000"/>
                <w:kern w:val="0"/>
                <w:sz w:val="18"/>
                <w:szCs w:val="18"/>
              </w:rPr>
              <w:t>.</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年度绩</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效指标</w:t>
            </w:r>
          </w:p>
        </w:tc>
        <w:tc>
          <w:tcPr>
            <w:tcW w:w="386"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一级</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734"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二级指标</w:t>
            </w:r>
          </w:p>
        </w:tc>
        <w:tc>
          <w:tcPr>
            <w:tcW w:w="421"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三级</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836"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w:t>
            </w:r>
            <w:r>
              <w:rPr>
                <w:rFonts w:ascii="宋体" w:hAnsi="宋体"/>
                <w:color w:val="000000"/>
                <w:kern w:val="0"/>
                <w:sz w:val="18"/>
                <w:szCs w:val="18"/>
              </w:rPr>
              <w:t>(</w:t>
            </w:r>
            <w:r>
              <w:rPr>
                <w:rFonts w:hint="eastAsia" w:ascii="宋体" w:hAnsi="宋体"/>
                <w:color w:val="000000"/>
                <w:kern w:val="0"/>
                <w:sz w:val="18"/>
                <w:szCs w:val="18"/>
              </w:rPr>
              <w:t>包含数字及文字描述</w:t>
            </w:r>
            <w:r>
              <w:rPr>
                <w:rFonts w:ascii="宋体" w:hAnsi="宋体"/>
                <w:color w:val="000000"/>
                <w:kern w:val="0"/>
                <w:sz w:val="18"/>
                <w:szCs w:val="18"/>
              </w:rPr>
              <w:t>)</w:t>
            </w:r>
          </w:p>
        </w:tc>
        <w:tc>
          <w:tcPr>
            <w:tcW w:w="935" w:type="pct"/>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预算指标值执行结果</w:t>
            </w:r>
            <w:r>
              <w:rPr>
                <w:rFonts w:ascii="宋体" w:hAnsi="宋体"/>
                <w:color w:val="000000"/>
                <w:kern w:val="0"/>
                <w:sz w:val="18"/>
                <w:szCs w:val="18"/>
              </w:rPr>
              <w:t>(</w:t>
            </w:r>
            <w:r>
              <w:rPr>
                <w:rFonts w:hint="eastAsia" w:ascii="宋体" w:hAnsi="宋体"/>
                <w:color w:val="000000"/>
                <w:kern w:val="0"/>
                <w:sz w:val="18"/>
                <w:szCs w:val="18"/>
              </w:rPr>
              <w:t>包含数字及文字描述</w:t>
            </w:r>
            <w:r>
              <w:rPr>
                <w:rFonts w:ascii="宋体" w:hAnsi="宋体"/>
                <w:color w:val="000000"/>
                <w:kern w:val="0"/>
                <w:sz w:val="18"/>
                <w:szCs w:val="18"/>
              </w:rPr>
              <w:t>)</w:t>
            </w:r>
          </w:p>
        </w:tc>
        <w:tc>
          <w:tcPr>
            <w:tcW w:w="121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完成</w:t>
            </w: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数量</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辅导22个分馆建设，</w:t>
            </w:r>
          </w:p>
        </w:tc>
        <w:tc>
          <w:tcPr>
            <w:tcW w:w="935" w:type="pct"/>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指导了乡镇和街道办22个分馆开设免费艺术阵地</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r>
              <w:rPr>
                <w:rFonts w:hint="eastAsia" w:ascii="宋体" w:hAnsi="宋体"/>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全年两季的 文艺培训班</w:t>
            </w:r>
          </w:p>
        </w:tc>
        <w:tc>
          <w:tcPr>
            <w:tcW w:w="935" w:type="pct"/>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开设了春秋两季培训班</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r>
              <w:rPr>
                <w:rFonts w:hint="eastAsia" w:ascii="宋体" w:hAnsi="宋体"/>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质量</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推选出省市优秀作品</w:t>
            </w:r>
          </w:p>
        </w:tc>
        <w:tc>
          <w:tcPr>
            <w:tcW w:w="935" w:type="pct"/>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2收歌手收录为本地特色主作品</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r>
              <w:rPr>
                <w:rFonts w:hint="eastAsia" w:ascii="宋体" w:hAnsi="宋体"/>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时效</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成本</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421"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restart"/>
            <w:vAlign w:val="center"/>
          </w:tcPr>
          <w:p>
            <w:pPr>
              <w:spacing w:line="240" w:lineRule="exact"/>
              <w:jc w:val="center"/>
              <w:rPr>
                <w:rFonts w:ascii="宋体"/>
                <w:color w:val="000000"/>
                <w:kern w:val="0"/>
                <w:sz w:val="18"/>
                <w:szCs w:val="18"/>
              </w:rPr>
            </w:pPr>
            <w:r>
              <w:rPr>
                <w:rFonts w:hint="eastAsia" w:ascii="宋体" w:hAnsi="宋体"/>
                <w:color w:val="000000"/>
                <w:kern w:val="0"/>
                <w:sz w:val="18"/>
                <w:szCs w:val="18"/>
              </w:rPr>
              <w:t>年度绩效指标</w:t>
            </w:r>
          </w:p>
        </w:tc>
        <w:tc>
          <w:tcPr>
            <w:tcW w:w="386"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效益</w:t>
            </w: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经济效益指标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社会效益指标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生态效益指标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可持续影响指标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421"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满意度</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满意度指标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421"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bl>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3"/>
      <w:bookmarkEnd w:id="5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p>
    <w:p>
      <w:pPr>
        <w:pStyle w:val="4"/>
        <w:rPr>
          <w:rFonts w:ascii="仿宋" w:hAnsi="仿宋" w:eastAsia="仿宋"/>
        </w:rPr>
      </w:pPr>
      <w:bookmarkStart w:id="60" w:name="_Toc15396620"/>
      <w:r>
        <w:rPr>
          <w:rFonts w:hint="eastAsia" w:ascii="仿宋" w:hAnsi="仿宋" w:eastAsia="仿宋"/>
          <w:b w:val="0"/>
        </w:rPr>
        <w:t>二、收</w:t>
      </w:r>
      <w:r>
        <w:rPr>
          <w:rStyle w:val="26"/>
          <w:rFonts w:hint="eastAsia" w:ascii="仿宋" w:hAnsi="仿宋" w:eastAsia="仿宋"/>
          <w:b w:val="0"/>
          <w:bCs w:val="0"/>
        </w:rPr>
        <w:t>入决算表</w:t>
      </w:r>
      <w:bookmarkEnd w:id="60"/>
    </w:p>
    <w:p>
      <w:pPr>
        <w:pStyle w:val="4"/>
        <w:rPr>
          <w:rFonts w:ascii="仿宋" w:hAnsi="仿宋" w:eastAsia="仿宋"/>
        </w:rPr>
      </w:pPr>
      <w:bookmarkStart w:id="61"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1"/>
    </w:p>
    <w:p>
      <w:pPr>
        <w:pStyle w:val="4"/>
        <w:rPr>
          <w:rFonts w:ascii="仿宋" w:hAnsi="仿宋" w:eastAsia="仿宋"/>
          <w:b w:val="0"/>
        </w:rPr>
      </w:pPr>
      <w:bookmarkStart w:id="62"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2"/>
    </w:p>
    <w:p>
      <w:pPr>
        <w:pStyle w:val="4"/>
        <w:rPr>
          <w:rStyle w:val="26"/>
          <w:rFonts w:ascii="仿宋" w:hAnsi="仿宋" w:eastAsia="仿宋"/>
          <w:b w:val="0"/>
          <w:bCs w:val="0"/>
        </w:rPr>
      </w:pPr>
      <w:bookmarkStart w:id="63"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3"/>
      <w:bookmarkStart w:id="64"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4"/>
    </w:p>
    <w:p>
      <w:pPr>
        <w:pStyle w:val="4"/>
        <w:rPr>
          <w:rFonts w:ascii="仿宋" w:hAnsi="仿宋" w:eastAsia="仿宋"/>
        </w:rPr>
      </w:pPr>
      <w:bookmarkStart w:id="65"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5"/>
    </w:p>
    <w:p>
      <w:pPr>
        <w:pStyle w:val="4"/>
        <w:rPr>
          <w:rFonts w:ascii="仿宋" w:hAnsi="仿宋" w:eastAsia="仿宋"/>
        </w:rPr>
      </w:pPr>
      <w:bookmarkStart w:id="66"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6"/>
    </w:p>
    <w:p>
      <w:pPr>
        <w:pStyle w:val="4"/>
        <w:rPr>
          <w:rFonts w:ascii="仿宋" w:hAnsi="仿宋" w:eastAsia="仿宋"/>
        </w:rPr>
      </w:pPr>
      <w:bookmarkStart w:id="67"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7"/>
    </w:p>
    <w:p>
      <w:pPr>
        <w:pStyle w:val="4"/>
        <w:rPr>
          <w:rFonts w:ascii="仿宋" w:hAnsi="仿宋" w:eastAsia="仿宋"/>
        </w:rPr>
      </w:pPr>
      <w:bookmarkStart w:id="68"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8"/>
    </w:p>
    <w:p>
      <w:pPr>
        <w:pStyle w:val="4"/>
        <w:rPr>
          <w:rFonts w:ascii="仿宋" w:hAnsi="仿宋" w:eastAsia="仿宋"/>
        </w:rPr>
      </w:pPr>
      <w:bookmarkStart w:id="69"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9"/>
    </w:p>
    <w:p>
      <w:pPr>
        <w:pStyle w:val="4"/>
        <w:rPr>
          <w:rFonts w:ascii="仿宋" w:hAnsi="仿宋" w:eastAsia="仿宋"/>
        </w:rPr>
      </w:pPr>
      <w:bookmarkStart w:id="70"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0"/>
    </w:p>
    <w:p>
      <w:pPr>
        <w:pStyle w:val="4"/>
        <w:rPr>
          <w:rStyle w:val="26"/>
          <w:rFonts w:hint="eastAsia" w:ascii="仿宋" w:hAnsi="仿宋" w:eastAsia="仿宋"/>
          <w:b w:val="0"/>
          <w:bCs w:val="0"/>
        </w:rPr>
      </w:pPr>
      <w:bookmarkStart w:id="71"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1"/>
    </w:p>
    <w:p>
      <w:pPr>
        <w:rPr>
          <w:rStyle w:val="25"/>
          <w:rFonts w:eastAsia="黑体"/>
          <w:b w:val="0"/>
        </w:rPr>
      </w:pPr>
      <w:r>
        <w:rPr>
          <w:rStyle w:val="26"/>
          <w:rFonts w:hint="eastAsia" w:ascii="仿宋" w:hAnsi="仿宋" w:eastAsia="仿宋"/>
          <w:b w:val="0"/>
          <w:bCs w:val="0"/>
        </w:rPr>
        <w:t>十四、国有资本经营预算财政拨款支出决算表</w:t>
      </w:r>
    </w:p>
    <w:p>
      <w:pPr>
        <w:pStyle w:val="4"/>
        <w:rPr>
          <w:rFonts w:ascii="仿宋" w:hAnsi="仿宋" w:eastAsia="仿宋"/>
          <w:color w:val="000000" w:themeColor="text1"/>
          <w:highlight w:val="yellow"/>
          <w14:textFill>
            <w14:solidFill>
              <w14:schemeClr w14:val="tx1"/>
            </w14:solidFill>
          </w14:textFill>
        </w:rPr>
      </w:pP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1" w:lineRule="exact"/>
      <w:ind w:left="20"/>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53340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2pt;height:144pt;width:144pt;mso-position-horizontal:center;mso-position-horizontal-relative:margin;mso-wrap-style:none;z-index:251659264;mso-width-relative:page;mso-height-relative:page;" filled="f" stroked="f" coordsize="21600,21600" o:gfxdata="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7sYotMAAAAGAQAADwAAAAAAAAABACAAAAAiAAAAZHJzL2Rvd25yZXYueG1sUEsBAhQA&#10;FAAAAAgAh07iQA8V5Q0wAgAAYwQAAA4AAAAAAAAAAQAgAAAAIg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7CC30"/>
    <w:multiLevelType w:val="singleLevel"/>
    <w:tmpl w:val="9D97CC30"/>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29E7AF7"/>
    <w:multiLevelType w:val="multilevel"/>
    <w:tmpl w:val="129E7A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207A2E9"/>
    <w:multiLevelType w:val="singleLevel"/>
    <w:tmpl w:val="7207A2E9"/>
    <w:lvl w:ilvl="0" w:tentative="0">
      <w:start w:val="2"/>
      <w:numFmt w:val="chineseCounting"/>
      <w:suff w:val="nothing"/>
      <w:lvlText w:val="%1、"/>
      <w:lvlJc w:val="left"/>
      <w:rPr>
        <w:rFonts w:hint="eastAsia"/>
      </w:rPr>
    </w:lvl>
  </w:abstractNum>
  <w:abstractNum w:abstractNumId="6">
    <w:nsid w:val="7E2B1F8F"/>
    <w:multiLevelType w:val="singleLevel"/>
    <w:tmpl w:val="7E2B1F8F"/>
    <w:lvl w:ilvl="0" w:tentative="0">
      <w:start w:val="3"/>
      <w:numFmt w:val="decimal"/>
      <w:lvlText w:val="%1."/>
      <w:lvlJc w:val="left"/>
      <w:pPr>
        <w:tabs>
          <w:tab w:val="left" w:pos="312"/>
        </w:tabs>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MjM2YmFkZDk1YmFjNjFlYmU4MTNmMTA0MTFiZTcifQ=="/>
  </w:docVars>
  <w:rsids>
    <w:rsidRoot w:val="00172A27"/>
    <w:rsid w:val="000222C6"/>
    <w:rsid w:val="0002549F"/>
    <w:rsid w:val="000315C8"/>
    <w:rsid w:val="0003385C"/>
    <w:rsid w:val="00046DB1"/>
    <w:rsid w:val="000574BE"/>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4729F"/>
    <w:rsid w:val="00157BAB"/>
    <w:rsid w:val="0016008B"/>
    <w:rsid w:val="001654D1"/>
    <w:rsid w:val="00173124"/>
    <w:rsid w:val="0018106D"/>
    <w:rsid w:val="001844B5"/>
    <w:rsid w:val="001877A7"/>
    <w:rsid w:val="00191536"/>
    <w:rsid w:val="00196687"/>
    <w:rsid w:val="001A7127"/>
    <w:rsid w:val="001C0962"/>
    <w:rsid w:val="001D5B1A"/>
    <w:rsid w:val="001D7531"/>
    <w:rsid w:val="001E737D"/>
    <w:rsid w:val="001F0336"/>
    <w:rsid w:val="001F0592"/>
    <w:rsid w:val="001F7506"/>
    <w:rsid w:val="002006CD"/>
    <w:rsid w:val="00202B36"/>
    <w:rsid w:val="00204B7A"/>
    <w:rsid w:val="0021101A"/>
    <w:rsid w:val="00220536"/>
    <w:rsid w:val="002276A3"/>
    <w:rsid w:val="00227716"/>
    <w:rsid w:val="00235629"/>
    <w:rsid w:val="00243AD2"/>
    <w:rsid w:val="00260C38"/>
    <w:rsid w:val="002616C0"/>
    <w:rsid w:val="002662AA"/>
    <w:rsid w:val="00280496"/>
    <w:rsid w:val="0028444E"/>
    <w:rsid w:val="00295495"/>
    <w:rsid w:val="002A0578"/>
    <w:rsid w:val="002B2613"/>
    <w:rsid w:val="002C4E4C"/>
    <w:rsid w:val="002D1C95"/>
    <w:rsid w:val="002F1818"/>
    <w:rsid w:val="002F4289"/>
    <w:rsid w:val="002F567B"/>
    <w:rsid w:val="002F5725"/>
    <w:rsid w:val="003216A9"/>
    <w:rsid w:val="00330B5D"/>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0628"/>
    <w:rsid w:val="004529A8"/>
    <w:rsid w:val="00471401"/>
    <w:rsid w:val="00473F31"/>
    <w:rsid w:val="0048263A"/>
    <w:rsid w:val="00487E5D"/>
    <w:rsid w:val="004A711F"/>
    <w:rsid w:val="004B199D"/>
    <w:rsid w:val="004B4690"/>
    <w:rsid w:val="004E0A2D"/>
    <w:rsid w:val="004E206B"/>
    <w:rsid w:val="004E6DF7"/>
    <w:rsid w:val="004F0FBD"/>
    <w:rsid w:val="005056C1"/>
    <w:rsid w:val="00505A47"/>
    <w:rsid w:val="00512FDA"/>
    <w:rsid w:val="00520DA0"/>
    <w:rsid w:val="00544151"/>
    <w:rsid w:val="005443B4"/>
    <w:rsid w:val="005664BB"/>
    <w:rsid w:val="0057481D"/>
    <w:rsid w:val="00580237"/>
    <w:rsid w:val="0058030D"/>
    <w:rsid w:val="0058486E"/>
    <w:rsid w:val="005A1059"/>
    <w:rsid w:val="005A2A8F"/>
    <w:rsid w:val="005D1C8B"/>
    <w:rsid w:val="005D5CED"/>
    <w:rsid w:val="005D6EE8"/>
    <w:rsid w:val="005F1A4C"/>
    <w:rsid w:val="00605688"/>
    <w:rsid w:val="006070AF"/>
    <w:rsid w:val="00607E6C"/>
    <w:rsid w:val="006101B1"/>
    <w:rsid w:val="00614E44"/>
    <w:rsid w:val="00617ABD"/>
    <w:rsid w:val="00620798"/>
    <w:rsid w:val="00622830"/>
    <w:rsid w:val="00630AEF"/>
    <w:rsid w:val="006325F8"/>
    <w:rsid w:val="00634C9A"/>
    <w:rsid w:val="006440E4"/>
    <w:rsid w:val="0066343B"/>
    <w:rsid w:val="00663911"/>
    <w:rsid w:val="00664777"/>
    <w:rsid w:val="006748A4"/>
    <w:rsid w:val="00683C88"/>
    <w:rsid w:val="00683E73"/>
    <w:rsid w:val="00686AB7"/>
    <w:rsid w:val="0069427B"/>
    <w:rsid w:val="00695B65"/>
    <w:rsid w:val="006A3141"/>
    <w:rsid w:val="006A5E34"/>
    <w:rsid w:val="006B2422"/>
    <w:rsid w:val="006B2B9A"/>
    <w:rsid w:val="006B4535"/>
    <w:rsid w:val="006C1937"/>
    <w:rsid w:val="006D5A04"/>
    <w:rsid w:val="006F020C"/>
    <w:rsid w:val="00706242"/>
    <w:rsid w:val="007127B7"/>
    <w:rsid w:val="007416B6"/>
    <w:rsid w:val="00746F48"/>
    <w:rsid w:val="0075404D"/>
    <w:rsid w:val="0076182A"/>
    <w:rsid w:val="00767B7E"/>
    <w:rsid w:val="007770C3"/>
    <w:rsid w:val="00784D24"/>
    <w:rsid w:val="00785FBA"/>
    <w:rsid w:val="00786E4A"/>
    <w:rsid w:val="007875EB"/>
    <w:rsid w:val="0079426B"/>
    <w:rsid w:val="007A7DBD"/>
    <w:rsid w:val="007D312A"/>
    <w:rsid w:val="007D3F19"/>
    <w:rsid w:val="007E23B0"/>
    <w:rsid w:val="007E6A10"/>
    <w:rsid w:val="007F1991"/>
    <w:rsid w:val="007F2C2F"/>
    <w:rsid w:val="007F55FC"/>
    <w:rsid w:val="007F5665"/>
    <w:rsid w:val="00800112"/>
    <w:rsid w:val="00804059"/>
    <w:rsid w:val="008076A0"/>
    <w:rsid w:val="008253BB"/>
    <w:rsid w:val="0083706E"/>
    <w:rsid w:val="00837782"/>
    <w:rsid w:val="0084151F"/>
    <w:rsid w:val="008423A5"/>
    <w:rsid w:val="00850625"/>
    <w:rsid w:val="00853718"/>
    <w:rsid w:val="0085441A"/>
    <w:rsid w:val="00855221"/>
    <w:rsid w:val="00860645"/>
    <w:rsid w:val="00863CC6"/>
    <w:rsid w:val="00871F71"/>
    <w:rsid w:val="00885AF4"/>
    <w:rsid w:val="008939CD"/>
    <w:rsid w:val="00895F8D"/>
    <w:rsid w:val="008B768C"/>
    <w:rsid w:val="008C4CF1"/>
    <w:rsid w:val="008C4DB1"/>
    <w:rsid w:val="008C4EAF"/>
    <w:rsid w:val="008C5176"/>
    <w:rsid w:val="008C7FD0"/>
    <w:rsid w:val="008E1DE7"/>
    <w:rsid w:val="008E707C"/>
    <w:rsid w:val="00900B08"/>
    <w:rsid w:val="00902155"/>
    <w:rsid w:val="00902FA3"/>
    <w:rsid w:val="00923564"/>
    <w:rsid w:val="0092392E"/>
    <w:rsid w:val="009315F9"/>
    <w:rsid w:val="00935EF8"/>
    <w:rsid w:val="00946945"/>
    <w:rsid w:val="00947BE4"/>
    <w:rsid w:val="00951248"/>
    <w:rsid w:val="0095152F"/>
    <w:rsid w:val="00954C49"/>
    <w:rsid w:val="009650C2"/>
    <w:rsid w:val="0097099F"/>
    <w:rsid w:val="00971997"/>
    <w:rsid w:val="00971FFC"/>
    <w:rsid w:val="0098660A"/>
    <w:rsid w:val="009931C3"/>
    <w:rsid w:val="009B2C43"/>
    <w:rsid w:val="009B4EAE"/>
    <w:rsid w:val="009B7573"/>
    <w:rsid w:val="009C22F4"/>
    <w:rsid w:val="009C2E98"/>
    <w:rsid w:val="009D2677"/>
    <w:rsid w:val="009D3447"/>
    <w:rsid w:val="009D4711"/>
    <w:rsid w:val="009F1185"/>
    <w:rsid w:val="009F18CD"/>
    <w:rsid w:val="009F2A13"/>
    <w:rsid w:val="009F6375"/>
    <w:rsid w:val="00A04EB0"/>
    <w:rsid w:val="00A12D5C"/>
    <w:rsid w:val="00A13CC1"/>
    <w:rsid w:val="00A16847"/>
    <w:rsid w:val="00A237D8"/>
    <w:rsid w:val="00A268C4"/>
    <w:rsid w:val="00A307CD"/>
    <w:rsid w:val="00A40A00"/>
    <w:rsid w:val="00A4142F"/>
    <w:rsid w:val="00A56DF2"/>
    <w:rsid w:val="00A67AB5"/>
    <w:rsid w:val="00A718D3"/>
    <w:rsid w:val="00A91760"/>
    <w:rsid w:val="00A93B00"/>
    <w:rsid w:val="00A93C21"/>
    <w:rsid w:val="00AB6512"/>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E6E64"/>
    <w:rsid w:val="00BF1C05"/>
    <w:rsid w:val="00BF5BD6"/>
    <w:rsid w:val="00C03E31"/>
    <w:rsid w:val="00C10220"/>
    <w:rsid w:val="00C33E72"/>
    <w:rsid w:val="00C354B2"/>
    <w:rsid w:val="00C35554"/>
    <w:rsid w:val="00C42709"/>
    <w:rsid w:val="00C533CC"/>
    <w:rsid w:val="00C568AA"/>
    <w:rsid w:val="00C5751C"/>
    <w:rsid w:val="00C61BFC"/>
    <w:rsid w:val="00C62B85"/>
    <w:rsid w:val="00C65438"/>
    <w:rsid w:val="00C91CBB"/>
    <w:rsid w:val="00C92CA5"/>
    <w:rsid w:val="00CC09B6"/>
    <w:rsid w:val="00CC666F"/>
    <w:rsid w:val="00CD1E3F"/>
    <w:rsid w:val="00CD6D27"/>
    <w:rsid w:val="00CE44F6"/>
    <w:rsid w:val="00CE49DA"/>
    <w:rsid w:val="00CE7B61"/>
    <w:rsid w:val="00D00095"/>
    <w:rsid w:val="00D20620"/>
    <w:rsid w:val="00D26091"/>
    <w:rsid w:val="00D33621"/>
    <w:rsid w:val="00D34E7C"/>
    <w:rsid w:val="00D35489"/>
    <w:rsid w:val="00D51276"/>
    <w:rsid w:val="00D7035F"/>
    <w:rsid w:val="00DA65AC"/>
    <w:rsid w:val="00DB1913"/>
    <w:rsid w:val="00DB283C"/>
    <w:rsid w:val="00DC410D"/>
    <w:rsid w:val="00DC68CA"/>
    <w:rsid w:val="00DC7CBA"/>
    <w:rsid w:val="00DD73B7"/>
    <w:rsid w:val="00DD7A1D"/>
    <w:rsid w:val="00DF28BC"/>
    <w:rsid w:val="00DF34B9"/>
    <w:rsid w:val="00E01053"/>
    <w:rsid w:val="00E07ACF"/>
    <w:rsid w:val="00E212F1"/>
    <w:rsid w:val="00E331A1"/>
    <w:rsid w:val="00E33202"/>
    <w:rsid w:val="00E336A9"/>
    <w:rsid w:val="00E50624"/>
    <w:rsid w:val="00E568DF"/>
    <w:rsid w:val="00E64269"/>
    <w:rsid w:val="00E82267"/>
    <w:rsid w:val="00E9005E"/>
    <w:rsid w:val="00EA010F"/>
    <w:rsid w:val="00EB14C2"/>
    <w:rsid w:val="00EB1BDB"/>
    <w:rsid w:val="00ED1B63"/>
    <w:rsid w:val="00ED3C1F"/>
    <w:rsid w:val="00ED4085"/>
    <w:rsid w:val="00ED420E"/>
    <w:rsid w:val="00ED7CE3"/>
    <w:rsid w:val="00EE2F57"/>
    <w:rsid w:val="00EF4C34"/>
    <w:rsid w:val="00EF77C6"/>
    <w:rsid w:val="00F05438"/>
    <w:rsid w:val="00F0548C"/>
    <w:rsid w:val="00F1361C"/>
    <w:rsid w:val="00F160C7"/>
    <w:rsid w:val="00F36D8F"/>
    <w:rsid w:val="00F417B1"/>
    <w:rsid w:val="00F44F78"/>
    <w:rsid w:val="00F602DF"/>
    <w:rsid w:val="00F81FD9"/>
    <w:rsid w:val="00F841AA"/>
    <w:rsid w:val="00FA23E8"/>
    <w:rsid w:val="00FB0559"/>
    <w:rsid w:val="00FC744A"/>
    <w:rsid w:val="00FD3CC1"/>
    <w:rsid w:val="00FF1E02"/>
    <w:rsid w:val="00FF30B4"/>
    <w:rsid w:val="0179251F"/>
    <w:rsid w:val="01AD28ED"/>
    <w:rsid w:val="02B1090F"/>
    <w:rsid w:val="030812E2"/>
    <w:rsid w:val="03A86C35"/>
    <w:rsid w:val="03B40211"/>
    <w:rsid w:val="03D261CD"/>
    <w:rsid w:val="044E063A"/>
    <w:rsid w:val="046E7730"/>
    <w:rsid w:val="051C21EB"/>
    <w:rsid w:val="05394B77"/>
    <w:rsid w:val="05BB4D9D"/>
    <w:rsid w:val="06264865"/>
    <w:rsid w:val="063F4ED6"/>
    <w:rsid w:val="06701456"/>
    <w:rsid w:val="067D4229"/>
    <w:rsid w:val="067D6841"/>
    <w:rsid w:val="071A0547"/>
    <w:rsid w:val="07453BD5"/>
    <w:rsid w:val="0A39388E"/>
    <w:rsid w:val="0AE94F48"/>
    <w:rsid w:val="0B565DA7"/>
    <w:rsid w:val="0B90280A"/>
    <w:rsid w:val="0C7A7898"/>
    <w:rsid w:val="0D6925AE"/>
    <w:rsid w:val="0D7A2F08"/>
    <w:rsid w:val="0EAA2294"/>
    <w:rsid w:val="10C055FF"/>
    <w:rsid w:val="11040F19"/>
    <w:rsid w:val="11795FEA"/>
    <w:rsid w:val="11DA29FB"/>
    <w:rsid w:val="12D2365C"/>
    <w:rsid w:val="132073AE"/>
    <w:rsid w:val="13496B4C"/>
    <w:rsid w:val="13666699"/>
    <w:rsid w:val="13F6049A"/>
    <w:rsid w:val="1425251C"/>
    <w:rsid w:val="14A708A7"/>
    <w:rsid w:val="14C26E4C"/>
    <w:rsid w:val="157A35C1"/>
    <w:rsid w:val="158C6313"/>
    <w:rsid w:val="16BB723D"/>
    <w:rsid w:val="16EA7873"/>
    <w:rsid w:val="174C6395"/>
    <w:rsid w:val="17964141"/>
    <w:rsid w:val="185935FD"/>
    <w:rsid w:val="18711AD0"/>
    <w:rsid w:val="18A26261"/>
    <w:rsid w:val="191234DD"/>
    <w:rsid w:val="19632FCB"/>
    <w:rsid w:val="19763AE5"/>
    <w:rsid w:val="1A7A5A84"/>
    <w:rsid w:val="1AC752F8"/>
    <w:rsid w:val="1C72007E"/>
    <w:rsid w:val="1C753610"/>
    <w:rsid w:val="1D577D79"/>
    <w:rsid w:val="1F7E0F2D"/>
    <w:rsid w:val="20F84509"/>
    <w:rsid w:val="240371BF"/>
    <w:rsid w:val="24425708"/>
    <w:rsid w:val="246A41DE"/>
    <w:rsid w:val="24F521A8"/>
    <w:rsid w:val="255D4103"/>
    <w:rsid w:val="258D2B2F"/>
    <w:rsid w:val="28905912"/>
    <w:rsid w:val="28A65A70"/>
    <w:rsid w:val="2919717A"/>
    <w:rsid w:val="29FD04D3"/>
    <w:rsid w:val="2A0949B8"/>
    <w:rsid w:val="2A39786B"/>
    <w:rsid w:val="2AE2401A"/>
    <w:rsid w:val="2C153CEE"/>
    <w:rsid w:val="2C6134CC"/>
    <w:rsid w:val="2C961E0B"/>
    <w:rsid w:val="2CA13D0C"/>
    <w:rsid w:val="2D711DBE"/>
    <w:rsid w:val="2E9A03C0"/>
    <w:rsid w:val="2F190C3C"/>
    <w:rsid w:val="2F2871C3"/>
    <w:rsid w:val="2F7470EF"/>
    <w:rsid w:val="30B77247"/>
    <w:rsid w:val="30D95C1C"/>
    <w:rsid w:val="30F2543E"/>
    <w:rsid w:val="31626610"/>
    <w:rsid w:val="31687E86"/>
    <w:rsid w:val="319F7F4E"/>
    <w:rsid w:val="31B97755"/>
    <w:rsid w:val="32AC55BF"/>
    <w:rsid w:val="32D0710A"/>
    <w:rsid w:val="332A424B"/>
    <w:rsid w:val="33AC3D88"/>
    <w:rsid w:val="34A22D99"/>
    <w:rsid w:val="36831A08"/>
    <w:rsid w:val="376B3354"/>
    <w:rsid w:val="37B674A8"/>
    <w:rsid w:val="3845504C"/>
    <w:rsid w:val="38824575"/>
    <w:rsid w:val="38C547D3"/>
    <w:rsid w:val="396C0E56"/>
    <w:rsid w:val="39D35663"/>
    <w:rsid w:val="3A4303EE"/>
    <w:rsid w:val="3A974D2F"/>
    <w:rsid w:val="3AA50933"/>
    <w:rsid w:val="3AB07F42"/>
    <w:rsid w:val="3AED1E53"/>
    <w:rsid w:val="3B762FCD"/>
    <w:rsid w:val="3C976E2A"/>
    <w:rsid w:val="3E091356"/>
    <w:rsid w:val="3EC210E4"/>
    <w:rsid w:val="3F4A5777"/>
    <w:rsid w:val="3F513430"/>
    <w:rsid w:val="40B65D9D"/>
    <w:rsid w:val="40EE0255"/>
    <w:rsid w:val="410704AA"/>
    <w:rsid w:val="413F3146"/>
    <w:rsid w:val="419E5845"/>
    <w:rsid w:val="42C64864"/>
    <w:rsid w:val="43AC30B5"/>
    <w:rsid w:val="44312AF9"/>
    <w:rsid w:val="445779B4"/>
    <w:rsid w:val="44A54D88"/>
    <w:rsid w:val="458D02EB"/>
    <w:rsid w:val="45955CEE"/>
    <w:rsid w:val="45E5196B"/>
    <w:rsid w:val="463A3035"/>
    <w:rsid w:val="46782929"/>
    <w:rsid w:val="46B376A5"/>
    <w:rsid w:val="47F61266"/>
    <w:rsid w:val="481F26EC"/>
    <w:rsid w:val="48584398"/>
    <w:rsid w:val="48DD6F8C"/>
    <w:rsid w:val="49290A51"/>
    <w:rsid w:val="4A1D7A31"/>
    <w:rsid w:val="4A1F009B"/>
    <w:rsid w:val="4A4C7608"/>
    <w:rsid w:val="4A75075A"/>
    <w:rsid w:val="4A7A3B2D"/>
    <w:rsid w:val="4C280903"/>
    <w:rsid w:val="4C7E7798"/>
    <w:rsid w:val="4E4E642D"/>
    <w:rsid w:val="4F053D79"/>
    <w:rsid w:val="4FA9467F"/>
    <w:rsid w:val="50A26C22"/>
    <w:rsid w:val="50BD5E1E"/>
    <w:rsid w:val="51522FB2"/>
    <w:rsid w:val="5185780B"/>
    <w:rsid w:val="534C21A8"/>
    <w:rsid w:val="53B37737"/>
    <w:rsid w:val="53D53D51"/>
    <w:rsid w:val="53F00E4B"/>
    <w:rsid w:val="544A700C"/>
    <w:rsid w:val="552C72F8"/>
    <w:rsid w:val="553E398D"/>
    <w:rsid w:val="55583F96"/>
    <w:rsid w:val="57203AC6"/>
    <w:rsid w:val="59396835"/>
    <w:rsid w:val="5A0E2970"/>
    <w:rsid w:val="5A22360A"/>
    <w:rsid w:val="5A4833D6"/>
    <w:rsid w:val="5B4D4C0B"/>
    <w:rsid w:val="5BB618EA"/>
    <w:rsid w:val="5CB6799B"/>
    <w:rsid w:val="5F3C2EF7"/>
    <w:rsid w:val="5F9404C0"/>
    <w:rsid w:val="5FBE7FA0"/>
    <w:rsid w:val="5FF659B5"/>
    <w:rsid w:val="602161C1"/>
    <w:rsid w:val="6027180C"/>
    <w:rsid w:val="60894650"/>
    <w:rsid w:val="60E457DF"/>
    <w:rsid w:val="60FF039E"/>
    <w:rsid w:val="632B2458"/>
    <w:rsid w:val="63334E8E"/>
    <w:rsid w:val="63374BB2"/>
    <w:rsid w:val="633837B8"/>
    <w:rsid w:val="635601DF"/>
    <w:rsid w:val="63BB3391"/>
    <w:rsid w:val="63D70F74"/>
    <w:rsid w:val="640F2823"/>
    <w:rsid w:val="641B48FA"/>
    <w:rsid w:val="64D041E1"/>
    <w:rsid w:val="64DA07F8"/>
    <w:rsid w:val="655574A3"/>
    <w:rsid w:val="66104412"/>
    <w:rsid w:val="66777CEB"/>
    <w:rsid w:val="670260C4"/>
    <w:rsid w:val="68512825"/>
    <w:rsid w:val="6B5C41B7"/>
    <w:rsid w:val="6B605C9B"/>
    <w:rsid w:val="6B6C7B5C"/>
    <w:rsid w:val="6BC65971"/>
    <w:rsid w:val="6BCB0A8F"/>
    <w:rsid w:val="6CEE5756"/>
    <w:rsid w:val="6DBA0AB2"/>
    <w:rsid w:val="6E3840BB"/>
    <w:rsid w:val="6E697924"/>
    <w:rsid w:val="6EF86A6E"/>
    <w:rsid w:val="711C0FCD"/>
    <w:rsid w:val="71490656"/>
    <w:rsid w:val="715B31E4"/>
    <w:rsid w:val="72406F18"/>
    <w:rsid w:val="731E2732"/>
    <w:rsid w:val="734578F1"/>
    <w:rsid w:val="735B11A6"/>
    <w:rsid w:val="73FB2F08"/>
    <w:rsid w:val="740D2D0D"/>
    <w:rsid w:val="7411423D"/>
    <w:rsid w:val="75614781"/>
    <w:rsid w:val="764502E1"/>
    <w:rsid w:val="76D0106B"/>
    <w:rsid w:val="78AD7DA7"/>
    <w:rsid w:val="78FB5541"/>
    <w:rsid w:val="7965350E"/>
    <w:rsid w:val="79A41261"/>
    <w:rsid w:val="79E17106"/>
    <w:rsid w:val="7A00109A"/>
    <w:rsid w:val="7B607818"/>
    <w:rsid w:val="7B872C74"/>
    <w:rsid w:val="7D2F0766"/>
    <w:rsid w:val="7D7437BE"/>
    <w:rsid w:val="7DDC31A5"/>
    <w:rsid w:val="7E0A5672"/>
    <w:rsid w:val="7E1D6A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正文-公1"/>
    <w:basedOn w:val="1"/>
    <w:qFormat/>
    <w:uiPriority w:val="0"/>
    <w:pPr>
      <w:ind w:firstLine="200" w:firstLineChars="200"/>
    </w:pPr>
    <w:rPr>
      <w:color w:val="000000"/>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90E84-69D9-47AF-915E-F68C5DB1EDD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43</Pages>
  <Words>16829</Words>
  <Characters>17953</Characters>
  <Lines>90</Lines>
  <Paragraphs>25</Paragraphs>
  <TotalTime>33</TotalTime>
  <ScaleCrop>false</ScaleCrop>
  <LinksUpToDate>false</LinksUpToDate>
  <CharactersWithSpaces>18332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隔壁小王</cp:lastModifiedBy>
  <cp:lastPrinted>2019-08-01T00:48:00Z</cp:lastPrinted>
  <dcterms:modified xsi:type="dcterms:W3CDTF">2023-09-13T07:49:30Z</dcterms:modified>
  <dc:title>四川省***</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EBDF6EF35A4C45D680B227D4DDC8BD32</vt:lpwstr>
  </property>
</Properties>
</file>