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96475"/>
      <w:bookmarkStart w:id="4" w:name="_Toc15378441"/>
      <w:bookmarkStart w:id="5" w:name="_Toc15377193"/>
      <w:bookmarkStart w:id="6" w:name="_Toc17103546"/>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7103547"/>
      <w:bookmarkStart w:id="8" w:name="_Toc15396476"/>
      <w:bookmarkStart w:id="9" w:name="_Toc15306268"/>
      <w:bookmarkStart w:id="10" w:name="_Toc15378442"/>
      <w:bookmarkStart w:id="11" w:name="_Toc15377194"/>
      <w:bookmarkStart w:id="12" w:name="_Toc15396598"/>
      <w:bookmarkStart w:id="13" w:name="_Toc15377426"/>
      <w:r>
        <w:rPr>
          <w:rFonts w:hint="eastAsia" w:ascii="方正小标宋简体" w:hAnsi="宋体" w:eastAsia="方正小标宋简体"/>
          <w:color w:val="000000"/>
          <w:sz w:val="72"/>
          <w:szCs w:val="72"/>
        </w:rPr>
        <w:t>资阳市雁江区信访局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r>
        <w:rPr>
          <w:rFonts w:hint="eastAsia" w:ascii="方正小标宋简体" w:hAnsi="宋体" w:eastAsia="方正小标宋简体"/>
          <w:color w:val="000000"/>
          <w:sz w:val="72"/>
          <w:szCs w:val="72"/>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olor w:val="000000"/>
          <w:sz w:val="48"/>
          <w:szCs w:val="48"/>
        </w:rPr>
      </w:pPr>
    </w:p>
    <w:p>
      <w:pPr>
        <w:widowControl/>
        <w:jc w:val="center"/>
        <w:rPr>
          <w:rFonts w:ascii="方正仿宋简体" w:eastAsia="方正仿宋简体"/>
          <w:sz w:val="32"/>
          <w:szCs w:val="32"/>
        </w:rPr>
      </w:pPr>
      <w:r>
        <w:rPr>
          <w:rFonts w:hint="eastAsia" w:ascii="方正仿宋简体" w:eastAsia="方正仿宋简体"/>
          <w:sz w:val="32"/>
          <w:szCs w:val="32"/>
        </w:rPr>
        <w:t>公开时间：2021年8月23日</w:t>
      </w:r>
    </w:p>
    <w:p>
      <w:pPr>
        <w:widowControl/>
        <w:jc w:val="center"/>
        <w:rPr>
          <w:rFonts w:ascii="方正仿宋简体" w:eastAsia="方正仿宋简体"/>
          <w:sz w:val="32"/>
          <w:szCs w:val="32"/>
        </w:rPr>
      </w:pPr>
    </w:p>
    <w:p>
      <w:pPr>
        <w:spacing w:line="600" w:lineRule="exact"/>
        <w:ind w:firstLine="640" w:firstLineChars="200"/>
        <w:rPr>
          <w:rFonts w:ascii="方正仿宋简体" w:eastAsia="方正仿宋简体"/>
          <w:sz w:val="32"/>
          <w:szCs w:val="32"/>
        </w:rPr>
      </w:pPr>
      <w:bookmarkStart w:id="14" w:name="_Toc15377196"/>
      <w:r>
        <w:rPr>
          <w:rFonts w:hint="eastAsia" w:ascii="方正仿宋简体" w:eastAsia="方正仿宋简体"/>
          <w:sz w:val="32"/>
          <w:szCs w:val="32"/>
        </w:rPr>
        <w:t>第一部分 部门概况</w:t>
      </w:r>
      <w:r>
        <w:rPr>
          <w:rFonts w:ascii="方正仿宋简体" w:eastAsia="方正仿宋简体"/>
          <w:sz w:val="32"/>
          <w:szCs w:val="32"/>
        </w:rPr>
        <w:t>…</w:t>
      </w:r>
      <w:r>
        <w:rPr>
          <w:rFonts w:hint="eastAsia" w:ascii="方正仿宋简体" w:eastAsia="方正仿宋简体"/>
          <w:sz w:val="32"/>
          <w:szCs w:val="32"/>
        </w:rPr>
        <w:t>4</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一、基本职能及主要工作.</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二、机构设置.</w:t>
      </w:r>
    </w:p>
    <w:p>
      <w:pPr>
        <w:spacing w:line="600" w:lineRule="exact"/>
        <w:ind w:firstLine="640" w:firstLineChars="200"/>
        <w:rPr>
          <w:rFonts w:hint="eastAsia" w:ascii="方正仿宋简体" w:eastAsia="方正仿宋简体"/>
          <w:sz w:val="32"/>
          <w:szCs w:val="32"/>
          <w:lang w:eastAsia="zh-CN"/>
        </w:rPr>
      </w:pPr>
      <w:r>
        <w:rPr>
          <w:rFonts w:hint="eastAsia" w:ascii="方正仿宋简体" w:eastAsia="方正仿宋简体"/>
          <w:sz w:val="32"/>
          <w:szCs w:val="32"/>
        </w:rPr>
        <w:t>第二部分 2020年度部门决算情况说明</w:t>
      </w:r>
      <w:r>
        <w:rPr>
          <w:rFonts w:ascii="方正仿宋简体" w:eastAsia="方正仿宋简体"/>
          <w:sz w:val="32"/>
          <w:szCs w:val="32"/>
        </w:rPr>
        <w:t>…</w:t>
      </w:r>
      <w:r>
        <w:rPr>
          <w:rFonts w:hint="eastAsia" w:ascii="方正仿宋简体" w:eastAsia="方正仿宋简体"/>
          <w:sz w:val="32"/>
          <w:szCs w:val="32"/>
          <w:lang w:val="en-US" w:eastAsia="zh-CN"/>
        </w:rPr>
        <w:t>8</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一、收入支出决算总体情况说明.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二、收入决算情况说明.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三、支出决算情况说明.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四、财政拨款收入支出决算总体情况说明.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五、一般公共预算财政拨款支出决算情况说明.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六、一般公共预算财政拨款基本支出决算情况说明.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七、“三公”经费财政拨款支出决算情况说明.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八、政府性基金预算支出决算情况说明.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九、 国有资本经营预算支出决算情况说明.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十、预算绩效情况说明.</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十一、其他重要事项的情况说明.</w:t>
      </w:r>
    </w:p>
    <w:p>
      <w:pPr>
        <w:spacing w:line="600" w:lineRule="exact"/>
        <w:ind w:firstLine="640" w:firstLineChars="200"/>
        <w:rPr>
          <w:rFonts w:hint="eastAsia" w:ascii="方正仿宋简体" w:eastAsia="方正仿宋简体"/>
          <w:sz w:val="32"/>
          <w:szCs w:val="32"/>
          <w:lang w:eastAsia="zh-CN"/>
        </w:rPr>
      </w:pPr>
      <w:r>
        <w:rPr>
          <w:rFonts w:hint="eastAsia" w:ascii="方正仿宋简体" w:eastAsia="方正仿宋简体"/>
          <w:sz w:val="32"/>
          <w:szCs w:val="32"/>
        </w:rPr>
        <w:t>第三部分 名词解释</w:t>
      </w:r>
      <w:r>
        <w:rPr>
          <w:rFonts w:ascii="方正仿宋简体" w:eastAsia="方正仿宋简体"/>
          <w:sz w:val="32"/>
          <w:szCs w:val="32"/>
        </w:rPr>
        <w:t>…</w:t>
      </w:r>
      <w:r>
        <w:rPr>
          <w:rFonts w:hint="eastAsia" w:ascii="方正仿宋简体" w:eastAsia="方正仿宋简体"/>
          <w:sz w:val="32"/>
          <w:szCs w:val="32"/>
        </w:rPr>
        <w:t>2</w:t>
      </w:r>
      <w:r>
        <w:rPr>
          <w:rFonts w:hint="eastAsia" w:ascii="方正仿宋简体" w:eastAsia="方正仿宋简体"/>
          <w:sz w:val="32"/>
          <w:szCs w:val="32"/>
          <w:lang w:val="en-US" w:eastAsia="zh-CN"/>
        </w:rPr>
        <w:t>3</w:t>
      </w:r>
    </w:p>
    <w:p>
      <w:pPr>
        <w:spacing w:line="600" w:lineRule="exact"/>
        <w:ind w:firstLine="640" w:firstLineChars="200"/>
        <w:rPr>
          <w:rFonts w:hint="eastAsia" w:ascii="方正仿宋简体" w:eastAsia="方正仿宋简体"/>
          <w:sz w:val="32"/>
          <w:szCs w:val="32"/>
          <w:lang w:eastAsia="zh-CN"/>
        </w:rPr>
      </w:pPr>
      <w:r>
        <w:rPr>
          <w:rFonts w:hint="eastAsia" w:ascii="方正仿宋简体" w:eastAsia="方正仿宋简体"/>
          <w:sz w:val="32"/>
          <w:szCs w:val="32"/>
        </w:rPr>
        <w:t>第四部分 附件</w:t>
      </w:r>
      <w:r>
        <w:rPr>
          <w:rFonts w:ascii="方正仿宋简体" w:eastAsia="方正仿宋简体"/>
          <w:sz w:val="32"/>
          <w:szCs w:val="32"/>
        </w:rPr>
        <w:t>…</w:t>
      </w:r>
      <w:r>
        <w:rPr>
          <w:rFonts w:hint="eastAsia" w:ascii="方正仿宋简体" w:eastAsia="方正仿宋简体"/>
          <w:sz w:val="32"/>
          <w:szCs w:val="32"/>
        </w:rPr>
        <w:t>2</w:t>
      </w:r>
      <w:r>
        <w:rPr>
          <w:rFonts w:hint="eastAsia" w:ascii="方正仿宋简体" w:eastAsia="方正仿宋简体"/>
          <w:sz w:val="32"/>
          <w:szCs w:val="32"/>
          <w:lang w:val="en-US" w:eastAsia="zh-CN"/>
        </w:rPr>
        <w:t>6</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附件1</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附件2</w:t>
      </w:r>
    </w:p>
    <w:p>
      <w:pPr>
        <w:spacing w:line="600" w:lineRule="exact"/>
        <w:ind w:firstLine="640" w:firstLineChars="200"/>
        <w:rPr>
          <w:rFonts w:hint="eastAsia" w:ascii="方正仿宋简体" w:eastAsia="方正仿宋简体"/>
          <w:sz w:val="32"/>
          <w:szCs w:val="32"/>
          <w:lang w:eastAsia="zh-CN"/>
        </w:rPr>
      </w:pPr>
      <w:r>
        <w:rPr>
          <w:rFonts w:hint="eastAsia" w:ascii="方正仿宋简体" w:eastAsia="方正仿宋简体"/>
          <w:sz w:val="32"/>
          <w:szCs w:val="32"/>
        </w:rPr>
        <w:t>第五部分 附表</w:t>
      </w:r>
      <w:r>
        <w:rPr>
          <w:rFonts w:ascii="方正仿宋简体" w:eastAsia="方正仿宋简体"/>
          <w:sz w:val="32"/>
          <w:szCs w:val="32"/>
        </w:rPr>
        <w:t>…</w:t>
      </w:r>
      <w:bookmarkStart w:id="15" w:name="_Toc17103549"/>
      <w:r>
        <w:rPr>
          <w:rFonts w:hint="eastAsia" w:ascii="方正仿宋简体" w:eastAsia="方正仿宋简体"/>
          <w:sz w:val="32"/>
          <w:szCs w:val="32"/>
        </w:rPr>
        <w:t>3</w:t>
      </w:r>
      <w:r>
        <w:rPr>
          <w:rFonts w:hint="eastAsia" w:ascii="方正仿宋简体" w:eastAsia="方正仿宋简体"/>
          <w:sz w:val="32"/>
          <w:szCs w:val="32"/>
          <w:lang w:val="en-US" w:eastAsia="zh-CN"/>
        </w:rPr>
        <w:t>7</w:t>
      </w:r>
    </w:p>
    <w:p>
      <w:pPr>
        <w:spacing w:line="600" w:lineRule="exact"/>
        <w:ind w:left="420"/>
        <w:rPr>
          <w:rFonts w:ascii="方正仿宋简体" w:eastAsia="方正仿宋简体"/>
          <w:sz w:val="32"/>
          <w:szCs w:val="32"/>
        </w:rPr>
      </w:pPr>
      <w:r>
        <w:rPr>
          <w:rFonts w:hint="eastAsia" w:ascii="方正仿宋简体" w:eastAsia="方正仿宋简体"/>
          <w:sz w:val="32"/>
          <w:szCs w:val="32"/>
        </w:rPr>
        <w:t>一、收入支出决算总表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二、收入决算表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三、支出决算表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四、财政拨款收入支出决算总表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五、财政拨款支出明细决算表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六、一般公共预算财政拨款支出决算表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七、一般公共预算财政拨款支出决算明细表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八、一般公共预算财政拨款基本支出决算表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九、一般公共预算财政拨款项目支出决算表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十、一般公共预算财政拨款“三公”经费支出决算表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十一、政府性基金预算财政拨款收入支出决算表</w:t>
      </w:r>
    </w:p>
    <w:p>
      <w:pPr>
        <w:spacing w:line="600" w:lineRule="exact"/>
        <w:ind w:left="420"/>
        <w:rPr>
          <w:rFonts w:ascii="方正仿宋简体" w:eastAsia="方正仿宋简体"/>
          <w:sz w:val="32"/>
          <w:szCs w:val="32"/>
        </w:rPr>
      </w:pPr>
      <w:r>
        <w:rPr>
          <w:rFonts w:hint="eastAsia" w:ascii="方正仿宋简体" w:eastAsia="方正仿宋简体"/>
          <w:sz w:val="32"/>
          <w:szCs w:val="32"/>
        </w:rPr>
        <w:t>十二、政府性基金预算财政拨款“三公”经费支出决算表十三、国有资本经营预算财政拨款收入支出决算表</w:t>
      </w:r>
    </w:p>
    <w:p>
      <w:pPr>
        <w:spacing w:line="600" w:lineRule="exact"/>
        <w:ind w:left="420"/>
        <w:rPr>
          <w:rStyle w:val="16"/>
          <w:rFonts w:ascii="仿宋" w:hAnsi="仿宋" w:eastAsia="仿宋"/>
        </w:rPr>
      </w:pPr>
      <w:r>
        <w:rPr>
          <w:rFonts w:hint="eastAsia" w:ascii="方正仿宋简体" w:eastAsia="方正仿宋简体"/>
          <w:sz w:val="32"/>
          <w:szCs w:val="32"/>
        </w:rPr>
        <w:t>十四、国有资本经营预算财政拨款支出决算表</w:t>
      </w:r>
    </w:p>
    <w:p>
      <w:pPr>
        <w:spacing w:line="600" w:lineRule="exact"/>
        <w:ind w:left="420"/>
        <w:rPr>
          <w:rStyle w:val="16"/>
          <w:rFonts w:ascii="仿宋" w:hAnsi="仿宋" w:eastAsia="仿宋"/>
        </w:rPr>
      </w:pPr>
    </w:p>
    <w:p>
      <w:pPr>
        <w:spacing w:line="600" w:lineRule="exact"/>
        <w:ind w:left="420"/>
        <w:rPr>
          <w:rStyle w:val="16"/>
          <w:rFonts w:ascii="仿宋" w:hAnsi="仿宋" w:eastAsia="仿宋"/>
        </w:rPr>
      </w:pPr>
    </w:p>
    <w:p>
      <w:pPr>
        <w:spacing w:line="600" w:lineRule="exact"/>
        <w:ind w:left="420"/>
        <w:rPr>
          <w:rStyle w:val="16"/>
          <w:rFonts w:ascii="仿宋" w:hAnsi="仿宋" w:eastAsia="仿宋"/>
        </w:rPr>
      </w:pPr>
    </w:p>
    <w:p>
      <w:pPr>
        <w:spacing w:line="600" w:lineRule="exact"/>
        <w:ind w:left="420"/>
        <w:rPr>
          <w:rStyle w:val="16"/>
          <w:rFonts w:ascii="仿宋" w:hAnsi="仿宋" w:eastAsia="仿宋"/>
        </w:rPr>
      </w:pPr>
    </w:p>
    <w:p>
      <w:pPr>
        <w:spacing w:line="600" w:lineRule="exact"/>
        <w:ind w:left="420"/>
        <w:rPr>
          <w:rStyle w:val="16"/>
          <w:rFonts w:ascii="仿宋" w:hAnsi="仿宋" w:eastAsia="仿宋"/>
        </w:rPr>
      </w:pPr>
    </w:p>
    <w:p>
      <w:pPr>
        <w:spacing w:line="600" w:lineRule="exact"/>
        <w:ind w:left="420"/>
        <w:rPr>
          <w:rStyle w:val="16"/>
          <w:rFonts w:ascii="方正仿宋简体" w:hAnsi="Calibri" w:eastAsia="方正仿宋简体" w:cs="Times New Roman"/>
          <w:b w:val="0"/>
          <w:bCs w:val="0"/>
        </w:rPr>
      </w:pPr>
    </w:p>
    <w:p>
      <w:pPr>
        <w:pStyle w:val="3"/>
        <w:jc w:val="center"/>
        <w:rPr>
          <w:rStyle w:val="15"/>
          <w:rFonts w:ascii="黑体" w:hAnsi="黑体" w:eastAsia="黑体"/>
          <w:b w:val="0"/>
          <w:bCs w:val="0"/>
        </w:rPr>
      </w:pPr>
      <w:r>
        <w:rPr>
          <w:rFonts w:hint="eastAsia" w:ascii="黑体" w:hAnsi="黑体" w:eastAsia="黑体"/>
          <w:b w:val="0"/>
        </w:rPr>
        <w:t xml:space="preserve">第一部分 </w:t>
      </w:r>
      <w:r>
        <w:rPr>
          <w:rStyle w:val="15"/>
          <w:rFonts w:hint="eastAsia" w:ascii="黑体" w:hAnsi="黑体" w:eastAsia="黑体"/>
          <w:b w:val="0"/>
          <w:bCs w:val="0"/>
        </w:rPr>
        <w:t>部门概况</w:t>
      </w:r>
      <w:bookmarkEnd w:id="14"/>
      <w:bookmarkEnd w:id="15"/>
    </w:p>
    <w:p>
      <w:pPr>
        <w:widowControl/>
        <w:jc w:val="left"/>
        <w:rPr>
          <w:rFonts w:ascii="黑体" w:eastAsia="黑体"/>
          <w:color w:val="000000"/>
          <w:sz w:val="32"/>
          <w:szCs w:val="32"/>
        </w:rPr>
      </w:pPr>
    </w:p>
    <w:p>
      <w:pPr>
        <w:pStyle w:val="4"/>
        <w:rPr>
          <w:rStyle w:val="16"/>
          <w:rFonts w:ascii="仿宋" w:hAnsi="仿宋" w:eastAsia="仿宋"/>
          <w:b w:val="0"/>
          <w:bCs w:val="0"/>
        </w:rPr>
      </w:pPr>
      <w:bookmarkStart w:id="16" w:name="_Toc17103550"/>
      <w:bookmarkStart w:id="17" w:name="_Toc15377197"/>
      <w:r>
        <w:rPr>
          <w:rFonts w:hint="eastAsia" w:ascii="黑体" w:hAnsi="黑体" w:eastAsia="黑体"/>
          <w:b w:val="0"/>
          <w:color w:val="000000"/>
        </w:rPr>
        <w:t>一、基</w:t>
      </w:r>
      <w:r>
        <w:rPr>
          <w:rStyle w:val="16"/>
          <w:rFonts w:hint="eastAsia" w:ascii="黑体" w:hAnsi="黑体" w:eastAsia="黑体"/>
          <w:b w:val="0"/>
          <w:bCs w:val="0"/>
        </w:rPr>
        <w:t>本职能及主要工作</w:t>
      </w:r>
      <w:bookmarkEnd w:id="16"/>
      <w:bookmarkEnd w:id="17"/>
    </w:p>
    <w:p>
      <w:pPr>
        <w:pStyle w:val="5"/>
        <w:adjustRightInd w:val="0"/>
        <w:snapToGrid w:val="0"/>
        <w:spacing w:before="93" w:line="600" w:lineRule="exact"/>
        <w:ind w:firstLine="675" w:firstLineChars="210"/>
        <w:outlineLvl w:val="2"/>
        <w:rPr>
          <w:rFonts w:ascii="仿宋" w:hAnsi="仿宋" w:eastAsia="仿宋"/>
          <w:b/>
          <w:bCs/>
          <w:color w:val="000000"/>
          <w:sz w:val="32"/>
          <w:szCs w:val="32"/>
        </w:rPr>
      </w:pPr>
      <w:bookmarkStart w:id="18" w:name="_Toc15377198"/>
      <w:bookmarkStart w:id="19" w:name="_Toc15378445"/>
      <w:r>
        <w:rPr>
          <w:rFonts w:hint="eastAsia" w:ascii="仿宋" w:hAnsi="仿宋" w:eastAsia="仿宋"/>
          <w:b/>
          <w:bCs/>
          <w:color w:val="000000"/>
          <w:sz w:val="32"/>
          <w:szCs w:val="32"/>
        </w:rPr>
        <w:t>（一）主要职能。</w:t>
      </w:r>
      <w:bookmarkEnd w:id="18"/>
      <w:bookmarkEnd w:id="19"/>
      <w:bookmarkStart w:id="20" w:name="_Toc15377199"/>
      <w:bookmarkStart w:id="21" w:name="_Toc15378446"/>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1.起草有关信访工作的政策、制度，制定信访问题排查化解、风险评估等制度并组织实施，提出改进和加强信访工作的意见和建议。</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2.负责向区委、区政府反映来信来电来访中提出的重要建议、意见和问题，综合研判信访信息，开展社情民意调查研究，提出制定修改完善有关政策和工作的建议。</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3.综合协调指导全区信访工作，督促检查各乡镇（街道）和区级各部门（单位）信访工作，总结推广各级各部门信访工作经验，协调信访工作宣传和信息发布。</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4.负责处理区内外群众、境外人士、法人及其他组织通过信访渠道给区委、区政府及领导同志的来信来电，接待来访。</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5.承担协调处理群众进京和到省委</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省政府、市委</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市政府及区委</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区政府的集体上访和非接待场所上访的责任，综合协调处理跨地区、跨部门的重要信访问题。</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6.负责落实中、省、市、区领导批示交办信访事项，向各镇（街道）和区级各部门（单位）转办、交办信访事项，督促检查重要信访事项的处理和落实。</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7.建立和完善信访信息汇集分析机制，指导信访信息系统建设和应用。</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8.承担区信访工作联席会议、区政府信访事项复查复核委员会日常工作，督促落实有关事项。</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9.负责职责范围内的安全生产和职业健康、生态环境保护、审批服务便民化等工作。</w:t>
      </w:r>
    </w:p>
    <w:p>
      <w:pPr>
        <w:pStyle w:val="5"/>
        <w:adjustRightInd w:val="0"/>
        <w:snapToGrid w:val="0"/>
        <w:spacing w:before="93" w:line="600" w:lineRule="exact"/>
        <w:ind w:firstLine="672" w:firstLineChars="210"/>
        <w:outlineLvl w:val="2"/>
        <w:rPr>
          <w:rFonts w:ascii="方正仿宋简体" w:hAnsi="宋体" w:eastAsia="方正仿宋简体"/>
          <w:sz w:val="32"/>
          <w:szCs w:val="32"/>
        </w:rPr>
      </w:pPr>
      <w:r>
        <w:rPr>
          <w:rFonts w:hint="eastAsia" w:ascii="方正仿宋简体" w:hAnsi="宋体" w:eastAsia="方正仿宋简体"/>
          <w:sz w:val="32"/>
          <w:szCs w:val="32"/>
        </w:rPr>
        <w:t>10.完成区委、区政府交办的其他任务。</w:t>
      </w:r>
    </w:p>
    <w:p>
      <w:pPr>
        <w:pStyle w:val="5"/>
        <w:adjustRightInd w:val="0"/>
        <w:snapToGrid w:val="0"/>
        <w:spacing w:before="93" w:line="600" w:lineRule="exact"/>
        <w:ind w:firstLine="675" w:firstLineChars="210"/>
        <w:outlineLvl w:val="2"/>
        <w:rPr>
          <w:rFonts w:ascii="仿宋" w:hAnsi="仿宋" w:eastAsia="仿宋"/>
          <w:b/>
          <w:bCs/>
          <w:color w:val="000000"/>
          <w:sz w:val="32"/>
          <w:szCs w:val="32"/>
        </w:rPr>
      </w:pPr>
      <w:r>
        <w:rPr>
          <w:rFonts w:hint="eastAsia" w:ascii="仿宋" w:hAnsi="仿宋" w:eastAsia="仿宋"/>
          <w:b/>
          <w:bCs/>
          <w:color w:val="000000"/>
          <w:sz w:val="32"/>
          <w:szCs w:val="32"/>
        </w:rPr>
        <w:t>（二）</w:t>
      </w:r>
      <w:r>
        <w:rPr>
          <w:rFonts w:ascii="仿宋" w:hAnsi="仿宋" w:eastAsia="仿宋"/>
          <w:b/>
          <w:bCs/>
          <w:color w:val="000000"/>
          <w:sz w:val="32"/>
          <w:szCs w:val="32"/>
        </w:rPr>
        <w:t>20</w:t>
      </w:r>
      <w:r>
        <w:rPr>
          <w:rFonts w:hint="eastAsia" w:ascii="仿宋" w:hAnsi="仿宋" w:eastAsia="仿宋"/>
          <w:b/>
          <w:bCs/>
          <w:color w:val="000000"/>
          <w:sz w:val="32"/>
          <w:szCs w:val="32"/>
        </w:rPr>
        <w:t>20年重点工作完成情况。</w:t>
      </w:r>
      <w:bookmarkEnd w:id="20"/>
      <w:bookmarkEnd w:id="21"/>
    </w:p>
    <w:p>
      <w:pPr>
        <w:spacing w:line="590" w:lineRule="exact"/>
        <w:ind w:firstLine="643" w:firstLineChars="200"/>
        <w:rPr>
          <w:rFonts w:ascii="宋体" w:hAnsi="宋体" w:eastAsia="方正仿宋简体"/>
          <w:sz w:val="32"/>
          <w:szCs w:val="32"/>
        </w:rPr>
      </w:pPr>
      <w:bookmarkStart w:id="22" w:name="_Toc17103551"/>
      <w:bookmarkStart w:id="23" w:name="_Toc15377200"/>
      <w:r>
        <w:rPr>
          <w:rFonts w:hint="eastAsia" w:ascii="宋体" w:hAnsi="宋体" w:eastAsia="方正仿宋简体"/>
          <w:b/>
          <w:sz w:val="32"/>
          <w:szCs w:val="32"/>
        </w:rPr>
        <w:t>1.着力抓好涉疫信访工作。</w:t>
      </w:r>
      <w:r>
        <w:rPr>
          <w:rFonts w:hint="eastAsia" w:ascii="宋体" w:hAnsi="宋体" w:eastAsia="方正仿宋简体"/>
          <w:sz w:val="32"/>
          <w:szCs w:val="32"/>
        </w:rPr>
        <w:t>一是第一时间传达贯彻。按照区委</w:t>
      </w:r>
      <w:r>
        <w:rPr>
          <w:rFonts w:hint="eastAsia" w:ascii="宋体" w:hAnsi="宋体" w:eastAsia="方正仿宋简体"/>
          <w:sz w:val="32"/>
          <w:szCs w:val="32"/>
          <w:lang w:eastAsia="zh-CN"/>
        </w:rPr>
        <w:t>、</w:t>
      </w:r>
      <w:r>
        <w:rPr>
          <w:rFonts w:hint="eastAsia" w:ascii="宋体" w:hAnsi="宋体" w:eastAsia="方正仿宋简体"/>
          <w:sz w:val="32"/>
          <w:szCs w:val="32"/>
        </w:rPr>
        <w:t>区政府要求，迅速通过网络平台、接访场所等方式和结合到社区开展防控工作，关于疫情防控的部署传达到基层。二是第一时间细化措施。制定出台我区《新冠肺炎疫情防控期间接待处置工作预案》，积极引导群众通过来信、来电、网上投诉等方式有序反映问题，接诉即办、马上就办，及时办结化解群众反映的涉疫信访问题。三是第一时间积极应对。组织开展涉疫信访问题排查化解专项行动，推动取缔活禽宰杀交易等涉疫问题成功化解。</w:t>
      </w:r>
    </w:p>
    <w:p>
      <w:pPr>
        <w:spacing w:line="590" w:lineRule="exact"/>
        <w:ind w:firstLine="643" w:firstLineChars="200"/>
        <w:rPr>
          <w:rFonts w:ascii="宋体" w:hAnsi="宋体" w:eastAsia="方正仿宋简体"/>
          <w:sz w:val="32"/>
          <w:szCs w:val="32"/>
        </w:rPr>
      </w:pPr>
      <w:r>
        <w:rPr>
          <w:rFonts w:hint="eastAsia" w:ascii="宋体" w:hAnsi="宋体" w:eastAsia="方正仿宋简体"/>
          <w:b/>
          <w:sz w:val="32"/>
          <w:szCs w:val="32"/>
        </w:rPr>
        <w:t>2.着力完善信访工作领导体系。</w:t>
      </w:r>
      <w:r>
        <w:rPr>
          <w:rFonts w:hint="eastAsia" w:ascii="宋体" w:hAnsi="宋体" w:eastAsia="方正仿宋简体"/>
          <w:sz w:val="32"/>
          <w:szCs w:val="32"/>
        </w:rPr>
        <w:t>一是推动信访工作领导机制强化，区委常委会、区政府常务会坚持每月听取信访工作汇报，研究部署信访工作；抓好领导干部接访、包案制度落实，推动区级领导定期接待群众55批363人次，包案223件次。二是推动信访联席会议机制落实，充分发挥信访联席会议牵头抓总、统筹协调、督导落实作用，1-10月组织会商疑难案件62件次，推动化解各类信访问题259件。三是推动基层信访工作机构建设，在合乡并镇工作中，开展全覆盖实地调研，对18个镇（街道）机构改革后信访工作情况进行全面了解，并向区委</w:t>
      </w:r>
      <w:r>
        <w:rPr>
          <w:rFonts w:hint="eastAsia" w:ascii="宋体" w:hAnsi="宋体" w:eastAsia="方正仿宋简体"/>
          <w:sz w:val="32"/>
          <w:szCs w:val="32"/>
          <w:lang w:eastAsia="zh-CN"/>
        </w:rPr>
        <w:t>、</w:t>
      </w:r>
      <w:r>
        <w:rPr>
          <w:rFonts w:hint="eastAsia" w:ascii="宋体" w:hAnsi="宋体" w:eastAsia="方正仿宋简体"/>
          <w:sz w:val="32"/>
          <w:szCs w:val="32"/>
        </w:rPr>
        <w:t>区政府提出了加强信访工作力度建议，推动各镇（街道）配齐配强信访工作队伍。</w:t>
      </w:r>
    </w:p>
    <w:p>
      <w:pPr>
        <w:spacing w:line="590" w:lineRule="exact"/>
        <w:ind w:firstLine="643" w:firstLineChars="200"/>
        <w:rPr>
          <w:rFonts w:ascii="宋体" w:hAnsi="宋体" w:eastAsia="方正仿宋简体"/>
          <w:sz w:val="32"/>
          <w:szCs w:val="32"/>
        </w:rPr>
      </w:pPr>
      <w:r>
        <w:rPr>
          <w:rFonts w:hint="eastAsia" w:ascii="宋体" w:hAnsi="宋体" w:eastAsia="方正仿宋简体"/>
          <w:b/>
          <w:sz w:val="32"/>
          <w:szCs w:val="32"/>
        </w:rPr>
        <w:t>3.着力完善信访矛盾防控体系。</w:t>
      </w:r>
      <w:r>
        <w:rPr>
          <w:rFonts w:hint="eastAsia" w:ascii="宋体" w:hAnsi="宋体" w:eastAsia="方正仿宋简体"/>
          <w:sz w:val="32"/>
          <w:szCs w:val="32"/>
        </w:rPr>
        <w:t>一是抓实矛盾纠纷排查机制，抓好区、镇（街道）、村（居）“三级排查”机制落实，构建反应快速的信访信息报送通报和核查反馈机制，1-10月，</w:t>
      </w:r>
      <w:r>
        <w:rPr>
          <w:rFonts w:ascii="宋体" w:hAnsi="宋体" w:eastAsia="方正仿宋简体"/>
          <w:sz w:val="32"/>
          <w:szCs w:val="32"/>
        </w:rPr>
        <w:t>共排查信访突出问题472件</w:t>
      </w:r>
      <w:r>
        <w:rPr>
          <w:rFonts w:hint="eastAsia" w:ascii="宋体" w:hAnsi="宋体" w:eastAsia="方正仿宋简体"/>
          <w:sz w:val="32"/>
          <w:szCs w:val="32"/>
        </w:rPr>
        <w:t>。二是抓实信访信息研判机制，聚焦经济社会发展中的热点难点问题，通过信访渠道及时了解、研判和汇报信访新矛盾、新特点、新动向，向区委</w:t>
      </w:r>
      <w:r>
        <w:rPr>
          <w:rFonts w:hint="eastAsia" w:ascii="宋体" w:hAnsi="宋体" w:eastAsia="方正仿宋简体"/>
          <w:sz w:val="32"/>
          <w:szCs w:val="32"/>
          <w:lang w:eastAsia="zh-CN"/>
        </w:rPr>
        <w:t>、</w:t>
      </w:r>
      <w:r>
        <w:rPr>
          <w:rFonts w:hint="eastAsia" w:ascii="宋体" w:hAnsi="宋体" w:eastAsia="方正仿宋简体"/>
          <w:sz w:val="32"/>
          <w:szCs w:val="32"/>
        </w:rPr>
        <w:t>区政府报送信访形势分析7期，核查各类涉访信息220余条，对可能影响社会稳定的突出问题逐一明确了建议、落实了措施。三是抓实问题防范化解机制，推动“三张清单”突出信访问题防范化解工作常态化，落实包案领导“五包五亲自”和责任单位“三到位一处理”要求，化解“三张清单”突出信访问题36件。</w:t>
      </w:r>
    </w:p>
    <w:p>
      <w:pPr>
        <w:spacing w:line="590" w:lineRule="exact"/>
        <w:ind w:firstLine="643" w:firstLineChars="200"/>
        <w:rPr>
          <w:rFonts w:ascii="宋体" w:hAnsi="宋体" w:eastAsia="方正仿宋简体"/>
          <w:sz w:val="32"/>
          <w:szCs w:val="32"/>
        </w:rPr>
      </w:pPr>
      <w:r>
        <w:rPr>
          <w:rFonts w:hint="eastAsia" w:ascii="宋体" w:hAnsi="宋体" w:eastAsia="方正仿宋简体"/>
          <w:b/>
          <w:sz w:val="32"/>
          <w:szCs w:val="32"/>
        </w:rPr>
        <w:t>4.着力完善信访事项办理体系。</w:t>
      </w:r>
      <w:r>
        <w:rPr>
          <w:rFonts w:hint="eastAsia" w:ascii="宋体" w:hAnsi="宋体" w:eastAsia="方正仿宋简体"/>
          <w:sz w:val="32"/>
          <w:szCs w:val="32"/>
        </w:rPr>
        <w:t>一是提升信访基础业务能力，开展业务培训5期，强化对信访事项办理的程序监管，进一步优化办信、接访、网上投诉等工作流程。二是强化初信初访办理工作，推行初信初访“五个一次性”（一次性把群众诉求弄清楚、矛盾症结找准确、解决方案定合理、政策措施用到位、诉求请求办满意）办理机制，实现初信初访一次性办结率100%，满意率93.51%。三是建好用好网上信访平台，提高各镇（街道）和区级部门信访信息系统使用质效，引导群众使用移动终端反映信访诉求，网上信访占比32%，较2019年同期上升11个百分点。四是人民满意窗口建设，围绕基础设施标准化、基础业务规范化、信访工作队伍专业化要求，持续建设人民满意窗口，区群众接待中心连续三年获得“人民满意窗口”称号。</w:t>
      </w:r>
    </w:p>
    <w:p>
      <w:pPr>
        <w:spacing w:line="590" w:lineRule="exact"/>
        <w:ind w:firstLine="643" w:firstLineChars="200"/>
        <w:rPr>
          <w:rFonts w:ascii="宋体" w:hAnsi="宋体" w:eastAsia="方正仿宋简体"/>
          <w:sz w:val="32"/>
          <w:szCs w:val="32"/>
        </w:rPr>
      </w:pPr>
      <w:r>
        <w:rPr>
          <w:rFonts w:hint="eastAsia" w:ascii="宋体" w:hAnsi="宋体" w:eastAsia="方正仿宋简体"/>
          <w:b/>
          <w:sz w:val="32"/>
          <w:szCs w:val="32"/>
        </w:rPr>
        <w:t>4.持续完善信访工作责任体系。</w:t>
      </w:r>
      <w:r>
        <w:rPr>
          <w:rFonts w:hint="eastAsia" w:ascii="宋体" w:hAnsi="宋体" w:eastAsia="方正仿宋简体"/>
          <w:sz w:val="32"/>
          <w:szCs w:val="32"/>
        </w:rPr>
        <w:t>一是压实信访工作责任，认真贯彻落实《四川省信访工作责任制实施细则》要求，推动领导干部落实信访工作领导责任；按照“属地管理、分级负责”原则，推动属地落实源头防范、教育疏导、问题化解、人员稳控责任；按照“谁主管、谁负责”原则，推动职能部门承担化解本部门、本系统、本领域信访问题主体责任。二是压实考核责任，以信访“三率”、积案化解、进京非接待场所有关人员等为考核重点，细化考核指标、加强结果运用，推动责任单位积极开展信访工作。</w:t>
      </w:r>
    </w:p>
    <w:p>
      <w:pPr>
        <w:spacing w:line="590" w:lineRule="exact"/>
        <w:ind w:firstLine="643" w:firstLineChars="200"/>
        <w:rPr>
          <w:rFonts w:ascii="宋体" w:hAnsi="宋体" w:eastAsia="方正仿宋简体"/>
          <w:spacing w:val="-10"/>
          <w:sz w:val="32"/>
          <w:szCs w:val="32"/>
        </w:rPr>
      </w:pPr>
      <w:r>
        <w:rPr>
          <w:rFonts w:hint="eastAsia" w:ascii="宋体" w:hAnsi="宋体" w:eastAsia="方正仿宋简体"/>
          <w:b/>
          <w:sz w:val="32"/>
          <w:szCs w:val="32"/>
        </w:rPr>
        <w:t>5.持续强化信访干部队伍建设。</w:t>
      </w:r>
      <w:r>
        <w:rPr>
          <w:rFonts w:hint="eastAsia" w:ascii="宋体" w:hAnsi="宋体" w:eastAsia="方正仿宋简体"/>
          <w:sz w:val="32"/>
          <w:szCs w:val="32"/>
        </w:rPr>
        <w:t>一是突出能力素质建设，</w:t>
      </w:r>
      <w:r>
        <w:rPr>
          <w:rFonts w:hint="eastAsia" w:ascii="宋体" w:hAnsi="宋体" w:eastAsia="方正仿宋简体"/>
          <w:spacing w:val="-10"/>
          <w:sz w:val="32"/>
          <w:szCs w:val="32"/>
        </w:rPr>
        <w:t>结合信访“业务大讲堂”、专题培训、业务交流等活动，开展政策法规和业务培训，进一步提升工作能力和水平。</w:t>
      </w:r>
      <w:r>
        <w:rPr>
          <w:rFonts w:hint="eastAsia" w:ascii="宋体" w:hAnsi="宋体" w:eastAsia="方正仿宋简体"/>
          <w:sz w:val="32"/>
          <w:szCs w:val="32"/>
        </w:rPr>
        <w:t>二是突出纪律作风建设，</w:t>
      </w:r>
      <w:r>
        <w:rPr>
          <w:rFonts w:hint="eastAsia" w:ascii="宋体" w:hAnsi="宋体" w:eastAsia="方正仿宋简体"/>
          <w:spacing w:val="-10"/>
          <w:sz w:val="32"/>
          <w:szCs w:val="32"/>
        </w:rPr>
        <w:t>持之以恒抓好纪律作风建设，不断加强干部日常监督管理，确保了信访干部队伍的纯洁性和战斗力。</w:t>
      </w:r>
    </w:p>
    <w:p>
      <w:pPr>
        <w:pStyle w:val="4"/>
        <w:rPr>
          <w:rStyle w:val="16"/>
          <w:b w:val="0"/>
          <w:bCs w:val="0"/>
        </w:rPr>
      </w:pPr>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22"/>
      <w:bookmarkEnd w:id="23"/>
    </w:p>
    <w:p>
      <w:pPr>
        <w:spacing w:line="600" w:lineRule="exact"/>
        <w:rPr>
          <w:rFonts w:ascii="方正仿宋简体" w:eastAsia="方正仿宋简体"/>
          <w:sz w:val="32"/>
          <w:szCs w:val="32"/>
        </w:rPr>
      </w:pPr>
      <w:bookmarkStart w:id="24" w:name="_Toc15377204"/>
      <w:bookmarkStart w:id="25" w:name="_Toc17103552"/>
      <w:r>
        <w:rPr>
          <w:rFonts w:hint="eastAsia" w:ascii="方正仿宋简体" w:eastAsia="方正仿宋简体"/>
          <w:sz w:val="32"/>
          <w:szCs w:val="32"/>
        </w:rPr>
        <w:t>资阳市雁江区信访局属一级预算单位，无下属二级预算单位。</w:t>
      </w:r>
    </w:p>
    <w:p>
      <w:pPr>
        <w:spacing w:line="600" w:lineRule="exact"/>
        <w:rPr>
          <w:rFonts w:ascii="方正仿宋简体" w:eastAsia="方正仿宋简体"/>
          <w:sz w:val="32"/>
          <w:szCs w:val="32"/>
        </w:rPr>
      </w:pPr>
    </w:p>
    <w:p>
      <w:pPr>
        <w:pStyle w:val="3"/>
        <w:ind w:right="440"/>
        <w:jc w:val="right"/>
        <w:rPr>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15"/>
          <w:rFonts w:hint="eastAsia" w:ascii="黑体" w:hAnsi="黑体" w:eastAsia="黑体"/>
          <w:b w:val="0"/>
          <w:bCs w:val="0"/>
        </w:rPr>
        <w:t>2020年度部门决算情况说明</w:t>
      </w:r>
      <w:bookmarkEnd w:id="24"/>
      <w:bookmarkEnd w:id="25"/>
    </w:p>
    <w:p>
      <w:pPr>
        <w:pStyle w:val="18"/>
        <w:numPr>
          <w:ilvl w:val="0"/>
          <w:numId w:val="1"/>
        </w:numPr>
        <w:spacing w:line="600" w:lineRule="exact"/>
        <w:ind w:firstLineChars="0"/>
        <w:outlineLvl w:val="1"/>
        <w:rPr>
          <w:rStyle w:val="16"/>
          <w:rFonts w:ascii="黑体" w:hAnsi="黑体" w:eastAsia="黑体"/>
          <w:b w:val="0"/>
        </w:rPr>
      </w:pPr>
      <w:bookmarkStart w:id="26" w:name="_Toc15377205"/>
      <w:bookmarkStart w:id="27" w:name="_Toc17103553"/>
      <w:r>
        <w:rPr>
          <w:rFonts w:hint="eastAsia" w:ascii="黑体" w:hAnsi="黑体" w:eastAsia="黑体"/>
          <w:color w:val="000000"/>
          <w:sz w:val="32"/>
          <w:szCs w:val="32"/>
        </w:rPr>
        <w:t>收</w:t>
      </w:r>
      <w:r>
        <w:rPr>
          <w:rStyle w:val="16"/>
          <w:rFonts w:hint="eastAsia" w:ascii="黑体" w:hAnsi="黑体" w:eastAsia="黑体"/>
        </w:rPr>
        <w:t>入支出决算总体情况说明</w:t>
      </w:r>
      <w:bookmarkEnd w:id="26"/>
      <w:bookmarkEnd w:id="27"/>
    </w:p>
    <w:p>
      <w:pPr>
        <w:spacing w:line="600" w:lineRule="exact"/>
        <w:ind w:firstLine="640" w:firstLineChars="200"/>
        <w:rPr>
          <w:rFonts w:ascii="方正仿宋简体" w:eastAsia="方正仿宋简体"/>
          <w:sz w:val="32"/>
          <w:szCs w:val="32"/>
        </w:rPr>
      </w:pPr>
      <w:r>
        <w:rPr>
          <w:rFonts w:hint="eastAsia" w:ascii="仿宋" w:hAnsi="仿宋" w:eastAsia="仿宋"/>
          <w:color w:val="000000"/>
          <w:sz w:val="32"/>
          <w:szCs w:val="32"/>
        </w:rPr>
        <w:t>2020年度收、支总计932.92万元。与2019年相比，收、支总计各减少240.09万元，减少20.47%。主要变动原因是</w:t>
      </w:r>
      <w:r>
        <w:rPr>
          <w:rFonts w:hint="eastAsia" w:ascii="方正仿宋简体" w:eastAsia="方正仿宋简体"/>
          <w:sz w:val="32"/>
          <w:szCs w:val="32"/>
        </w:rPr>
        <w:t>财政压力增大。</w:t>
      </w:r>
    </w:p>
    <w:p>
      <w:pPr>
        <w:spacing w:line="600" w:lineRule="exact"/>
        <w:ind w:firstLine="640" w:firstLineChars="200"/>
        <w:rPr>
          <w:rFonts w:ascii="方正仿宋简体" w:eastAsia="方正仿宋简体"/>
          <w:sz w:val="32"/>
          <w:szCs w:val="32"/>
        </w:rPr>
      </w:pPr>
    </w:p>
    <w:p>
      <w:r>
        <w:drawing>
          <wp:inline distT="0" distB="0" distL="0" distR="0">
            <wp:extent cx="5274310" cy="3876675"/>
            <wp:effectExtent l="19050" t="0" r="2540" b="0"/>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8"/>
        <w:numPr>
          <w:ilvl w:val="0"/>
          <w:numId w:val="1"/>
        </w:numPr>
        <w:spacing w:line="600" w:lineRule="exact"/>
        <w:ind w:firstLineChars="0"/>
        <w:outlineLvl w:val="1"/>
        <w:rPr>
          <w:rStyle w:val="16"/>
          <w:rFonts w:ascii="黑体" w:hAnsi="黑体" w:eastAsia="黑体"/>
          <w:b w:val="0"/>
        </w:rPr>
      </w:pPr>
      <w:bookmarkStart w:id="28" w:name="_Toc15377206"/>
      <w:bookmarkStart w:id="29" w:name="_Toc17103554"/>
      <w:r>
        <w:rPr>
          <w:rFonts w:hint="eastAsia" w:ascii="黑体" w:hAnsi="黑体" w:eastAsia="黑体"/>
          <w:color w:val="000000"/>
          <w:sz w:val="32"/>
          <w:szCs w:val="32"/>
        </w:rPr>
        <w:t>收</w:t>
      </w:r>
      <w:r>
        <w:rPr>
          <w:rStyle w:val="16"/>
          <w:rFonts w:hint="eastAsia" w:ascii="黑体" w:hAnsi="黑体" w:eastAsia="黑体"/>
        </w:rPr>
        <w:t>入决算情况说明</w:t>
      </w:r>
      <w:bookmarkEnd w:id="28"/>
      <w:bookmarkEnd w:id="29"/>
    </w:p>
    <w:p>
      <w:pPr>
        <w:spacing w:line="600" w:lineRule="exact"/>
        <w:ind w:firstLine="640" w:firstLineChars="200"/>
        <w:outlineLvl w:val="1"/>
        <w:rPr>
          <w:rFonts w:ascii="仿宋" w:hAnsi="仿宋" w:eastAsia="仿宋"/>
          <w:color w:val="000000"/>
          <w:sz w:val="32"/>
          <w:szCs w:val="32"/>
        </w:rPr>
      </w:pPr>
      <w:bookmarkStart w:id="30" w:name="_Toc17103555"/>
      <w:r>
        <w:rPr>
          <w:rFonts w:ascii="仿宋" w:hAnsi="仿宋" w:eastAsia="仿宋"/>
          <w:color w:val="000000"/>
          <w:sz w:val="32"/>
          <w:szCs w:val="32"/>
        </w:rPr>
        <w:t>20</w:t>
      </w:r>
      <w:r>
        <w:rPr>
          <w:rFonts w:hint="eastAsia" w:ascii="仿宋" w:hAnsi="仿宋" w:eastAsia="仿宋"/>
          <w:color w:val="000000"/>
          <w:sz w:val="32"/>
          <w:szCs w:val="32"/>
        </w:rPr>
        <w:t>20年收入合计</w:t>
      </w:r>
      <w:r>
        <w:rPr>
          <w:rFonts w:hint="eastAsia" w:ascii="方正仿宋简体" w:eastAsia="方正仿宋简体"/>
          <w:sz w:val="32"/>
          <w:szCs w:val="32"/>
        </w:rPr>
        <w:t>636.29</w:t>
      </w:r>
      <w:r>
        <w:rPr>
          <w:rFonts w:hint="eastAsia" w:ascii="仿宋" w:hAnsi="仿宋" w:eastAsia="仿宋"/>
          <w:color w:val="000000"/>
          <w:sz w:val="32"/>
          <w:szCs w:val="32"/>
        </w:rPr>
        <w:t>万元，其中：一般公共预算财政拨款收入</w:t>
      </w:r>
      <w:r>
        <w:rPr>
          <w:rFonts w:hint="eastAsia" w:ascii="方正仿宋简体" w:eastAsia="方正仿宋简体"/>
          <w:sz w:val="32"/>
          <w:szCs w:val="32"/>
        </w:rPr>
        <w:t>636.29</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w:t>
      </w:r>
      <w:bookmarkEnd w:id="30"/>
    </w:p>
    <w:p/>
    <w:p/>
    <w:p/>
    <w:p/>
    <w:p>
      <w:r>
        <w:drawing>
          <wp:inline distT="0" distB="0" distL="0" distR="0">
            <wp:extent cx="5274310" cy="3076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8"/>
        <w:numPr>
          <w:ilvl w:val="0"/>
          <w:numId w:val="1"/>
        </w:numPr>
        <w:spacing w:line="600" w:lineRule="exact"/>
        <w:ind w:firstLineChars="0"/>
        <w:outlineLvl w:val="1"/>
        <w:rPr>
          <w:rStyle w:val="16"/>
          <w:rFonts w:ascii="黑体" w:hAnsi="黑体" w:eastAsia="黑体"/>
          <w:b w:val="0"/>
        </w:rPr>
      </w:pPr>
      <w:bookmarkStart w:id="31" w:name="_Toc17103556"/>
      <w:bookmarkStart w:id="32" w:name="_Toc15377207"/>
      <w:r>
        <w:rPr>
          <w:rFonts w:hint="eastAsia" w:ascii="黑体" w:hAnsi="黑体" w:eastAsia="黑体"/>
          <w:color w:val="000000"/>
          <w:sz w:val="32"/>
          <w:szCs w:val="32"/>
        </w:rPr>
        <w:t>支</w:t>
      </w:r>
      <w:r>
        <w:rPr>
          <w:rStyle w:val="16"/>
          <w:rFonts w:hint="eastAsia" w:ascii="黑体" w:hAnsi="黑体" w:eastAsia="黑体"/>
        </w:rPr>
        <w:t>出决算情况说明</w:t>
      </w:r>
      <w:bookmarkEnd w:id="31"/>
      <w:bookmarkEnd w:id="3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20年支出合计</w:t>
      </w:r>
      <w:r>
        <w:rPr>
          <w:rFonts w:hint="eastAsia" w:ascii="方正仿宋简体" w:eastAsia="方正仿宋简体"/>
          <w:sz w:val="32"/>
          <w:szCs w:val="32"/>
        </w:rPr>
        <w:t>516.73</w:t>
      </w:r>
      <w:r>
        <w:rPr>
          <w:rFonts w:hint="eastAsia" w:ascii="仿宋" w:hAnsi="仿宋" w:eastAsia="仿宋"/>
          <w:color w:val="000000"/>
          <w:sz w:val="32"/>
          <w:szCs w:val="32"/>
        </w:rPr>
        <w:t>万元，其中：基本支出</w:t>
      </w:r>
      <w:r>
        <w:rPr>
          <w:rFonts w:hint="eastAsia" w:ascii="方正仿宋简体" w:eastAsia="方正仿宋简体"/>
          <w:sz w:val="32"/>
          <w:szCs w:val="32"/>
        </w:rPr>
        <w:t>319.27</w:t>
      </w:r>
      <w:r>
        <w:rPr>
          <w:rFonts w:hint="eastAsia" w:ascii="仿宋" w:hAnsi="仿宋" w:eastAsia="仿宋"/>
          <w:color w:val="000000"/>
          <w:sz w:val="32"/>
          <w:szCs w:val="32"/>
        </w:rPr>
        <w:t>万元，占61.79</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方正仿宋简体" w:eastAsia="方正仿宋简体"/>
          <w:sz w:val="32"/>
          <w:szCs w:val="32"/>
        </w:rPr>
        <w:t>197.46</w:t>
      </w:r>
      <w:r>
        <w:rPr>
          <w:rFonts w:hint="eastAsia" w:ascii="仿宋" w:hAnsi="仿宋" w:eastAsia="仿宋"/>
          <w:color w:val="000000"/>
          <w:sz w:val="32"/>
          <w:szCs w:val="32"/>
        </w:rPr>
        <w:t>万元，占38.21</w:t>
      </w:r>
      <w:r>
        <w:rPr>
          <w:rFonts w:ascii="仿宋" w:hAnsi="仿宋" w:eastAsia="仿宋"/>
          <w:color w:val="000000"/>
          <w:sz w:val="32"/>
          <w:szCs w:val="32"/>
        </w:rPr>
        <w:t>%</w:t>
      </w:r>
      <w:r>
        <w:rPr>
          <w:rFonts w:hint="eastAsia" w:ascii="仿宋" w:hAnsi="仿宋" w:eastAsia="仿宋"/>
          <w:color w:val="000000"/>
          <w:sz w:val="32"/>
          <w:szCs w:val="32"/>
        </w:rPr>
        <w:t>。</w:t>
      </w:r>
    </w:p>
    <w:p/>
    <w:p>
      <w:r>
        <w:drawing>
          <wp:inline distT="0" distB="0" distL="0" distR="0">
            <wp:extent cx="5274310" cy="307657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pPr>
        <w:spacing w:line="600" w:lineRule="exact"/>
        <w:ind w:firstLine="640" w:firstLineChars="200"/>
        <w:outlineLvl w:val="1"/>
        <w:rPr>
          <w:rStyle w:val="16"/>
          <w:rFonts w:ascii="黑体" w:hAnsi="黑体" w:eastAsia="黑体"/>
          <w:b w:val="0"/>
        </w:rPr>
      </w:pPr>
      <w:bookmarkStart w:id="33" w:name="_Toc15377208"/>
      <w:bookmarkStart w:id="34" w:name="_Toc17103557"/>
      <w:r>
        <w:rPr>
          <w:rFonts w:hint="eastAsia" w:ascii="黑体" w:hAnsi="黑体" w:eastAsia="黑体"/>
          <w:color w:val="000000"/>
          <w:sz w:val="32"/>
          <w:szCs w:val="32"/>
        </w:rPr>
        <w:t>四、财</w:t>
      </w:r>
      <w:r>
        <w:rPr>
          <w:rStyle w:val="16"/>
          <w:rFonts w:hint="eastAsia" w:ascii="黑体" w:hAnsi="黑体" w:eastAsia="黑体"/>
        </w:rPr>
        <w:t>政拨款收入支出决算总体情况说明</w:t>
      </w:r>
      <w:bookmarkEnd w:id="33"/>
      <w:bookmarkEnd w:id="34"/>
    </w:p>
    <w:p>
      <w:pPr>
        <w:spacing w:line="600" w:lineRule="exact"/>
        <w:ind w:firstLine="640" w:firstLineChars="200"/>
        <w:rPr>
          <w:rFonts w:ascii="方正仿宋简体" w:eastAsia="方正仿宋简体"/>
          <w:sz w:val="32"/>
          <w:szCs w:val="32"/>
        </w:rPr>
      </w:pPr>
      <w:r>
        <w:rPr>
          <w:rFonts w:hint="eastAsia" w:ascii="仿宋" w:hAnsi="仿宋" w:eastAsia="仿宋"/>
          <w:color w:val="000000"/>
          <w:sz w:val="32"/>
          <w:szCs w:val="32"/>
        </w:rPr>
        <w:t>2020年财政拨款收、支总计932.92万元。与2019年相比，收、支总计各减少240.09万元，减少20.47%。主要变动原因是</w:t>
      </w:r>
      <w:r>
        <w:rPr>
          <w:rFonts w:hint="eastAsia" w:ascii="方正仿宋简体" w:eastAsia="方正仿宋简体"/>
          <w:sz w:val="32"/>
          <w:szCs w:val="32"/>
        </w:rPr>
        <w:t>财政压力增大。</w:t>
      </w:r>
    </w:p>
    <w:p>
      <w:pPr>
        <w:spacing w:line="600" w:lineRule="exact"/>
        <w:ind w:firstLine="640" w:firstLineChars="200"/>
        <w:rPr>
          <w:rFonts w:ascii="方正仿宋简体" w:eastAsia="方正仿宋简体"/>
          <w:sz w:val="32"/>
          <w:szCs w:val="32"/>
        </w:rPr>
      </w:pPr>
    </w:p>
    <w:p>
      <w:r>
        <w:drawing>
          <wp:inline distT="0" distB="0" distL="0" distR="0">
            <wp:extent cx="5274310" cy="3648075"/>
            <wp:effectExtent l="1905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spacing w:line="600" w:lineRule="exact"/>
        <w:ind w:firstLine="640" w:firstLineChars="200"/>
        <w:outlineLvl w:val="1"/>
        <w:rPr>
          <w:rStyle w:val="16"/>
          <w:rFonts w:ascii="黑体" w:hAnsi="黑体" w:eastAsia="黑体"/>
          <w:b w:val="0"/>
        </w:rPr>
      </w:pPr>
      <w:bookmarkStart w:id="35" w:name="_Toc17103558"/>
      <w:bookmarkStart w:id="36"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rPr>
        <w:t>般公共预算财政拨款支出决算情况说明</w:t>
      </w:r>
      <w:bookmarkEnd w:id="35"/>
      <w:bookmarkEnd w:id="36"/>
    </w:p>
    <w:p>
      <w:pPr>
        <w:spacing w:line="600" w:lineRule="exact"/>
        <w:ind w:firstLine="643" w:firstLineChars="200"/>
        <w:outlineLvl w:val="2"/>
        <w:rPr>
          <w:rFonts w:ascii="仿宋" w:hAnsi="仿宋" w:eastAsia="仿宋"/>
          <w:b/>
          <w:color w:val="000000"/>
          <w:sz w:val="32"/>
          <w:szCs w:val="32"/>
        </w:rPr>
      </w:pPr>
      <w:bookmarkStart w:id="37" w:name="_Toc15377210"/>
      <w:r>
        <w:rPr>
          <w:rFonts w:hint="eastAsia" w:ascii="仿宋" w:hAnsi="仿宋" w:eastAsia="仿宋"/>
          <w:b/>
          <w:color w:val="000000"/>
          <w:sz w:val="32"/>
          <w:szCs w:val="32"/>
        </w:rPr>
        <w:t>（一）一般公共预算财政拨款支出决算总体情况</w:t>
      </w:r>
      <w:bookmarkEnd w:id="37"/>
    </w:p>
    <w:p>
      <w:pPr>
        <w:spacing w:line="600" w:lineRule="exact"/>
        <w:ind w:firstLine="640" w:firstLineChars="200"/>
        <w:rPr>
          <w:rFonts w:ascii="方正仿宋简体" w:eastAsia="方正仿宋简体"/>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w:t>
      </w:r>
      <w:r>
        <w:rPr>
          <w:rFonts w:hint="eastAsia" w:ascii="方正仿宋简体" w:eastAsia="方正仿宋简体"/>
          <w:sz w:val="32"/>
          <w:szCs w:val="32"/>
        </w:rPr>
        <w:t>516.73</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9年相比，一般公共预算财政拨款支出减少44.07万元，减少7.86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方正仿宋简体" w:eastAsia="方正仿宋简体"/>
          <w:sz w:val="32"/>
          <w:szCs w:val="32"/>
        </w:rPr>
        <w:t>财政压力增大。</w:t>
      </w:r>
    </w:p>
    <w:p>
      <w:r>
        <w:rPr>
          <w:rFonts w:hint="eastAsia"/>
        </w:rPr>
        <w:drawing>
          <wp:inline distT="0" distB="0" distL="0" distR="0">
            <wp:extent cx="5274310" cy="3076575"/>
            <wp:effectExtent l="19050" t="0" r="254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
      <w:pPr>
        <w:spacing w:line="600" w:lineRule="exact"/>
        <w:ind w:firstLine="643" w:firstLineChars="200"/>
        <w:outlineLvl w:val="2"/>
        <w:rPr>
          <w:rFonts w:ascii="仿宋" w:hAnsi="仿宋" w:eastAsia="仿宋"/>
          <w:b/>
          <w:color w:val="000000"/>
          <w:sz w:val="32"/>
          <w:szCs w:val="32"/>
        </w:rPr>
      </w:pPr>
      <w:bookmarkStart w:id="38" w:name="_Toc15377211"/>
      <w:r>
        <w:rPr>
          <w:rFonts w:hint="eastAsia" w:ascii="仿宋" w:hAnsi="仿宋" w:eastAsia="仿宋"/>
          <w:b/>
          <w:color w:val="000000"/>
          <w:sz w:val="32"/>
          <w:szCs w:val="32"/>
        </w:rPr>
        <w:t>（二）一般公共预算财政拨款支出决算结构情况</w:t>
      </w:r>
      <w:bookmarkEnd w:id="38"/>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rPr>
        <w:t>政拨款支出516.73万元，主要用于以下方面</w:t>
      </w:r>
      <w:r>
        <w:rPr>
          <w:rFonts w:hint="eastAsia" w:ascii="仿宋" w:hAnsi="仿宋" w:eastAsia="仿宋"/>
          <w:color w:val="000000" w:themeColor="text1"/>
          <w:sz w:val="32"/>
          <w:szCs w:val="32"/>
          <w:lang w:eastAsia="zh-CN"/>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支出463.75万元，占89.75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支出22.24万元，占4.30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卫生健康（类）</w:t>
      </w:r>
      <w:r>
        <w:rPr>
          <w:rFonts w:hint="eastAsia" w:ascii="仿宋" w:hAnsi="仿宋" w:eastAsia="仿宋"/>
          <w:color w:val="000000" w:themeColor="text1"/>
          <w:sz w:val="32"/>
          <w:szCs w:val="32"/>
        </w:rPr>
        <w:t>支出10.19万元，占1.97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住房保障（类）</w:t>
      </w:r>
      <w:r>
        <w:rPr>
          <w:rFonts w:hint="eastAsia" w:ascii="仿宋" w:hAnsi="仿宋" w:eastAsia="仿宋"/>
          <w:color w:val="000000" w:themeColor="text1"/>
          <w:sz w:val="32"/>
          <w:szCs w:val="32"/>
        </w:rPr>
        <w:t>支出20.55万元，占3.98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r>
        <w:drawing>
          <wp:inline distT="0" distB="0" distL="0" distR="0">
            <wp:extent cx="5274310" cy="307657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p>
    <w:p>
      <w:pPr>
        <w:spacing w:line="600" w:lineRule="exact"/>
        <w:ind w:firstLine="640" w:firstLineChars="200"/>
        <w:outlineLvl w:val="2"/>
        <w:rPr>
          <w:rFonts w:ascii="仿宋" w:hAnsi="仿宋" w:eastAsia="仿宋"/>
          <w:color w:val="000000" w:themeColor="text1"/>
          <w:sz w:val="32"/>
          <w:szCs w:val="32"/>
        </w:rPr>
      </w:pPr>
      <w:r>
        <w:rPr>
          <w:rFonts w:hint="eastAsia" w:ascii="仿宋" w:hAnsi="仿宋" w:eastAsia="仿宋"/>
          <w:color w:val="000000" w:themeColor="text1"/>
          <w:sz w:val="32"/>
          <w:szCs w:val="32"/>
        </w:rPr>
        <w:t>2020年般公共预算支出决算数为516.73万元，完成预算81.21</w:t>
      </w:r>
      <w:r>
        <w:rPr>
          <w:rFonts w:ascii="仿宋" w:hAnsi="仿宋" w:eastAsia="仿宋"/>
          <w:color w:val="000000" w:themeColor="text1"/>
          <w:sz w:val="32"/>
          <w:szCs w:val="32"/>
        </w:rPr>
        <w:t>%</w:t>
      </w:r>
      <w:r>
        <w:rPr>
          <w:rFonts w:hint="eastAsia" w:ascii="仿宋" w:hAnsi="仿宋" w:eastAsia="仿宋"/>
          <w:color w:val="000000" w:themeColor="text1"/>
          <w:sz w:val="32"/>
          <w:szCs w:val="32"/>
        </w:rPr>
        <w:t>。其中：</w:t>
      </w:r>
    </w:p>
    <w:p>
      <w:pPr>
        <w:spacing w:line="600" w:lineRule="exact"/>
        <w:ind w:firstLine="643" w:firstLineChars="200"/>
        <w:rPr>
          <w:rFonts w:ascii="仿宋" w:hAnsi="仿宋" w:eastAsia="仿宋"/>
          <w:color w:val="000000" w:themeColor="text1"/>
          <w:sz w:val="32"/>
          <w:szCs w:val="32"/>
        </w:rPr>
      </w:pPr>
      <w:r>
        <w:rPr>
          <w:rFonts w:hint="eastAsia" w:ascii="仿宋" w:hAnsi="仿宋" w:eastAsia="仿宋"/>
          <w:b/>
          <w:color w:val="000000" w:themeColor="text1"/>
          <w:sz w:val="32"/>
          <w:szCs w:val="32"/>
        </w:rPr>
        <w:t>1.一般公共服务（类）政府办公厅（室）及相关机构事务（款）行政运行（项）：</w:t>
      </w:r>
      <w:r>
        <w:rPr>
          <w:rFonts w:hint="eastAsia" w:ascii="仿宋" w:hAnsi="仿宋" w:eastAsia="仿宋"/>
          <w:color w:val="000000" w:themeColor="text1"/>
          <w:sz w:val="32"/>
          <w:szCs w:val="32"/>
        </w:rPr>
        <w:t>支出266.29万元，占51.53</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；主要用于基本工资、津贴补贴、办公费、邮电费、差旅费、公务用车运行维护费、其他交通费用、其他商品和服务支出等，</w:t>
      </w:r>
      <w:r>
        <w:rPr>
          <w:rStyle w:val="11"/>
          <w:rFonts w:hint="eastAsia" w:ascii="仿宋" w:hAnsi="仿宋" w:eastAsia="仿宋"/>
          <w:bCs/>
          <w:color w:val="000000"/>
          <w:sz w:val="32"/>
          <w:szCs w:val="32"/>
        </w:rPr>
        <w:t>完成预算97.19</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。决算数小于预算数的主要原因是财政压力增加，部分经费未拨付。</w:t>
      </w:r>
    </w:p>
    <w:p>
      <w:pPr>
        <w:spacing w:line="600" w:lineRule="exact"/>
        <w:ind w:firstLine="643" w:firstLineChars="200"/>
        <w:rPr>
          <w:rStyle w:val="11"/>
          <w:rFonts w:ascii="仿宋" w:hAnsi="仿宋" w:eastAsia="仿宋"/>
          <w:bCs/>
          <w:color w:val="000000"/>
          <w:sz w:val="32"/>
          <w:szCs w:val="32"/>
        </w:rPr>
      </w:pPr>
      <w:r>
        <w:rPr>
          <w:rFonts w:hint="eastAsia" w:ascii="仿宋" w:hAnsi="仿宋" w:eastAsia="仿宋"/>
          <w:b/>
          <w:color w:val="000000" w:themeColor="text1"/>
          <w:sz w:val="32"/>
          <w:szCs w:val="32"/>
        </w:rPr>
        <w:t>2.一般公共服务（类）政府办公厅（室）及相关机构事务（款）信访事物（项）：</w:t>
      </w:r>
      <w:r>
        <w:rPr>
          <w:rFonts w:hint="eastAsia" w:ascii="仿宋" w:hAnsi="仿宋" w:eastAsia="仿宋"/>
          <w:color w:val="000000" w:themeColor="text1"/>
          <w:sz w:val="32"/>
          <w:szCs w:val="32"/>
        </w:rPr>
        <w:t>支出197.46万元，占38.21%；</w:t>
      </w:r>
      <w:r>
        <w:rPr>
          <w:rFonts w:hint="eastAsia" w:ascii="宋体" w:hAnsi="宋体" w:eastAsia="方正仿宋简体"/>
          <w:sz w:val="32"/>
          <w:szCs w:val="32"/>
        </w:rPr>
        <w:t>主要用于在信访工作中产生的办公费，差旅费，印刷费，邮电费，培训费，公务接待费，其他商品和服务支出等，</w:t>
      </w:r>
      <w:r>
        <w:rPr>
          <w:rStyle w:val="11"/>
          <w:rFonts w:hint="eastAsia" w:ascii="仿宋" w:hAnsi="仿宋" w:eastAsia="仿宋"/>
          <w:bCs/>
          <w:color w:val="000000"/>
          <w:sz w:val="32"/>
          <w:szCs w:val="32"/>
        </w:rPr>
        <w:t>完成预算62.81</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，决算数小于预算数的主要原因是财政压力增加，部分经费未拨付。</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themeColor="text1"/>
          <w:sz w:val="32"/>
          <w:szCs w:val="32"/>
        </w:rPr>
        <w:t>3.社会保障和就业支出（类）行政事业单位离退休（款）归口管理的行政单位离退休（项）：</w:t>
      </w:r>
      <w:r>
        <w:rPr>
          <w:rFonts w:hint="eastAsia" w:ascii="仿宋" w:hAnsi="仿宋" w:eastAsia="仿宋"/>
          <w:color w:val="000000" w:themeColor="text1"/>
          <w:sz w:val="32"/>
          <w:szCs w:val="32"/>
        </w:rPr>
        <w:t>支出3.85万元，占0.75%；</w:t>
      </w:r>
      <w:r>
        <w:rPr>
          <w:rFonts w:hint="eastAsia" w:ascii="仿宋" w:hAnsi="仿宋" w:eastAsia="仿宋"/>
          <w:sz w:val="32"/>
          <w:szCs w:val="32"/>
        </w:rPr>
        <w:t>主要</w:t>
      </w:r>
      <w:r>
        <w:rPr>
          <w:rFonts w:hint="eastAsia" w:ascii="仿宋" w:hAnsi="仿宋" w:eastAsia="仿宋"/>
          <w:color w:val="000000" w:themeColor="text1"/>
          <w:sz w:val="32"/>
          <w:szCs w:val="32"/>
        </w:rPr>
        <w:t>用于退休人员生活补助，</w:t>
      </w:r>
      <w:r>
        <w:rPr>
          <w:rStyle w:val="11"/>
          <w:rFonts w:hint="eastAsia" w:ascii="仿宋" w:hAnsi="仿宋" w:eastAsia="仿宋"/>
          <w:bCs/>
          <w:color w:val="000000"/>
          <w:sz w:val="32"/>
          <w:szCs w:val="32"/>
        </w:rPr>
        <w:t>完成预算100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themeColor="text1"/>
          <w:sz w:val="32"/>
          <w:szCs w:val="32"/>
        </w:rPr>
        <w:t>4.社会保障和就业支出（类）行政事业单位离退休（款）机关事业单位基本养老保险缴费支出（项）：</w:t>
      </w:r>
      <w:r>
        <w:rPr>
          <w:rFonts w:hint="eastAsia" w:ascii="仿宋" w:hAnsi="仿宋" w:eastAsia="仿宋"/>
          <w:color w:val="000000" w:themeColor="text1"/>
          <w:sz w:val="32"/>
          <w:szCs w:val="32"/>
        </w:rPr>
        <w:t>支出17.87万元，</w:t>
      </w:r>
      <w:r>
        <w:rPr>
          <w:rFonts w:hint="eastAsia" w:ascii="仿宋" w:hAnsi="仿宋" w:eastAsia="仿宋"/>
          <w:sz w:val="32"/>
          <w:szCs w:val="32"/>
        </w:rPr>
        <w:t>占3.46%;</w:t>
      </w:r>
      <w:r>
        <w:rPr>
          <w:rFonts w:hint="eastAsia" w:ascii="宋体" w:hAnsi="宋体" w:eastAsia="方正仿宋简体"/>
          <w:sz w:val="32"/>
          <w:szCs w:val="32"/>
        </w:rPr>
        <w:t>主要用于实施养老保险制度后，主要用于按规定由单位缴纳的基本养老保险费支出，</w:t>
      </w:r>
      <w:r>
        <w:rPr>
          <w:rStyle w:val="11"/>
          <w:rFonts w:hint="eastAsia" w:ascii="仿宋" w:hAnsi="仿宋" w:eastAsia="仿宋"/>
          <w:bCs/>
          <w:color w:val="000000"/>
          <w:sz w:val="32"/>
          <w:szCs w:val="32"/>
        </w:rPr>
        <w:t>完成预算95.61</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。决算数小于预算数的主要原因是养老保险缴费基数调整。</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themeColor="text1"/>
          <w:sz w:val="32"/>
          <w:szCs w:val="32"/>
        </w:rPr>
        <w:t>5.社会保障和就业支出（类）其他社会保障和就业支出（款）其他社会保障和就业支出（项）：</w:t>
      </w:r>
      <w:r>
        <w:rPr>
          <w:rFonts w:hint="eastAsia" w:ascii="仿宋" w:hAnsi="仿宋" w:eastAsia="仿宋"/>
          <w:color w:val="000000" w:themeColor="text1"/>
          <w:sz w:val="32"/>
          <w:szCs w:val="32"/>
        </w:rPr>
        <w:t>支出0.52万元</w:t>
      </w:r>
      <w:r>
        <w:rPr>
          <w:rFonts w:hint="eastAsia" w:ascii="仿宋" w:hAnsi="仿宋" w:eastAsia="仿宋"/>
          <w:b/>
          <w:color w:val="000000" w:themeColor="text1"/>
          <w:sz w:val="32"/>
          <w:szCs w:val="32"/>
        </w:rPr>
        <w:t>，</w:t>
      </w:r>
      <w:r>
        <w:rPr>
          <w:rFonts w:hint="eastAsia" w:ascii="仿宋" w:hAnsi="仿宋" w:eastAsia="仿宋"/>
          <w:color w:val="000000" w:themeColor="text1"/>
          <w:sz w:val="32"/>
          <w:szCs w:val="32"/>
        </w:rPr>
        <w:t>占</w:t>
      </w:r>
      <w:r>
        <w:rPr>
          <w:rFonts w:hint="eastAsia" w:ascii="仿宋" w:hAnsi="仿宋" w:eastAsia="仿宋"/>
          <w:sz w:val="32"/>
          <w:szCs w:val="32"/>
        </w:rPr>
        <w:t>0.10%；</w:t>
      </w:r>
      <w:r>
        <w:rPr>
          <w:rFonts w:hint="eastAsia" w:ascii="宋体" w:hAnsi="宋体" w:eastAsia="方正仿宋简体"/>
          <w:sz w:val="32"/>
          <w:szCs w:val="32"/>
        </w:rPr>
        <w:t>主要用于按规定由单位缴纳的工伤生育保险缴费支出，</w:t>
      </w:r>
      <w:r>
        <w:rPr>
          <w:rStyle w:val="11"/>
          <w:rFonts w:hint="eastAsia" w:ascii="仿宋" w:hAnsi="仿宋" w:eastAsia="仿宋"/>
          <w:bCs/>
          <w:color w:val="000000"/>
          <w:sz w:val="32"/>
          <w:szCs w:val="32"/>
        </w:rPr>
        <w:t>完成预算49.06</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。决算数小于预算数的主要原因是人员变动。</w:t>
      </w:r>
    </w:p>
    <w:p>
      <w:pPr>
        <w:spacing w:line="600" w:lineRule="exact"/>
        <w:ind w:firstLine="643" w:firstLineChars="200"/>
        <w:rPr>
          <w:rStyle w:val="11"/>
          <w:rFonts w:ascii="仿宋" w:hAnsi="仿宋" w:eastAsia="仿宋"/>
          <w:bCs/>
          <w:color w:val="000000"/>
          <w:sz w:val="32"/>
          <w:szCs w:val="32"/>
        </w:rPr>
      </w:pPr>
      <w:r>
        <w:rPr>
          <w:rFonts w:hint="eastAsia" w:ascii="仿宋" w:hAnsi="仿宋" w:eastAsia="仿宋"/>
          <w:b/>
          <w:color w:val="000000" w:themeColor="text1"/>
          <w:sz w:val="32"/>
          <w:szCs w:val="32"/>
        </w:rPr>
        <w:t>7. 卫生健康支出（类）行政事业单位医疗（款）行政单位医疗（项）：</w:t>
      </w:r>
      <w:r>
        <w:rPr>
          <w:rFonts w:hint="eastAsia" w:ascii="仿宋" w:hAnsi="仿宋" w:eastAsia="仿宋"/>
          <w:color w:val="000000" w:themeColor="text1"/>
          <w:sz w:val="32"/>
          <w:szCs w:val="32"/>
        </w:rPr>
        <w:t>支出8.89万元，占1.72%；</w:t>
      </w:r>
      <w:r>
        <w:rPr>
          <w:rFonts w:hint="eastAsia" w:ascii="宋体" w:hAnsi="宋体" w:eastAsia="方正仿宋简体"/>
          <w:sz w:val="32"/>
          <w:szCs w:val="32"/>
        </w:rPr>
        <w:t>主要用于按规定由单位缴纳的基本医疗保险缴费支出。</w:t>
      </w:r>
      <w:r>
        <w:rPr>
          <w:rStyle w:val="11"/>
          <w:rFonts w:hint="eastAsia" w:ascii="仿宋" w:hAnsi="仿宋" w:eastAsia="仿宋"/>
          <w:bCs/>
          <w:color w:val="000000"/>
          <w:sz w:val="32"/>
          <w:szCs w:val="32"/>
        </w:rPr>
        <w:t>完成预算100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themeColor="text1"/>
          <w:sz w:val="32"/>
          <w:szCs w:val="32"/>
        </w:rPr>
        <w:t>8.卫生健康支出（类）行政事业单位医疗（款）公务员医疗补助（项）：</w:t>
      </w:r>
      <w:r>
        <w:rPr>
          <w:rFonts w:hint="eastAsia" w:ascii="宋体" w:hAnsi="宋体" w:eastAsia="方正仿宋简体"/>
          <w:sz w:val="32"/>
          <w:szCs w:val="32"/>
        </w:rPr>
        <w:t>支出1.3万元，</w:t>
      </w:r>
      <w:r>
        <w:rPr>
          <w:rFonts w:hint="eastAsia" w:ascii="仿宋" w:hAnsi="仿宋" w:eastAsia="仿宋"/>
          <w:color w:val="000000" w:themeColor="text1"/>
          <w:sz w:val="32"/>
          <w:szCs w:val="32"/>
        </w:rPr>
        <w:t>占0.25%；</w:t>
      </w:r>
      <w:r>
        <w:rPr>
          <w:rFonts w:hint="eastAsia" w:ascii="宋体" w:hAnsi="宋体" w:eastAsia="方正仿宋简体"/>
          <w:sz w:val="32"/>
          <w:szCs w:val="32"/>
        </w:rPr>
        <w:t>主要用于按规定由单位缴纳的公务员医疗补助支出。</w:t>
      </w:r>
      <w:r>
        <w:rPr>
          <w:rStyle w:val="11"/>
          <w:rFonts w:hint="eastAsia" w:ascii="仿宋" w:hAnsi="仿宋" w:eastAsia="仿宋"/>
          <w:bCs/>
          <w:color w:val="000000"/>
          <w:sz w:val="32"/>
          <w:szCs w:val="32"/>
        </w:rPr>
        <w:t>完成预算97.74</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。决算数小于预算数的主要原因是人员变动。</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themeColor="text1"/>
          <w:sz w:val="32"/>
          <w:szCs w:val="32"/>
        </w:rPr>
        <w:t>9. 住房保障支出（类）住房改革支出（款）住房公积金（项）：</w:t>
      </w:r>
      <w:r>
        <w:rPr>
          <w:rFonts w:hint="eastAsia" w:ascii="仿宋" w:hAnsi="仿宋" w:eastAsia="仿宋"/>
          <w:color w:val="000000" w:themeColor="text1"/>
          <w:sz w:val="32"/>
          <w:szCs w:val="32"/>
        </w:rPr>
        <w:t>支出20.55万元，占3.98%。</w:t>
      </w:r>
      <w:r>
        <w:rPr>
          <w:rFonts w:hint="eastAsia" w:ascii="宋体" w:hAnsi="宋体" w:eastAsia="方正仿宋简体"/>
          <w:sz w:val="32"/>
          <w:szCs w:val="32"/>
        </w:rPr>
        <w:t>主要用于单位按人力资源和社会保障部、财政部规定的基本工资和津贴补贴以及规定比例为职工缴纳的住房公积金支出，</w:t>
      </w:r>
      <w:r>
        <w:rPr>
          <w:rStyle w:val="11"/>
          <w:rFonts w:hint="eastAsia" w:ascii="仿宋" w:hAnsi="仿宋" w:eastAsia="仿宋"/>
          <w:bCs/>
          <w:color w:val="000000"/>
          <w:sz w:val="32"/>
          <w:szCs w:val="32"/>
        </w:rPr>
        <w:t>完成预算146.68</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。决算数大于预算数的主要原因是支付上年度未支付的住房公积金。</w:t>
      </w:r>
    </w:p>
    <w:p>
      <w:pPr>
        <w:tabs>
          <w:tab w:val="right" w:pos="8306"/>
        </w:tabs>
        <w:spacing w:line="600" w:lineRule="exact"/>
        <w:ind w:firstLine="640"/>
        <w:outlineLvl w:val="1"/>
        <w:rPr>
          <w:rStyle w:val="16"/>
        </w:rPr>
      </w:pPr>
      <w:bookmarkStart w:id="39" w:name="_Toc15377214"/>
      <w:bookmarkStart w:id="40" w:name="_Toc1710355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rPr>
        <w:t>般公共预算财政拨款基本支出决算情况说明</w:t>
      </w:r>
      <w:bookmarkEnd w:id="39"/>
      <w:bookmarkEnd w:id="40"/>
      <w:r>
        <w:rPr>
          <w:rStyle w:val="16"/>
          <w:rFonts w:ascii="黑体" w:hAnsi="黑体" w:eastAsia="黑体"/>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20年一般公共预算财政拨款基本支出319.27万元，其中：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人员经费292.81万元，主要包括：基本工资、津贴补贴、奖金、绩效工资、机关事业单位基本养老保险缴费、基本医疗保险缴费、职业年金缴费、其他社会保障缴费、生活补助、奖励金、住房公积金等。</w:t>
      </w:r>
      <w:r>
        <w:rPr>
          <w:rFonts w:ascii="仿宋" w:hAnsi="仿宋" w:eastAsia="仿宋"/>
          <w:color w:val="000000"/>
          <w:sz w:val="32"/>
          <w:szCs w:val="32"/>
        </w:rPr>
        <w:br w:type="textWrapping"/>
      </w:r>
      <w:r>
        <w:rPr>
          <w:rFonts w:hint="eastAsia" w:ascii="仿宋" w:hAnsi="仿宋" w:eastAsia="仿宋"/>
          <w:color w:val="000000"/>
          <w:sz w:val="32"/>
          <w:szCs w:val="32"/>
        </w:rPr>
        <w:t>　　公用经费26.46万元，主要包括：办公费、培训费、公务接待费、劳务费、工会经费、公务用车运行维护费、其他交通费用、其他商品和服务支出等。</w:t>
      </w:r>
    </w:p>
    <w:p>
      <w:pPr>
        <w:spacing w:line="600" w:lineRule="exact"/>
        <w:ind w:firstLine="640"/>
        <w:outlineLvl w:val="1"/>
        <w:rPr>
          <w:rStyle w:val="16"/>
          <w:rFonts w:ascii="黑体" w:hAnsi="黑体" w:eastAsia="黑体"/>
          <w:b w:val="0"/>
        </w:rPr>
      </w:pPr>
      <w:bookmarkStart w:id="41" w:name="_Toc15377215"/>
      <w:bookmarkStart w:id="42" w:name="_Toc17103560"/>
      <w:r>
        <w:rPr>
          <w:rFonts w:hint="eastAsia" w:ascii="黑体" w:eastAsia="黑体"/>
          <w:color w:val="000000"/>
          <w:sz w:val="32"/>
          <w:szCs w:val="32"/>
        </w:rPr>
        <w:t>七、</w:t>
      </w:r>
      <w:r>
        <w:rPr>
          <w:rStyle w:val="16"/>
          <w:rFonts w:hint="eastAsia" w:ascii="黑体" w:hAnsi="黑体" w:eastAsia="黑体"/>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20年“三公”经费财政拨款支出决算为5.11万元，完成预算25.55</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，决算数小于预算数的主要原因是厉行节约，减少开支。</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20年“三公”经费财政拨款支出决算中，公务用车购置及运行维护费支出决算2.93万元，占57.34</w:t>
      </w:r>
      <w:r>
        <w:rPr>
          <w:rFonts w:ascii="仿宋" w:hAnsi="仿宋" w:eastAsia="仿宋"/>
          <w:color w:val="000000"/>
          <w:sz w:val="32"/>
          <w:szCs w:val="32"/>
        </w:rPr>
        <w:t>%</w:t>
      </w:r>
      <w:r>
        <w:rPr>
          <w:rFonts w:hint="eastAsia" w:ascii="仿宋" w:hAnsi="仿宋" w:eastAsia="仿宋"/>
          <w:color w:val="000000"/>
          <w:sz w:val="32"/>
          <w:szCs w:val="32"/>
        </w:rPr>
        <w:t>；公务接待费支出决算2.18万元，占42.66</w:t>
      </w:r>
      <w:r>
        <w:rPr>
          <w:rFonts w:ascii="仿宋" w:hAnsi="仿宋" w:eastAsia="仿宋"/>
          <w:color w:val="000000"/>
          <w:sz w:val="32"/>
          <w:szCs w:val="32"/>
        </w:rPr>
        <w:t>%</w:t>
      </w:r>
      <w:r>
        <w:rPr>
          <w:rFonts w:hint="eastAsia" w:ascii="仿宋" w:hAnsi="仿宋" w:eastAsia="仿宋"/>
          <w:color w:val="000000"/>
          <w:sz w:val="32"/>
          <w:szCs w:val="32"/>
        </w:rPr>
        <w:t>。无因公出国（境）费用支出。具体情况如下：</w:t>
      </w:r>
    </w:p>
    <w:p>
      <w:pPr>
        <w:rPr>
          <w:rFonts w:ascii="仿宋" w:hAnsi="仿宋" w:eastAsia="仿宋"/>
          <w:sz w:val="32"/>
          <w:szCs w:val="32"/>
        </w:rPr>
      </w:pPr>
    </w:p>
    <w:p>
      <w:r>
        <w:drawing>
          <wp:inline distT="0" distB="0" distL="0" distR="0">
            <wp:extent cx="5274310" cy="3076575"/>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本单位2020年未产生因公出国（境）经费。</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2.93万元</w:t>
      </w:r>
      <w:r>
        <w:rPr>
          <w:rFonts w:hint="eastAsia" w:ascii="仿宋_GB2312" w:eastAsia="仿宋_GB2312"/>
          <w:color w:val="000000"/>
          <w:sz w:val="32"/>
          <w:szCs w:val="32"/>
          <w:lang w:eastAsia="zh-CN"/>
        </w:rPr>
        <w:t>，</w:t>
      </w:r>
      <w:r>
        <w:rPr>
          <w:rStyle w:val="11"/>
          <w:rFonts w:hint="eastAsia" w:ascii="仿宋" w:hAnsi="仿宋" w:eastAsia="仿宋"/>
          <w:bCs/>
          <w:color w:val="000000"/>
          <w:sz w:val="32"/>
          <w:szCs w:val="32"/>
        </w:rPr>
        <w:t>完成预算97.67</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w:t>
      </w:r>
      <w:r>
        <w:rPr>
          <w:rFonts w:hint="eastAsia" w:ascii="仿宋_GB2312" w:eastAsia="仿宋_GB2312"/>
          <w:color w:val="000000"/>
          <w:sz w:val="32"/>
          <w:szCs w:val="32"/>
        </w:rPr>
        <w:t>公务用车购置及运行维护费支出决算与2019年基本持平。</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月底，单位共有公务用车1辆，其中：轿车1辆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2.93万元。主要用于信访工作中产生的公务用车燃料费、维修费、过路过桥费等支出。</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2.18万元，</w:t>
      </w:r>
      <w:r>
        <w:rPr>
          <w:rStyle w:val="11"/>
          <w:rFonts w:hint="eastAsia" w:ascii="仿宋" w:hAnsi="仿宋" w:eastAsia="仿宋"/>
          <w:bCs/>
          <w:color w:val="000000"/>
          <w:sz w:val="32"/>
          <w:szCs w:val="32"/>
        </w:rPr>
        <w:t>完成预算12.82</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9年减少1.34万元，下降38.07</w:t>
      </w:r>
      <w:r>
        <w:rPr>
          <w:rFonts w:ascii="仿宋_GB2312" w:eastAsia="仿宋_GB2312"/>
          <w:color w:val="000000"/>
          <w:sz w:val="32"/>
          <w:szCs w:val="32"/>
        </w:rPr>
        <w:t>%</w:t>
      </w:r>
      <w:r>
        <w:rPr>
          <w:rFonts w:hint="eastAsia" w:ascii="仿宋_GB2312" w:eastAsia="仿宋_GB2312"/>
          <w:color w:val="000000"/>
          <w:sz w:val="32"/>
          <w:szCs w:val="32"/>
        </w:rPr>
        <w:t>。主要原因是厉行节约，减少开支。主要用于执行公务、开展业务活动开支的交通费、住宿费、用餐费等。国内公务接待42批次，364人次（不包括陪同人员），共计支出2.18万元，具体内容包括：国内公务接待支出42批次，2.18万元。其中：其他国内公务接待支出2.18万元，主要用于各级各部门到本单位进行的考察调研、学习交流、检查指导等公务活动。本单位2020年未发生外事接待支出。</w:t>
      </w:r>
    </w:p>
    <w:p>
      <w:pPr>
        <w:spacing w:line="600" w:lineRule="exact"/>
        <w:ind w:firstLine="640"/>
        <w:outlineLvl w:val="1"/>
        <w:rPr>
          <w:rStyle w:val="16"/>
          <w:rFonts w:ascii="黑体" w:hAnsi="黑体" w:eastAsia="黑体"/>
        </w:rPr>
      </w:pPr>
      <w:bookmarkStart w:id="45" w:name="_Toc15377218"/>
      <w:bookmarkStart w:id="46" w:name="_Toc17103561"/>
      <w:r>
        <w:rPr>
          <w:rFonts w:hint="eastAsia" w:ascii="黑体" w:eastAsia="黑体"/>
          <w:color w:val="000000"/>
          <w:sz w:val="32"/>
          <w:szCs w:val="32"/>
        </w:rPr>
        <w:t>八、</w:t>
      </w:r>
      <w:r>
        <w:rPr>
          <w:rStyle w:val="16"/>
          <w:rFonts w:hint="eastAsia" w:ascii="黑体" w:hAnsi="黑体" w:eastAsia="黑体"/>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20年政府性基金预算拨款支出0万元。</w:t>
      </w:r>
    </w:p>
    <w:p>
      <w:pPr>
        <w:numPr>
          <w:ilvl w:val="0"/>
          <w:numId w:val="2"/>
        </w:numPr>
        <w:spacing w:line="600" w:lineRule="exact"/>
        <w:ind w:firstLine="640"/>
        <w:outlineLvl w:val="1"/>
        <w:rPr>
          <w:rStyle w:val="16"/>
          <w:rFonts w:ascii="黑体" w:hAnsi="黑体" w:eastAsia="黑体"/>
          <w:b w:val="0"/>
        </w:rPr>
      </w:pPr>
      <w:bookmarkStart w:id="47" w:name="_Toc15377219"/>
      <w:bookmarkStart w:id="48" w:name="_Toc17103562"/>
      <w:r>
        <w:rPr>
          <w:rStyle w:val="16"/>
          <w:rFonts w:hint="eastAsia" w:ascii="黑体" w:hAnsi="黑体" w:eastAsia="黑体"/>
        </w:rPr>
        <w:t>国有资本经营预算支出决算情况说明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20年国有资本经营预算拨款支出0万元。</w:t>
      </w:r>
    </w:p>
    <w:p>
      <w:pPr>
        <w:pStyle w:val="18"/>
        <w:numPr>
          <w:ilvl w:val="0"/>
          <w:numId w:val="3"/>
        </w:numPr>
        <w:spacing w:line="580" w:lineRule="exact"/>
        <w:ind w:firstLineChars="0"/>
        <w:rPr>
          <w:rStyle w:val="16"/>
          <w:rFonts w:ascii="黑体" w:hAnsi="黑体" w:eastAsia="黑体"/>
          <w:b w:val="0"/>
        </w:rPr>
      </w:pPr>
      <w:bookmarkStart w:id="49" w:name="_Toc17103563"/>
      <w:r>
        <w:rPr>
          <w:rStyle w:val="16"/>
          <w:rFonts w:hint="eastAsia" w:ascii="黑体" w:hAnsi="黑体" w:eastAsia="黑体"/>
        </w:rPr>
        <w:t>其他重要事项的情况说明</w:t>
      </w:r>
      <w:bookmarkEnd w:id="49"/>
    </w:p>
    <w:p>
      <w:pPr>
        <w:spacing w:line="600" w:lineRule="exact"/>
        <w:ind w:firstLine="482" w:firstLineChars="15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rPr>
        <w:t>20年，本单位机关运行经费支出26.46万元，比</w:t>
      </w:r>
      <w:r>
        <w:rPr>
          <w:rFonts w:ascii="仿宋_GB2312" w:eastAsia="仿宋_GB2312"/>
          <w:color w:val="000000"/>
          <w:sz w:val="32"/>
          <w:szCs w:val="32"/>
        </w:rPr>
        <w:t>201</w:t>
      </w:r>
      <w:r>
        <w:rPr>
          <w:rFonts w:hint="eastAsia" w:ascii="仿宋_GB2312" w:eastAsia="仿宋_GB2312"/>
          <w:color w:val="000000"/>
          <w:sz w:val="32"/>
          <w:szCs w:val="32"/>
        </w:rPr>
        <w:t>9年增加2.78万元，增加11.74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主要原因是人员变动。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20年，本单位政府采购支出总额0万元，其中：政府采购货物支出0万元、政府采购工程支出0万元。其中：授予小微企业合同金额0万元。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日，本单位共有车辆1辆，其中：一般公务用车1辆。无</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万元以上的通用设备和单价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万元以上的专用设备。</w:t>
      </w:r>
    </w:p>
    <w:p>
      <w:pPr>
        <w:spacing w:line="580" w:lineRule="exact"/>
        <w:ind w:firstLine="482" w:firstLineChars="150"/>
        <w:rPr>
          <w:rFonts w:ascii="仿宋" w:hAnsi="仿宋" w:eastAsia="仿宋" w:cs="楷体_GB2312"/>
          <w:b/>
          <w:bCs/>
          <w:sz w:val="32"/>
          <w:szCs w:val="32"/>
        </w:rPr>
      </w:pPr>
      <w:r>
        <w:rPr>
          <w:rFonts w:hint="eastAsia" w:ascii="仿宋" w:hAnsi="仿宋" w:eastAsia="仿宋" w:cs="楷体_GB2312"/>
          <w:b/>
          <w:bCs/>
          <w:sz w:val="32"/>
          <w:szCs w:val="32"/>
        </w:rPr>
        <w:t>（四）预算绩效管理工作开展情况。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2020年度一般公共预算财政拨款项目开展了预算事前绩效评估，对3个项目编制了绩效目标，预算执行过程中，选取3个项目开展绩效监控，年终执行完毕后，对3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项目立项符合部门职责和相关管理规定，绩效目标合理，评价指标体系较完善，评价标准较科学，项目业务管理制度较完善，业务监控有效性较好，各项业务工作有序开展;财务管理制度规范，建立了相应的财务监控措施和手段，有效防控各类财务风险;任务完成质量较高，完成情况较好。通过项目实施，对相关业务开展起到了较好的支撑和推动作用，社会效益较显著。</w:t>
      </w:r>
    </w:p>
    <w:p>
      <w:pPr>
        <w:tabs>
          <w:tab w:val="left" w:pos="1022"/>
        </w:tabs>
        <w:spacing w:line="580" w:lineRule="exact"/>
        <w:ind w:firstLine="482" w:firstLineChars="150"/>
        <w:rPr>
          <w:rFonts w:ascii="仿宋_GB2312" w:hAnsi="仿宋_GB2312" w:eastAsia="仿宋_GB2312" w:cs="仿宋_GB2312"/>
          <w:sz w:val="32"/>
          <w:szCs w:val="32"/>
        </w:rPr>
      </w:pPr>
      <w:r>
        <w:rPr>
          <w:rFonts w:hint="eastAsia" w:ascii="仿宋" w:hAnsi="仿宋" w:eastAsia="仿宋" w:cs="楷体_GB2312"/>
          <w:b/>
          <w:bCs/>
          <w:sz w:val="32"/>
          <w:szCs w:val="32"/>
        </w:rPr>
        <w:t>（二）项目绩效目标完成情况。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本部门在2020年度部门决算中反映“信访积案化解以奖代补资金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、“相关处</w:t>
      </w:r>
      <w:r>
        <w:rPr>
          <w:rFonts w:hint="eastAsia" w:ascii="仿宋_GB2312" w:hAnsi="仿宋_GB2312" w:eastAsia="仿宋_GB2312" w:cs="仿宋_GB2312"/>
          <w:sz w:val="32"/>
          <w:szCs w:val="32"/>
          <w:lang w:eastAsia="zh-CN"/>
        </w:rPr>
        <w:t>理信</w:t>
      </w:r>
      <w:r>
        <w:rPr>
          <w:rFonts w:hint="eastAsia" w:ascii="仿宋_GB2312" w:hAnsi="仿宋_GB2312" w:eastAsia="仿宋_GB2312" w:cs="仿宋_GB2312"/>
          <w:sz w:val="32"/>
          <w:szCs w:val="32"/>
        </w:rPr>
        <w:t>访维稳专项工作经费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和“面上的信访维稳工作经费”共3个项目绩效目标实际完成情况。</w:t>
      </w:r>
    </w:p>
    <w:p>
      <w:pPr>
        <w:tabs>
          <w:tab w:val="left" w:pos="1022"/>
        </w:tabs>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1.</w:t>
      </w:r>
      <w:r>
        <w:rPr>
          <w:rFonts w:hint="eastAsia" w:ascii="仿宋_GB2312" w:hAnsi="仿宋_GB2312" w:eastAsia="仿宋_GB2312" w:cs="仿宋_GB2312"/>
          <w:sz w:val="32"/>
          <w:szCs w:val="32"/>
        </w:rPr>
        <w:t>“信访积案化解以奖代补资金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综述。项目全年预算数60万元，执行数为41.61万元，项目已实施，暂未拨付款项。通过项目实施，推动了信访积案、难案件的化解，维护了群众利益和我区信访稳定。发现的主要问题：区信访工作“多元化”化解信访矛盾纠纷的力度还不够。下一步改进措施：</w:t>
      </w:r>
      <w:r>
        <w:rPr>
          <w:rFonts w:hint="eastAsia" w:ascii="宋体" w:hAnsi="宋体" w:eastAsia="方正仿宋简体"/>
          <w:sz w:val="32"/>
          <w:szCs w:val="32"/>
        </w:rPr>
        <w:t>综合</w:t>
      </w:r>
      <w:r>
        <w:rPr>
          <w:rFonts w:eastAsia="方正仿宋简体"/>
          <w:sz w:val="33"/>
          <w:szCs w:val="33"/>
        </w:rPr>
        <w:t>运用法律、政策、经济、行政等手段和教育、调解、疏导等办法解决信访问题</w:t>
      </w:r>
      <w:r>
        <w:rPr>
          <w:rFonts w:hint="eastAsia" w:eastAsia="方正仿宋简体"/>
          <w:sz w:val="33"/>
          <w:szCs w:val="33"/>
        </w:rPr>
        <w:t>。</w:t>
      </w:r>
      <w:r>
        <w:rPr>
          <w:rFonts w:hint="eastAsia" w:ascii="宋体" w:hAnsi="宋体" w:eastAsia="方正仿宋简体"/>
          <w:sz w:val="32"/>
          <w:szCs w:val="32"/>
        </w:rPr>
        <w:t>依托“大调解”体系，充分发挥医患纠纷、物业纠纷、民工工资拖欠等9个专业调委会作用，联动调处矛盾纠纷。</w:t>
      </w:r>
    </w:p>
    <w:p>
      <w:pPr>
        <w:tabs>
          <w:tab w:val="left" w:pos="312"/>
        </w:tabs>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2.“相关处</w:t>
      </w:r>
      <w:r>
        <w:rPr>
          <w:rFonts w:hint="eastAsia" w:ascii="仿宋_GB2312" w:hAnsi="仿宋_GB2312" w:eastAsia="仿宋_GB2312" w:cs="仿宋_GB2312"/>
          <w:sz w:val="32"/>
          <w:szCs w:val="32"/>
          <w:lang w:eastAsia="zh-CN"/>
        </w:rPr>
        <w:t>理信</w:t>
      </w:r>
      <w:r>
        <w:rPr>
          <w:rFonts w:hint="eastAsia" w:ascii="仿宋_GB2312" w:hAnsi="仿宋_GB2312" w:eastAsia="仿宋_GB2312" w:cs="仿宋_GB2312"/>
          <w:sz w:val="32"/>
          <w:szCs w:val="32"/>
        </w:rPr>
        <w:t>访维稳专项工作经费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w:t>
      </w:r>
    </w:p>
    <w:p>
      <w:pPr>
        <w:tabs>
          <w:tab w:val="left" w:pos="1022"/>
        </w:tabs>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情况综述。项目全年预算数51万元，执行数为51.98万元，完成预算的101.92%。通过项目实施，推动我区信访秩序的规范，维护了我区社会稳定，保障了我区信访维稳工作的正常运转。发现的主要问题：我区信访工作对社会的宣传、舆论引导力度有待加强，尤其是大力宣传法治信访。下一步改进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积极采取有力措施，进一步改进手段、方式方法，使我区信访宣传工作更能适应新媒体时代的要求，适应法治信访的建设需要。</w:t>
      </w:r>
    </w:p>
    <w:p>
      <w:pPr>
        <w:tabs>
          <w:tab w:val="left" w:pos="102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3.“面上的信访维稳工作经费”项目绩效目标完成情况综述。项目全年预算数72万元，执行数39.39万元，完成预算的54.71%。该项目的实施，将在一定程度上促进全区社会大局和谐稳定。暂未发现该项目存在的问题。</w:t>
      </w:r>
    </w:p>
    <w:p/>
    <w:p/>
    <w:p/>
    <w:p/>
    <w:p/>
    <w:p/>
    <w:p/>
    <w:p/>
    <w:p/>
    <w:p/>
    <w:p/>
    <w:p/>
    <w:p/>
    <w:p/>
    <w:p/>
    <w:p/>
    <w:p/>
    <w:tbl>
      <w:tblPr>
        <w:tblStyle w:val="9"/>
        <w:tblpPr w:leftFromText="180" w:rightFromText="180" w:vertAnchor="text" w:horzAnchor="page" w:tblpXSpec="center" w:tblpY="423"/>
        <w:tblOverlap w:val="never"/>
        <w:tblW w:w="10035" w:type="dxa"/>
        <w:tblInd w:w="0" w:type="dxa"/>
        <w:tblLayout w:type="fixed"/>
        <w:tblCellMar>
          <w:top w:w="0" w:type="dxa"/>
          <w:left w:w="0" w:type="dxa"/>
          <w:bottom w:w="0" w:type="dxa"/>
          <w:right w:w="0" w:type="dxa"/>
        </w:tblCellMar>
      </w:tblPr>
      <w:tblGrid>
        <w:gridCol w:w="393"/>
        <w:gridCol w:w="1377"/>
        <w:gridCol w:w="1033"/>
        <w:gridCol w:w="2410"/>
        <w:gridCol w:w="2412"/>
        <w:gridCol w:w="2410"/>
      </w:tblGrid>
      <w:tr>
        <w:tblPrEx>
          <w:tblCellMar>
            <w:top w:w="0" w:type="dxa"/>
            <w:left w:w="0" w:type="dxa"/>
            <w:bottom w:w="0" w:type="dxa"/>
            <w:right w:w="0" w:type="dxa"/>
          </w:tblCellMar>
        </w:tblPrEx>
        <w:trPr>
          <w:trHeight w:val="1056" w:hRule="atLeast"/>
        </w:trPr>
        <w:tc>
          <w:tcPr>
            <w:tcW w:w="10035" w:type="dxa"/>
            <w:gridSpan w:val="6"/>
            <w:tcMar>
              <w:top w:w="15" w:type="dxa"/>
              <w:left w:w="15" w:type="dxa"/>
              <w:bottom w:w="0" w:type="dxa"/>
              <w:right w:w="15" w:type="dxa"/>
            </w:tcMar>
            <w:vAlign w:val="center"/>
          </w:tcPr>
          <w:p>
            <w:pPr>
              <w:pStyle w:val="18"/>
              <w:widowControl/>
              <w:ind w:left="4173" w:leftChars="1310" w:hanging="1422" w:hangingChars="395"/>
              <w:textAlignment w:val="center"/>
              <w:rPr>
                <w:rFonts w:hint="eastAsia" w:ascii="宋体" w:hAnsi="宋体" w:eastAsia="宋体" w:cs="宋体"/>
                <w:color w:val="000000"/>
                <w:sz w:val="36"/>
                <w:szCs w:val="36"/>
                <w:lang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eastAsia="zh-CN"/>
              </w:rPr>
              <w:t>（</w:t>
            </w:r>
            <w:r>
              <w:rPr>
                <w:rFonts w:hint="eastAsia" w:ascii="宋体" w:hAnsi="宋体" w:cs="宋体"/>
                <w:color w:val="000000"/>
                <w:kern w:val="0"/>
                <w:sz w:val="36"/>
                <w:szCs w:val="36"/>
              </w:rPr>
              <w:t>2020年度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82" w:hRule="atLeast"/>
        </w:trPr>
        <w:tc>
          <w:tcPr>
            <w:tcW w:w="28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23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信访积案化解以奖代补资金</w:t>
            </w:r>
          </w:p>
        </w:tc>
      </w:tr>
      <w:tr>
        <w:tblPrEx>
          <w:tblCellMar>
            <w:top w:w="0" w:type="dxa"/>
            <w:left w:w="0" w:type="dxa"/>
            <w:bottom w:w="0" w:type="dxa"/>
            <w:right w:w="0" w:type="dxa"/>
          </w:tblCellMar>
        </w:tblPrEx>
        <w:trPr>
          <w:trHeight w:val="282" w:hRule="atLeast"/>
        </w:trPr>
        <w:tc>
          <w:tcPr>
            <w:tcW w:w="28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23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资阳市雁江区信访局</w:t>
            </w:r>
          </w:p>
        </w:tc>
      </w:tr>
      <w:tr>
        <w:tblPrEx>
          <w:tblCellMar>
            <w:top w:w="0" w:type="dxa"/>
            <w:left w:w="0" w:type="dxa"/>
            <w:bottom w:w="0" w:type="dxa"/>
            <w:right w:w="0" w:type="dxa"/>
          </w:tblCellMar>
        </w:tblPrEx>
        <w:trPr>
          <w:trHeight w:val="282" w:hRule="atLeast"/>
        </w:trPr>
        <w:tc>
          <w:tcPr>
            <w:tcW w:w="39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60万元</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41.61万元</w:t>
            </w:r>
          </w:p>
        </w:tc>
      </w:tr>
      <w:tr>
        <w:trPr>
          <w:trHeight w:val="282"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60万元</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41.61万元</w:t>
            </w:r>
          </w:p>
        </w:tc>
      </w:tr>
      <w:tr>
        <w:trPr>
          <w:trHeight w:val="1502"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rPr>
          <w:trHeight w:val="282" w:hRule="atLeast"/>
        </w:trPr>
        <w:tc>
          <w:tcPr>
            <w:tcW w:w="39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8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83"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82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推动信访积案、难案件的化解，维护群众利益和我区信访稳定</w:t>
            </w:r>
          </w:p>
        </w:tc>
        <w:tc>
          <w:tcPr>
            <w:tcW w:w="482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推动了信访积案、难案件的化解，维护了群众利益和我区信访稳定</w:t>
            </w:r>
          </w:p>
        </w:tc>
      </w:tr>
      <w:tr>
        <w:tblPrEx>
          <w:tblCellMar>
            <w:top w:w="0" w:type="dxa"/>
            <w:left w:w="0" w:type="dxa"/>
            <w:bottom w:w="0" w:type="dxa"/>
            <w:right w:w="0" w:type="dxa"/>
          </w:tblCellMar>
        </w:tblPrEx>
        <w:trPr>
          <w:trHeight w:val="1064" w:hRule="atLeast"/>
        </w:trPr>
        <w:tc>
          <w:tcPr>
            <w:tcW w:w="39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rPr>
          <w:trHeight w:val="973"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  目标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年均化解20件左右信访积案</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w:t>
            </w:r>
          </w:p>
        </w:tc>
      </w:tr>
      <w:tr>
        <w:trPr>
          <w:trHeight w:val="1324"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项目效果  指标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社会效益</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一定程度上维护全区社会大局和谐稳定</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一定程度上维护全区社会大局和谐稳定</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一定程度上维护全区社会大局和谐稳定</w:t>
            </w:r>
          </w:p>
        </w:tc>
      </w:tr>
      <w:tr>
        <w:trPr>
          <w:trHeight w:val="1072" w:hRule="atLeast"/>
        </w:trPr>
        <w:tc>
          <w:tcPr>
            <w:tcW w:w="3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项目效果  指标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解决群众实际困难切实维护群众利益在我区信访稳定</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解决群众实际困难切实维护群众利益在我区信访稳定</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解决群众实际困难切实维护群众利益在我区信访稳定</w:t>
            </w:r>
          </w:p>
        </w:tc>
      </w:tr>
    </w:tbl>
    <w:p/>
    <w:p/>
    <w:p/>
    <w:p/>
    <w:p/>
    <w:p/>
    <w:p/>
    <w:tbl>
      <w:tblPr>
        <w:tblStyle w:val="9"/>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18"/>
              <w:widowControl/>
              <w:ind w:left="4173" w:leftChars="1310" w:hanging="1422" w:hangingChars="395"/>
              <w:textAlignment w:val="center"/>
              <w:rPr>
                <w:rFonts w:hint="eastAsia" w:ascii="宋体" w:hAnsi="宋体" w:eastAsia="宋体" w:cs="宋体"/>
                <w:color w:val="000000"/>
                <w:sz w:val="36"/>
                <w:szCs w:val="36"/>
                <w:lang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eastAsia="zh-CN"/>
              </w:rPr>
              <w:t>（</w:t>
            </w:r>
            <w:r>
              <w:rPr>
                <w:rFonts w:hint="eastAsia" w:ascii="宋体" w:hAnsi="宋体" w:cs="宋体"/>
                <w:color w:val="000000"/>
                <w:kern w:val="0"/>
                <w:sz w:val="36"/>
                <w:szCs w:val="36"/>
              </w:rPr>
              <w:t>2020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相关处</w:t>
            </w:r>
            <w:r>
              <w:rPr>
                <w:rFonts w:hint="eastAsia" w:ascii="宋体" w:hAnsi="宋体" w:cs="宋体"/>
                <w:color w:val="000000"/>
                <w:kern w:val="0"/>
                <w:sz w:val="24"/>
                <w:lang w:eastAsia="zh-CN"/>
              </w:rPr>
              <w:t>理信</w:t>
            </w:r>
            <w:r>
              <w:rPr>
                <w:rFonts w:hint="eastAsia" w:ascii="宋体" w:hAnsi="宋体" w:cs="宋体"/>
                <w:color w:val="000000"/>
                <w:kern w:val="0"/>
                <w:sz w:val="24"/>
              </w:rPr>
              <w:t>访维稳专项工作经费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资阳市雁江区信访局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51.98万元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51.98万元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减轻各镇乡、办事处信访维稳压力，促进信访问题的处理及时化解，维护全区社会大局和稳定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推动了我区信访秩序的规范，维护了我区社会稳定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完成上级信访工作考核指标，规范我区信访秩序，对维护社会稳定起到积极作用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完成上级信访工作考核指标，规范我区信访秩序，对维护社会稳定起到积极作用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完成了上级信访工作考核指标，规范了我区信访秩序，对维护社会稳定起到积极作用</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项目效果指标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解决群众实际困难，切实维护群众利益和我区信访稳定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解决群众实际困难，切实维护群众利益和我区信访稳定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一定程度上解决了群众实际困难，切实维护了群众利益和我区信访稳定</w:t>
            </w:r>
          </w:p>
        </w:tc>
      </w:tr>
    </w:tbl>
    <w:p/>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9"/>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18"/>
              <w:widowControl/>
              <w:ind w:left="4173" w:leftChars="1310" w:hanging="1422" w:hangingChars="395"/>
              <w:textAlignment w:val="center"/>
              <w:rPr>
                <w:rFonts w:hint="eastAsia" w:ascii="宋体" w:hAnsi="宋体" w:eastAsia="宋体" w:cs="宋体"/>
                <w:color w:val="000000"/>
                <w:sz w:val="36"/>
                <w:szCs w:val="36"/>
                <w:lang w:val="en-US"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lang w:eastAsia="zh-CN"/>
              </w:rPr>
              <w:t>（</w:t>
            </w:r>
            <w:r>
              <w:rPr>
                <w:rFonts w:hint="eastAsia" w:ascii="宋体" w:hAnsi="宋体" w:cs="宋体"/>
                <w:color w:val="000000"/>
                <w:kern w:val="0"/>
                <w:sz w:val="36"/>
                <w:szCs w:val="36"/>
              </w:rPr>
              <w:t>2020年度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面上的信访维稳工作经费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资阳市雁江区信访局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39.39万元</w:t>
            </w:r>
          </w:p>
        </w:tc>
      </w:tr>
      <w:tr>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39.39万元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主要用于推动规范我区信访秩序，维护社会稳定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推动了我区信访秩序的规范，维护了我区社会稳定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ascii="宋体" w:hAnsi="宋体" w:cs="宋体"/>
                <w:sz w:val="24"/>
              </w:rPr>
              <w:t>一定程度上促进全区社会大局和谐稳定</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ascii="宋体" w:hAnsi="宋体" w:cs="宋体"/>
                <w:sz w:val="24"/>
              </w:rPr>
              <w:t>一定程度上促进全区社会大局和谐稳定</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ascii="宋体" w:hAnsi="宋体" w:cs="宋体"/>
                <w:sz w:val="24"/>
              </w:rPr>
              <w:t>一定程度上促进了全区社会大局和谐稳定</w:t>
            </w:r>
          </w:p>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p>
      <w:pPr>
        <w:spacing w:line="580" w:lineRule="exact"/>
        <w:ind w:firstLine="482" w:firstLineChars="150"/>
        <w:rPr>
          <w:rFonts w:ascii="仿宋" w:hAnsi="仿宋" w:eastAsia="仿宋" w:cs="仿宋_GB2312"/>
          <w:sz w:val="32"/>
          <w:szCs w:val="32"/>
        </w:rPr>
      </w:pPr>
      <w:r>
        <w:rPr>
          <w:rFonts w:hint="eastAsia" w:ascii="仿宋" w:hAnsi="仿宋" w:eastAsia="仿宋" w:cs="楷体_GB2312"/>
          <w:b/>
          <w:bCs/>
          <w:sz w:val="32"/>
          <w:szCs w:val="32"/>
        </w:rPr>
        <w:t>（三）部门绩效评价结果。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本部门按要求对2020年部门整体支出绩效评价情况开展自评，《资阳市雁江区信访局2020年雁江区整体支出绩效自评报告》见附件1。</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本部门自行组织对相关处</w:t>
      </w:r>
      <w:r>
        <w:rPr>
          <w:rFonts w:hint="eastAsia" w:ascii="仿宋_GB2312" w:hAnsi="仿宋_GB2312" w:eastAsia="仿宋_GB2312" w:cs="仿宋_GB2312"/>
          <w:sz w:val="32"/>
          <w:szCs w:val="32"/>
          <w:lang w:eastAsia="zh-CN"/>
        </w:rPr>
        <w:t>理信</w:t>
      </w:r>
      <w:r>
        <w:rPr>
          <w:rFonts w:hint="eastAsia" w:ascii="仿宋_GB2312" w:hAnsi="仿宋_GB2312" w:eastAsia="仿宋_GB2312" w:cs="仿宋_GB2312"/>
          <w:sz w:val="32"/>
          <w:szCs w:val="32"/>
        </w:rPr>
        <w:t>访维稳专项工作经费项目开展了绩效评价，《资阳市雁江区信访局相关处</w:t>
      </w:r>
      <w:r>
        <w:rPr>
          <w:rFonts w:hint="eastAsia" w:ascii="仿宋_GB2312" w:hAnsi="仿宋_GB2312" w:eastAsia="仿宋_GB2312" w:cs="仿宋_GB2312"/>
          <w:sz w:val="32"/>
          <w:szCs w:val="32"/>
          <w:lang w:eastAsia="zh-CN"/>
        </w:rPr>
        <w:t>理信</w:t>
      </w:r>
      <w:r>
        <w:rPr>
          <w:rFonts w:hint="eastAsia" w:ascii="仿宋_GB2312" w:hAnsi="仿宋_GB2312" w:eastAsia="仿宋_GB2312" w:cs="仿宋_GB2312"/>
          <w:sz w:val="32"/>
          <w:szCs w:val="32"/>
        </w:rPr>
        <w:t>访维稳专项工作经费项目2020年绩效评价报告》见附件2。</w:t>
      </w:r>
    </w:p>
    <w:p>
      <w:pPr>
        <w:autoSpaceDE w:val="0"/>
        <w:autoSpaceDN w:val="0"/>
        <w:adjustRightInd w:val="0"/>
        <w:spacing w:line="600" w:lineRule="exact"/>
        <w:ind w:firstLine="640" w:firstLineChars="200"/>
        <w:jc w:val="left"/>
        <w:rPr>
          <w:rFonts w:ascii="仿宋_GB2312" w:eastAsia="仿宋_GB2312"/>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3" w:firstLineChars="150"/>
        <w:jc w:val="center"/>
        <w:outlineLvl w:val="0"/>
        <w:rPr>
          <w:rStyle w:val="15"/>
          <w:rFonts w:ascii="黑体" w:hAnsi="黑体" w:eastAsia="黑体"/>
          <w:b w:val="0"/>
        </w:rPr>
      </w:pPr>
      <w:bookmarkStart w:id="53" w:name="_Toc15377225"/>
      <w:bookmarkStart w:id="54" w:name="_Toc17103565"/>
      <w:r>
        <w:rPr>
          <w:rFonts w:hint="eastAsia" w:ascii="黑体" w:hAnsi="黑体" w:eastAsia="黑体"/>
          <w:b/>
          <w:color w:val="000000"/>
          <w:sz w:val="44"/>
          <w:szCs w:val="44"/>
        </w:rPr>
        <w:t>名</w:t>
      </w:r>
      <w:r>
        <w:rPr>
          <w:rStyle w:val="15"/>
          <w:rFonts w:hint="eastAsia" w:ascii="黑体" w:hAnsi="黑体" w:eastAsia="黑体"/>
        </w:rPr>
        <w:t>词解释</w:t>
      </w:r>
      <w:bookmarkEnd w:id="53"/>
      <w:bookmarkEnd w:id="54"/>
    </w:p>
    <w:p>
      <w:pPr>
        <w:spacing w:line="600" w:lineRule="exact"/>
        <w:ind w:firstLine="640" w:firstLineChars="200"/>
        <w:rPr>
          <w:rFonts w:ascii="方正仿宋简体" w:eastAsia="方正仿宋简体"/>
          <w:sz w:val="32"/>
          <w:szCs w:val="32"/>
        </w:rPr>
      </w:pPr>
      <w:r>
        <w:rPr>
          <w:rFonts w:hint="eastAsia" w:ascii="仿宋_GB2312" w:eastAsia="仿宋_GB2312"/>
          <w:sz w:val="32"/>
          <w:szCs w:val="32"/>
        </w:rPr>
        <w:t>1.财政拨款收入</w:t>
      </w:r>
      <w:r>
        <w:rPr>
          <w:rFonts w:hint="eastAsia" w:ascii="方正仿宋简体" w:eastAsia="方正仿宋简体"/>
          <w:sz w:val="32"/>
          <w:szCs w:val="32"/>
        </w:rPr>
        <w:t>：指本级财政当年拨付的资金。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2.年初结转和结余：指以前年度尚未完成、结转到本年按有关规定继续使用的资金。</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3. 年末结转和结余：指单位按有关规定结转到下年或以后年度继续使用的资金。</w:t>
      </w:r>
    </w:p>
    <w:p>
      <w:pPr>
        <w:spacing w:line="600" w:lineRule="exact"/>
        <w:ind w:firstLine="640" w:firstLineChars="200"/>
        <w:rPr>
          <w:rFonts w:ascii="方正仿宋简体" w:eastAsia="方正仿宋简体"/>
          <w:sz w:val="32"/>
          <w:szCs w:val="32"/>
        </w:rPr>
      </w:pPr>
      <w:r>
        <w:rPr>
          <w:rFonts w:hint="eastAsia" w:ascii="仿宋_GB2312" w:eastAsia="仿宋_GB2312" w:cs="仿宋"/>
          <w:color w:val="000000"/>
          <w:kern w:val="0"/>
          <w:sz w:val="32"/>
          <w:szCs w:val="32"/>
        </w:rPr>
        <w:t>4.</w:t>
      </w:r>
      <w:r>
        <w:rPr>
          <w:rFonts w:hint="eastAsia" w:ascii="方正仿宋简体" w:eastAsia="方正仿宋简体"/>
          <w:sz w:val="32"/>
          <w:szCs w:val="32"/>
        </w:rPr>
        <w:t>一般公共服务支出（类）政府办公厅（室）及相关</w:t>
      </w:r>
    </w:p>
    <w:p>
      <w:pPr>
        <w:spacing w:line="600" w:lineRule="exact"/>
        <w:rPr>
          <w:rFonts w:ascii="方正仿宋简体" w:eastAsia="方正仿宋简体"/>
          <w:sz w:val="32"/>
          <w:szCs w:val="32"/>
        </w:rPr>
      </w:pPr>
      <w:r>
        <w:rPr>
          <w:rFonts w:hint="eastAsia" w:ascii="方正仿宋简体" w:eastAsia="方正仿宋简体"/>
          <w:sz w:val="32"/>
          <w:szCs w:val="32"/>
        </w:rPr>
        <w:t>机构事务（款）行政运行（项）：指行政单位用于保障机构正常运行、开展日常工作的基本支出。</w:t>
      </w:r>
    </w:p>
    <w:p>
      <w:pPr>
        <w:pStyle w:val="18"/>
        <w:spacing w:line="600" w:lineRule="exact"/>
        <w:ind w:left="420" w:firstLine="160" w:firstLineChars="50"/>
        <w:rPr>
          <w:rFonts w:ascii="方正仿宋简体" w:eastAsia="方正仿宋简体"/>
          <w:sz w:val="32"/>
          <w:szCs w:val="32"/>
        </w:rPr>
      </w:pPr>
      <w:r>
        <w:rPr>
          <w:rFonts w:hint="eastAsia" w:ascii="方正仿宋简体" w:eastAsia="方正仿宋简体"/>
          <w:sz w:val="32"/>
          <w:szCs w:val="32"/>
        </w:rPr>
        <w:t>5.一般公共服务支出（类）政府办公厅（室）及相关</w:t>
      </w:r>
    </w:p>
    <w:p>
      <w:pPr>
        <w:spacing w:line="600" w:lineRule="exact"/>
        <w:rPr>
          <w:rFonts w:ascii="方正仿宋简体" w:eastAsia="方正仿宋简体"/>
          <w:sz w:val="32"/>
          <w:szCs w:val="32"/>
        </w:rPr>
      </w:pPr>
      <w:r>
        <w:rPr>
          <w:rFonts w:hint="eastAsia" w:ascii="方正仿宋简体" w:eastAsia="方正仿宋简体"/>
          <w:sz w:val="32"/>
          <w:szCs w:val="32"/>
        </w:rPr>
        <w:t>机构事务（款）信访事务（项） ：指行政单位用于处理各类信访事务等支出。</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6.</w:t>
      </w:r>
      <w:r>
        <w:rPr>
          <w:rFonts w:hint="eastAsia" w:ascii="仿宋" w:hAnsi="仿宋" w:eastAsia="仿宋"/>
          <w:b/>
          <w:color w:val="000000" w:themeColor="text1"/>
          <w:sz w:val="32"/>
          <w:szCs w:val="32"/>
        </w:rPr>
        <w:t xml:space="preserve"> </w:t>
      </w:r>
      <w:r>
        <w:rPr>
          <w:rFonts w:hint="eastAsia" w:ascii="方正仿宋简体" w:eastAsia="方正仿宋简体"/>
          <w:sz w:val="32"/>
          <w:szCs w:val="32"/>
        </w:rPr>
        <w:t>一般公共服务（类）政府办公厅（室）及相关机构事务（款）事业运行（项）：指事业单位用于保障机构正常运行、开展日常工作的基本支出。</w:t>
      </w:r>
    </w:p>
    <w:p>
      <w:pPr>
        <w:pStyle w:val="18"/>
        <w:spacing w:line="600" w:lineRule="exact"/>
        <w:ind w:left="420" w:firstLine="0" w:firstLineChars="0"/>
        <w:rPr>
          <w:rFonts w:ascii="方正仿宋简体" w:eastAsia="方正仿宋简体"/>
          <w:sz w:val="32"/>
          <w:szCs w:val="32"/>
        </w:rPr>
      </w:pPr>
      <w:r>
        <w:rPr>
          <w:rFonts w:hint="eastAsia" w:ascii="方正仿宋简体" w:eastAsia="方正仿宋简体"/>
          <w:sz w:val="32"/>
          <w:szCs w:val="32"/>
        </w:rPr>
        <w:t>7.社会保障和就业（类）行政事业单位离退休（款）</w:t>
      </w:r>
    </w:p>
    <w:p>
      <w:pPr>
        <w:spacing w:line="600" w:lineRule="exact"/>
        <w:rPr>
          <w:rFonts w:ascii="方正仿宋简体" w:eastAsia="方正仿宋简体"/>
          <w:sz w:val="32"/>
          <w:szCs w:val="32"/>
        </w:rPr>
      </w:pPr>
      <w:r>
        <w:rPr>
          <w:rFonts w:hint="eastAsia" w:ascii="方正仿宋简体" w:eastAsia="方正仿宋简体"/>
          <w:sz w:val="32"/>
          <w:szCs w:val="32"/>
        </w:rPr>
        <w:t>机关事业单位基本养老保险缴费支出（项）：指部门实施养老保险制度由单位缴纳的养老保险费的支出。</w:t>
      </w:r>
    </w:p>
    <w:p>
      <w:pPr>
        <w:pStyle w:val="18"/>
        <w:spacing w:line="600" w:lineRule="exact"/>
        <w:ind w:left="420" w:firstLine="0" w:firstLineChars="0"/>
        <w:rPr>
          <w:rFonts w:ascii="方正仿宋简体" w:eastAsia="方正仿宋简体"/>
          <w:sz w:val="32"/>
          <w:szCs w:val="32"/>
        </w:rPr>
      </w:pPr>
      <w:r>
        <w:rPr>
          <w:rFonts w:hint="eastAsia" w:ascii="方正仿宋简体" w:eastAsia="方正仿宋简体"/>
          <w:sz w:val="32"/>
          <w:szCs w:val="32"/>
        </w:rPr>
        <w:t>8.社会保障和就业支出（类）行政事业单位离退休（款）</w:t>
      </w:r>
    </w:p>
    <w:p>
      <w:pPr>
        <w:spacing w:line="600" w:lineRule="exact"/>
        <w:rPr>
          <w:rFonts w:ascii="方正仿宋简体" w:eastAsia="方正仿宋简体"/>
          <w:sz w:val="32"/>
          <w:szCs w:val="32"/>
        </w:rPr>
      </w:pPr>
      <w:r>
        <w:rPr>
          <w:rFonts w:hint="eastAsia" w:ascii="方正仿宋简体" w:eastAsia="方正仿宋简体"/>
          <w:sz w:val="32"/>
          <w:szCs w:val="32"/>
        </w:rPr>
        <w:t>归口管理的行政单位离退休（项）：指部门支出的退休人员生活补助</w:t>
      </w:r>
      <w:r>
        <w:rPr>
          <w:rFonts w:hint="eastAsia" w:ascii="方正仿宋简体" w:eastAsia="方正仿宋简体"/>
        </w:rPr>
        <w:t>。</w:t>
      </w:r>
    </w:p>
    <w:p>
      <w:pPr>
        <w:spacing w:line="600" w:lineRule="exact"/>
        <w:ind w:firstLine="480" w:firstLineChars="150"/>
        <w:rPr>
          <w:rFonts w:ascii="方正仿宋简体" w:eastAsia="方正仿宋简体"/>
          <w:sz w:val="32"/>
          <w:szCs w:val="32"/>
        </w:rPr>
      </w:pPr>
      <w:r>
        <w:rPr>
          <w:rFonts w:hint="eastAsia" w:ascii="方正仿宋简体" w:eastAsia="方正仿宋简体"/>
          <w:sz w:val="32"/>
          <w:szCs w:val="32"/>
        </w:rPr>
        <w:t>9. 社会保障和就业支出（类）行政事业单位离退休（款）机关事业单位职业年金缴费支出（项）：指部门按规定缴纳的职业年金缴费支出。</w:t>
      </w:r>
    </w:p>
    <w:p>
      <w:pPr>
        <w:spacing w:line="600" w:lineRule="exact"/>
        <w:ind w:firstLine="640" w:firstLineChars="200"/>
        <w:rPr>
          <w:rFonts w:ascii="方正仿宋简体" w:eastAsia="方正仿宋简体"/>
        </w:rPr>
      </w:pPr>
      <w:r>
        <w:rPr>
          <w:rFonts w:hint="eastAsia" w:ascii="方正仿宋简体" w:eastAsia="方正仿宋简体"/>
          <w:sz w:val="32"/>
          <w:szCs w:val="32"/>
        </w:rPr>
        <w:t>10. 医疗卫生与计划生育支出（类）行政事业单位医疗（款）行政单位医疗（项）：指部门按规定缴纳的基本医疗保险缴费支出。</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11. 住房保障支出（类）住房改革支出（款）住房公积金（项）：指部门按人力资源和社会保障部、财政部规定的基本工资和津贴补贴以及规定比例为职工缴纳的住房公积金支出</w:t>
      </w:r>
      <w:r>
        <w:rPr>
          <w:rFonts w:hint="eastAsia" w:ascii="方正仿宋简体" w:eastAsia="方正仿宋简体"/>
        </w:rPr>
        <w:t>。</w:t>
      </w:r>
    </w:p>
    <w:p>
      <w:pPr>
        <w:pStyle w:val="18"/>
        <w:spacing w:line="600" w:lineRule="exact"/>
        <w:ind w:left="420" w:firstLine="0" w:firstLineChars="0"/>
        <w:rPr>
          <w:rFonts w:ascii="方正仿宋简体" w:eastAsia="方正仿宋简体"/>
          <w:sz w:val="32"/>
          <w:szCs w:val="32"/>
        </w:rPr>
      </w:pPr>
      <w:r>
        <w:rPr>
          <w:rFonts w:hint="eastAsia" w:ascii="方正仿宋简体" w:eastAsia="方正仿宋简体"/>
          <w:sz w:val="32"/>
          <w:szCs w:val="32"/>
        </w:rPr>
        <w:t>12.基本支出：指为保证机构正常运转，完成日常工作</w:t>
      </w:r>
    </w:p>
    <w:p>
      <w:pPr>
        <w:spacing w:line="600" w:lineRule="exact"/>
        <w:rPr>
          <w:rFonts w:ascii="方正仿宋简体" w:eastAsia="方正仿宋简体"/>
          <w:sz w:val="32"/>
          <w:szCs w:val="32"/>
        </w:rPr>
      </w:pPr>
      <w:r>
        <w:rPr>
          <w:rFonts w:hint="eastAsia" w:ascii="方正仿宋简体" w:eastAsia="方正仿宋简体"/>
          <w:sz w:val="32"/>
          <w:szCs w:val="32"/>
        </w:rPr>
        <w:t>任务而发生的人员支出和公用支出。</w:t>
      </w:r>
    </w:p>
    <w:p>
      <w:pPr>
        <w:spacing w:line="600" w:lineRule="exact"/>
        <w:ind w:firstLine="480" w:firstLineChars="150"/>
        <w:rPr>
          <w:rFonts w:ascii="方正仿宋简体" w:eastAsia="方正仿宋简体"/>
          <w:sz w:val="32"/>
          <w:szCs w:val="32"/>
        </w:rPr>
      </w:pPr>
      <w:r>
        <w:rPr>
          <w:rFonts w:hint="eastAsia" w:ascii="方正仿宋简体" w:eastAsia="方正仿宋简体"/>
          <w:sz w:val="32"/>
          <w:szCs w:val="32"/>
        </w:rPr>
        <w:t>13.项目支出：指在基本支出之外为完成特定行政任务和事业发展目标所发生的支出。</w:t>
      </w:r>
    </w:p>
    <w:p>
      <w:pPr>
        <w:pStyle w:val="18"/>
        <w:spacing w:line="600" w:lineRule="exact"/>
        <w:ind w:left="420" w:firstLine="0" w:firstLineChars="0"/>
        <w:rPr>
          <w:rFonts w:ascii="方正仿宋简体" w:eastAsia="方正仿宋简体"/>
          <w:sz w:val="32"/>
          <w:szCs w:val="32"/>
        </w:rPr>
      </w:pPr>
      <w:r>
        <w:rPr>
          <w:rFonts w:hint="eastAsia" w:ascii="方正仿宋简体" w:eastAsia="方正仿宋简体"/>
          <w:sz w:val="32"/>
          <w:szCs w:val="32"/>
        </w:rPr>
        <w:t>14.“三公”经费：纳入本部门预决算管理的“三公”经</w:t>
      </w:r>
    </w:p>
    <w:p>
      <w:pPr>
        <w:spacing w:line="600" w:lineRule="exact"/>
        <w:rPr>
          <w:rFonts w:ascii="方正仿宋简体" w:eastAsia="方正仿宋简体"/>
          <w:sz w:val="32"/>
          <w:szCs w:val="32"/>
        </w:rPr>
      </w:pPr>
      <w:r>
        <w:rPr>
          <w:rFonts w:hint="eastAsia" w:ascii="方正仿宋简体" w:eastAsia="方正仿宋简体"/>
          <w:sz w:val="32"/>
          <w:szCs w:val="32"/>
        </w:rPr>
        <w:t>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spacing w:line="600" w:lineRule="exact"/>
        <w:ind w:left="420" w:firstLine="0" w:firstLineChars="0"/>
        <w:rPr>
          <w:rFonts w:ascii="方正仿宋简体" w:eastAsia="方正仿宋简体"/>
          <w:sz w:val="32"/>
          <w:szCs w:val="32"/>
        </w:rPr>
      </w:pPr>
      <w:r>
        <w:rPr>
          <w:rFonts w:hint="eastAsia" w:ascii="方正仿宋简体" w:eastAsia="方正仿宋简体"/>
          <w:sz w:val="32"/>
          <w:szCs w:val="32"/>
        </w:rPr>
        <w:t>（九）机关运行经费：为保障行政单位（包含参照公务员</w:t>
      </w:r>
    </w:p>
    <w:p>
      <w:pPr>
        <w:spacing w:line="600" w:lineRule="exact"/>
        <w:rPr>
          <w:rFonts w:ascii="方正仿宋简体" w:eastAsia="方正仿宋简体"/>
          <w:sz w:val="32"/>
          <w:szCs w:val="32"/>
        </w:rPr>
      </w:pPr>
      <w:r>
        <w:rPr>
          <w:rFonts w:hint="eastAsia" w:ascii="方正仿宋简体" w:eastAsia="方正仿宋简体"/>
          <w:sz w:val="32"/>
          <w:szCs w:val="32"/>
        </w:rPr>
        <w:t>法管理的事业单位）运行用于购买货物和服务的各项资金。包括办公及印刷费、邮电费、差旅费、会议费一般设备购置费等费用开支。</w:t>
      </w:r>
    </w:p>
    <w:p>
      <w:pPr>
        <w:spacing w:line="600" w:lineRule="exact"/>
        <w:jc w:val="center"/>
        <w:outlineLvl w:val="0"/>
        <w:rPr>
          <w:rStyle w:val="15"/>
          <w:rFonts w:ascii="黑体" w:hAnsi="黑体" w:eastAsia="黑体"/>
          <w:b w:val="0"/>
        </w:rPr>
      </w:pPr>
      <w:r>
        <w:rPr>
          <w:rFonts w:ascii="宋体"/>
          <w:b/>
          <w:color w:val="000000"/>
          <w:sz w:val="44"/>
          <w:szCs w:val="44"/>
        </w:rPr>
        <w:br w:type="page"/>
      </w:r>
      <w:bookmarkStart w:id="55" w:name="_Toc17103566"/>
      <w:r>
        <w:rPr>
          <w:rFonts w:hint="eastAsia" w:ascii="黑体" w:hAnsi="黑体" w:eastAsia="黑体"/>
          <w:color w:val="000000"/>
          <w:sz w:val="44"/>
          <w:szCs w:val="44"/>
        </w:rPr>
        <w:t>第</w:t>
      </w:r>
      <w:r>
        <w:rPr>
          <w:rStyle w:val="15"/>
          <w:rFonts w:hint="eastAsia" w:ascii="黑体" w:hAnsi="黑体" w:eastAsia="黑体"/>
        </w:rPr>
        <w:t>四部分 附件</w:t>
      </w:r>
      <w:bookmarkEnd w:id="55"/>
    </w:p>
    <w:p>
      <w:pPr>
        <w:spacing w:line="600" w:lineRule="exact"/>
        <w:jc w:val="center"/>
        <w:outlineLvl w:val="0"/>
        <w:rPr>
          <w:rStyle w:val="15"/>
        </w:rPr>
      </w:pPr>
    </w:p>
    <w:p>
      <w:pPr>
        <w:pStyle w:val="4"/>
        <w:rPr>
          <w:rStyle w:val="15"/>
          <w:rFonts w:ascii="仿宋" w:hAnsi="仿宋" w:eastAsia="仿宋"/>
          <w:b w:val="0"/>
          <w:bCs w:val="0"/>
          <w:sz w:val="32"/>
          <w:szCs w:val="32"/>
        </w:rPr>
      </w:pPr>
      <w:bookmarkStart w:id="56" w:name="_Toc17103567"/>
      <w:r>
        <w:rPr>
          <w:rStyle w:val="15"/>
          <w:rFonts w:hint="eastAsia" w:ascii="仿宋" w:hAnsi="仿宋" w:eastAsia="仿宋"/>
          <w:b w:val="0"/>
          <w:bCs w:val="0"/>
          <w:sz w:val="32"/>
          <w:szCs w:val="32"/>
        </w:rPr>
        <w:t>附件1</w:t>
      </w:r>
      <w:bookmarkEnd w:id="56"/>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资阳市雁江区信访局</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2020年部门整体支出绩效自评报告</w:t>
      </w:r>
    </w:p>
    <w:p>
      <w:pPr>
        <w:spacing w:line="600" w:lineRule="exact"/>
        <w:jc w:val="center"/>
        <w:rPr>
          <w:rFonts w:ascii="方正小标宋简体" w:hAnsi="宋体" w:eastAsia="方正小标宋简体"/>
          <w:sz w:val="32"/>
          <w:szCs w:val="32"/>
        </w:rPr>
      </w:pPr>
    </w:p>
    <w:p>
      <w:pPr>
        <w:spacing w:line="620" w:lineRule="exact"/>
        <w:ind w:firstLine="640" w:firstLineChars="200"/>
        <w:jc w:val="left"/>
        <w:rPr>
          <w:rFonts w:ascii="方正仿宋简体" w:hAnsi="宋体" w:eastAsia="方正仿宋简体"/>
          <w:sz w:val="32"/>
          <w:szCs w:val="32"/>
        </w:rPr>
      </w:pPr>
      <w:r>
        <w:rPr>
          <w:rFonts w:hint="eastAsia" w:ascii="方正仿宋简体" w:hAnsi="宋体" w:eastAsia="方正仿宋简体"/>
          <w:sz w:val="32"/>
          <w:szCs w:val="32"/>
        </w:rPr>
        <w:t>为确实做好</w:t>
      </w:r>
      <w:r>
        <w:rPr>
          <w:rFonts w:ascii="Times New Roman" w:hAnsi="Times New Roman" w:eastAsia="方正仿宋简体"/>
          <w:sz w:val="32"/>
          <w:szCs w:val="32"/>
        </w:rPr>
        <w:t>2020</w:t>
      </w:r>
      <w:r>
        <w:rPr>
          <w:rFonts w:hint="eastAsia" w:ascii="方正仿宋简体" w:hAnsi="宋体" w:eastAsia="方正仿宋简体"/>
          <w:sz w:val="32"/>
          <w:szCs w:val="32"/>
        </w:rPr>
        <w:t>年度部门整体支出绩效自评工作，提高财政资金使用效益，根据《资阳市雁江区财政局关于开展</w:t>
      </w:r>
      <w:r>
        <w:rPr>
          <w:rFonts w:hint="eastAsia" w:ascii="Times New Roman" w:hAnsi="Times New Roman" w:eastAsia="方正仿宋简体"/>
          <w:sz w:val="32"/>
          <w:szCs w:val="32"/>
        </w:rPr>
        <w:t>2020年度支出绩效自评工作的通知》（资雁财发〔2021〕85号）文件精神，结合实际，我单位组织成立了绩效评价工</w:t>
      </w:r>
      <w:r>
        <w:rPr>
          <w:rFonts w:hint="eastAsia" w:ascii="方正仿宋简体" w:hAnsi="宋体" w:eastAsia="方正仿宋简体"/>
          <w:sz w:val="32"/>
          <w:szCs w:val="32"/>
        </w:rPr>
        <w:t>作小组，评价小组采取座谈等方式听取情况，检查基本支出、项目支出有关账目，收集整理支出相关资料，并根据各部门报送的绩效自评材料进行分析、总结，现将我单位整体支出绩效自评结果报告如下：</w:t>
      </w:r>
    </w:p>
    <w:p>
      <w:pPr>
        <w:spacing w:line="600" w:lineRule="exact"/>
        <w:rPr>
          <w:rFonts w:ascii="方正黑体简体" w:hAnsi="宋体" w:eastAsia="方正黑体简体"/>
          <w:sz w:val="32"/>
          <w:szCs w:val="32"/>
        </w:rPr>
      </w:pPr>
      <w:r>
        <w:rPr>
          <w:rFonts w:hint="eastAsia" w:ascii="宋体" w:hAnsi="宋体" w:eastAsia="仿宋"/>
          <w:sz w:val="32"/>
          <w:szCs w:val="32"/>
        </w:rPr>
        <w:t xml:space="preserve"> </w:t>
      </w:r>
      <w:r>
        <w:rPr>
          <w:rFonts w:hint="eastAsia" w:ascii="方正黑体简体" w:hAnsi="宋体" w:eastAsia="方正黑体简体"/>
          <w:sz w:val="32"/>
          <w:szCs w:val="32"/>
        </w:rPr>
        <w:t xml:space="preserve">   一、单位主要概况</w:t>
      </w:r>
    </w:p>
    <w:p>
      <w:pPr>
        <w:spacing w:line="600" w:lineRule="exact"/>
        <w:ind w:firstLine="640" w:firstLineChars="200"/>
        <w:rPr>
          <w:rFonts w:ascii="方正楷体简体" w:hAnsi="宋体" w:eastAsia="方正楷体简体"/>
          <w:sz w:val="32"/>
          <w:szCs w:val="32"/>
        </w:rPr>
      </w:pPr>
      <w:r>
        <w:rPr>
          <w:rFonts w:hint="eastAsia" w:ascii="方正楷体简体" w:hAnsi="宋体" w:eastAsia="方正楷体简体"/>
          <w:sz w:val="32"/>
          <w:szCs w:val="32"/>
        </w:rPr>
        <w:t>（一）机构组成：</w:t>
      </w:r>
    </w:p>
    <w:p>
      <w:pPr>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资阳市雁江区信访局属一级预算单位，无下属二级预算单位。</w:t>
      </w:r>
    </w:p>
    <w:p>
      <w:pPr>
        <w:spacing w:line="600" w:lineRule="exact"/>
        <w:ind w:firstLine="630"/>
        <w:rPr>
          <w:rFonts w:ascii="方正楷体简体" w:hAnsi="宋体" w:eastAsia="方正楷体简体"/>
          <w:sz w:val="32"/>
          <w:szCs w:val="32"/>
        </w:rPr>
      </w:pPr>
      <w:r>
        <w:rPr>
          <w:rFonts w:hint="eastAsia" w:ascii="方正楷体简体" w:hAnsi="宋体" w:eastAsia="方正楷体简体"/>
          <w:sz w:val="32"/>
          <w:szCs w:val="32"/>
        </w:rPr>
        <w:t>（二）机构职能：</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1.起草有关信访工作的政策、制度，制定信访问题排查化解、风险评估等制度并组织实施，提出改进和加强信访工作的意见和建议。</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2.负责向区委、区政府反映来信来电来访中提出的重要建议、意见和问题，综合研判信访信息，开展社情民意调查研究，提出制定修改完善有关政策和工作的建议。</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3.综合协调指导全区信访工作，督促检查各乡镇（街道）和区级各部门（单位）信访工作，总结推广各级各部门信访工作经验，协调信访工作宣传和信息发布。</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4.负责处理区内外群众、境外人士、法人及其他组织通过信访渠道给区委、区政府及领导同志的来信来电，接待来访。</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5.承担协调处理群众进京和到省委</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省政府、市委</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市政府及区委</w:t>
      </w:r>
      <w:r>
        <w:rPr>
          <w:rFonts w:hint="eastAsia" w:ascii="方正仿宋简体" w:hAnsi="宋体" w:eastAsia="方正仿宋简体"/>
          <w:sz w:val="32"/>
          <w:szCs w:val="32"/>
          <w:lang w:eastAsia="zh-CN"/>
        </w:rPr>
        <w:t>、</w:t>
      </w:r>
      <w:r>
        <w:rPr>
          <w:rFonts w:hint="eastAsia" w:ascii="方正仿宋简体" w:hAnsi="宋体" w:eastAsia="方正仿宋简体"/>
          <w:sz w:val="32"/>
          <w:szCs w:val="32"/>
        </w:rPr>
        <w:t>区政府的集体上访和非接待场所上访的责任，综合协调处理跨地区、跨部门的重要信访问题。</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6.负责落实中、省、市、区领导批示交办信访事项，向各镇（街道）和区级各部门（单位）转办、交办信访事项，督促检查重要信访事项的处理和落实。</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7.建立和完善信访信息汇集分析机制，指导信访信息系统建设和应用。</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8.承担区信访工作联席会议、区政府信访事项复查复核委员会日常工作，督促落实有关事项。</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9.负责职责范围内的安全生产和职业健康、生态环境保护、审批服务便民化等工作。</w:t>
      </w:r>
    </w:p>
    <w:p>
      <w:pPr>
        <w:snapToGrid w:val="0"/>
        <w:spacing w:line="520" w:lineRule="exac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10.完成区委、区政府交办的其他任务。</w:t>
      </w:r>
    </w:p>
    <w:p>
      <w:pPr>
        <w:spacing w:line="600" w:lineRule="exact"/>
        <w:ind w:firstLine="630"/>
        <w:rPr>
          <w:rFonts w:ascii="方正楷体简体" w:hAnsi="宋体" w:eastAsia="方正楷体简体"/>
          <w:sz w:val="32"/>
          <w:szCs w:val="32"/>
        </w:rPr>
      </w:pPr>
      <w:r>
        <w:rPr>
          <w:rFonts w:hint="eastAsia" w:ascii="方正楷体简体" w:hAnsi="宋体" w:eastAsia="方正楷体简体"/>
          <w:sz w:val="32"/>
          <w:szCs w:val="32"/>
        </w:rPr>
        <w:t>（三）人员概况：</w:t>
      </w:r>
    </w:p>
    <w:p>
      <w:pPr>
        <w:spacing w:line="620" w:lineRule="exact"/>
        <w:ind w:firstLine="640" w:firstLineChars="200"/>
        <w:jc w:val="left"/>
        <w:rPr>
          <w:rFonts w:ascii="Times New Roman" w:hAnsi="Times New Roman" w:eastAsia="方正仿宋简体"/>
          <w:sz w:val="32"/>
          <w:szCs w:val="32"/>
        </w:rPr>
      </w:pPr>
      <w:r>
        <w:rPr>
          <w:rFonts w:hint="eastAsia" w:ascii="方正仿宋简体" w:eastAsia="方正仿宋简体"/>
          <w:sz w:val="32"/>
          <w:szCs w:val="32"/>
        </w:rPr>
        <w:t>区</w:t>
      </w:r>
      <w:r>
        <w:rPr>
          <w:rFonts w:hint="eastAsia" w:ascii="Times New Roman" w:hAnsi="Times New Roman" w:eastAsia="方正仿宋简体"/>
          <w:sz w:val="32"/>
          <w:szCs w:val="32"/>
        </w:rPr>
        <w:t>信访局核定编制人数为23人，其中：行政编制16人，事业编制7人。在职人数20人，其中：行政编制14人，事业编制6人。</w:t>
      </w:r>
    </w:p>
    <w:p>
      <w:pPr>
        <w:spacing w:line="600" w:lineRule="exact"/>
        <w:rPr>
          <w:rFonts w:ascii="方正黑体简体" w:hAnsi="宋体" w:eastAsia="方正黑体简体"/>
          <w:sz w:val="32"/>
          <w:szCs w:val="32"/>
        </w:rPr>
      </w:pPr>
      <w:r>
        <w:rPr>
          <w:rFonts w:hint="eastAsia" w:ascii="方正黑体简体" w:hAnsi="宋体" w:eastAsia="方正黑体简体"/>
          <w:sz w:val="32"/>
          <w:szCs w:val="32"/>
        </w:rPr>
        <w:t xml:space="preserve">    二、部门财政资金收支情况</w:t>
      </w:r>
    </w:p>
    <w:p>
      <w:pPr>
        <w:spacing w:line="600" w:lineRule="exact"/>
        <w:rPr>
          <w:rFonts w:ascii="方正楷体简体" w:hAnsi="宋体" w:eastAsia="方正楷体简体"/>
          <w:sz w:val="32"/>
          <w:szCs w:val="32"/>
        </w:rPr>
      </w:pPr>
      <w:r>
        <w:rPr>
          <w:rFonts w:hint="eastAsia" w:ascii="方正楷体简体" w:hAnsi="宋体" w:eastAsia="方正楷体简体"/>
          <w:sz w:val="32"/>
          <w:szCs w:val="32"/>
        </w:rPr>
        <w:t xml:space="preserve">    （一）部门财政资金收入情况</w:t>
      </w:r>
    </w:p>
    <w:p>
      <w:pPr>
        <w:snapToGrid w:val="0"/>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本部门2020年一般公共预算财政拨款收入为636.29万元，包括：一般公共服务支出588.35万元，占92.47%；社会保障和就业支出23.61万元，占3.71%；卫生健康支出10.32万元，占1.62%；住房公积金14.01万元，占2.2%。</w:t>
      </w:r>
    </w:p>
    <w:p>
      <w:pPr>
        <w:spacing w:line="600" w:lineRule="exact"/>
        <w:rPr>
          <w:rFonts w:ascii="Times New Roman" w:hAnsi="Times New Roman" w:eastAsia="方正仿宋简体"/>
          <w:sz w:val="32"/>
          <w:szCs w:val="32"/>
        </w:rPr>
      </w:pPr>
      <w:r>
        <w:rPr>
          <w:rFonts w:hint="eastAsia" w:ascii="Times New Roman" w:hAnsi="Times New Roman" w:eastAsia="方正仿宋简体"/>
          <w:sz w:val="32"/>
          <w:szCs w:val="32"/>
        </w:rPr>
        <w:t xml:space="preserve">    （二）部门财政资金支出情况</w:t>
      </w:r>
    </w:p>
    <w:p>
      <w:pPr>
        <w:snapToGrid w:val="0"/>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2020年，本部门一般公共预算财政拨款支出为516.73万元。其中人员经费支出292.81万元，占总支出的56.67%，较上年增加97.32万元，增加49.78%；日常公用经费支出26.46万元，占总支出的5.12%，较上年增加2.78万元，增加11.74%，增加的主要原因为人员增加；项目经费支出197.46万元，占总支出的38.21%，较上年减少144.17万元，减少42.20%，减少的主要原因为厉行节约减少开支。</w:t>
      </w:r>
    </w:p>
    <w:p>
      <w:pPr>
        <w:spacing w:line="600" w:lineRule="exact"/>
        <w:rPr>
          <w:rFonts w:ascii="方正黑体简体" w:hAnsi="宋体" w:eastAsia="方正黑体简体"/>
          <w:sz w:val="32"/>
          <w:szCs w:val="32"/>
        </w:rPr>
      </w:pPr>
      <w:r>
        <w:rPr>
          <w:rFonts w:hint="eastAsia" w:ascii="方正黑体简体" w:hAnsi="宋体" w:eastAsia="方正黑体简体"/>
          <w:sz w:val="32"/>
          <w:szCs w:val="32"/>
        </w:rPr>
        <w:t xml:space="preserve">    三、部门整体预算绩效管理情况</w:t>
      </w:r>
    </w:p>
    <w:p>
      <w:pPr>
        <w:spacing w:line="600" w:lineRule="exact"/>
        <w:rPr>
          <w:rFonts w:ascii="方正楷体简体" w:hAnsi="宋体" w:eastAsia="方正楷体简体"/>
          <w:sz w:val="32"/>
          <w:szCs w:val="32"/>
        </w:rPr>
      </w:pPr>
      <w:r>
        <w:rPr>
          <w:rFonts w:hint="eastAsia" w:ascii="方正楷体简体" w:hAnsi="宋体" w:eastAsia="方正楷体简体"/>
          <w:sz w:val="32"/>
          <w:szCs w:val="32"/>
        </w:rPr>
        <w:t xml:space="preserve">    （一）预决算编制情况</w:t>
      </w:r>
    </w:p>
    <w:p>
      <w:pPr>
        <w:spacing w:line="600" w:lineRule="exact"/>
        <w:ind w:firstLine="640" w:firstLineChars="200"/>
        <w:rPr>
          <w:rFonts w:ascii="宋体" w:hAnsi="宋体" w:eastAsia="仿宋"/>
          <w:sz w:val="32"/>
          <w:szCs w:val="32"/>
        </w:rPr>
      </w:pPr>
      <w:r>
        <w:rPr>
          <w:rFonts w:hint="eastAsia" w:ascii="Times New Roman" w:hAnsi="Times New Roman" w:eastAsia="方正仿宋简体"/>
          <w:sz w:val="32"/>
          <w:szCs w:val="32"/>
        </w:rPr>
        <w:t>预算编制工作严格遵循合法性、真实性、完整性、重点性、绩效性，实行零基预算，按定额</w:t>
      </w:r>
      <w:r>
        <w:rPr>
          <w:rFonts w:hint="eastAsia" w:ascii="宋体" w:hAnsi="宋体" w:eastAsia="仿宋"/>
          <w:sz w:val="32"/>
          <w:szCs w:val="32"/>
        </w:rPr>
        <w:t>标准编制部门预算。专项预算细化，按规定及时公示了部门预算。及时清理，准确反映结余结转资金，严格执行结余结转资金的管理规定。</w:t>
      </w:r>
    </w:p>
    <w:p>
      <w:pPr>
        <w:spacing w:line="600" w:lineRule="exact"/>
        <w:rPr>
          <w:rFonts w:ascii="宋体" w:hAnsi="宋体" w:eastAsia="仿宋"/>
          <w:sz w:val="32"/>
          <w:szCs w:val="32"/>
        </w:rPr>
      </w:pPr>
      <w:r>
        <w:rPr>
          <w:rFonts w:hint="eastAsia" w:ascii="宋体" w:hAnsi="宋体" w:eastAsia="仿宋"/>
          <w:sz w:val="32"/>
          <w:szCs w:val="32"/>
        </w:rPr>
        <w:t xml:space="preserve">    决算编审工作中严格按照“真实、准确、完整、及时”的要求，正确理解和掌握决算报表的口径和相关指标，部门决算报表的内容涵盖单位的全部收支，做到了数据真实，计算准确，内容完整。按规定及时公示了部门决算。</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 xml:space="preserve"> （二）执行管理情况</w:t>
      </w:r>
    </w:p>
    <w:p>
      <w:pPr>
        <w:spacing w:line="600" w:lineRule="exact"/>
        <w:rPr>
          <w:rFonts w:ascii="宋体" w:hAnsi="宋体" w:eastAsia="仿宋"/>
          <w:sz w:val="32"/>
          <w:szCs w:val="32"/>
        </w:rPr>
      </w:pPr>
      <w:r>
        <w:rPr>
          <w:rFonts w:hint="eastAsia" w:ascii="宋体" w:hAnsi="宋体" w:eastAsia="仿宋"/>
          <w:sz w:val="32"/>
          <w:szCs w:val="32"/>
        </w:rPr>
        <w:t xml:space="preserve">    基本支出严格按部门预算均衡执行，根据批复的预算安排各项收支，确保预算严格有效执行。</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 xml:space="preserve"> （三）支出绩效情况</w:t>
      </w:r>
    </w:p>
    <w:p>
      <w:pPr>
        <w:spacing w:line="600" w:lineRule="exact"/>
        <w:rPr>
          <w:rFonts w:ascii="方正楷体简体" w:hAnsi="宋体" w:eastAsia="方正楷体简体"/>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 xml:space="preserve">  1.部门支出绩效。</w:t>
      </w:r>
    </w:p>
    <w:p>
      <w:pPr>
        <w:spacing w:line="600" w:lineRule="exact"/>
        <w:rPr>
          <w:rFonts w:ascii="方正楷体简体" w:hAnsi="宋体" w:eastAsia="方正楷体简体"/>
          <w:sz w:val="32"/>
          <w:szCs w:val="32"/>
        </w:rPr>
      </w:pPr>
      <w:r>
        <w:rPr>
          <w:rFonts w:hint="eastAsia" w:ascii="方正楷体简体" w:hAnsi="宋体" w:eastAsia="方正楷体简体"/>
          <w:sz w:val="32"/>
          <w:szCs w:val="32"/>
        </w:rPr>
        <w:t xml:space="preserve">    （1）行政运转保障。</w:t>
      </w:r>
    </w:p>
    <w:p>
      <w:pPr>
        <w:spacing w:line="600" w:lineRule="exact"/>
        <w:rPr>
          <w:rFonts w:ascii="Times New Roman" w:hAnsi="Times New Roman" w:eastAsia="方正仿宋简体"/>
          <w:sz w:val="32"/>
          <w:szCs w:val="32"/>
        </w:rPr>
      </w:pPr>
      <w:r>
        <w:rPr>
          <w:rFonts w:hint="eastAsia" w:ascii="宋体" w:hAnsi="宋体" w:eastAsia="仿宋"/>
          <w:sz w:val="32"/>
          <w:szCs w:val="32"/>
        </w:rPr>
        <w:t xml:space="preserve">    </w:t>
      </w:r>
      <w:r>
        <w:rPr>
          <w:rFonts w:hint="eastAsia" w:ascii="Times New Roman" w:hAnsi="Times New Roman" w:eastAsia="方正仿宋简体"/>
          <w:sz w:val="32"/>
          <w:szCs w:val="32"/>
        </w:rPr>
        <w:t>资阳市雁江区信访局决算支出主要用于保障该部门机构正常运转、完成日常工作任务以及承担信访维稳等相关工作。基本支出319.27万元，主要用于保障部门正常运转的日常支出，包括基本工资、津贴补贴等人员经费以及办公费、水电费、差旅费等日常公用经费。</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（2）机关厉行节约。</w:t>
      </w:r>
    </w:p>
    <w:p>
      <w:pPr>
        <w:spacing w:line="600" w:lineRule="exact"/>
        <w:ind w:firstLine="645"/>
        <w:rPr>
          <w:rFonts w:ascii="Times New Roman" w:hAnsi="Times New Roman" w:eastAsia="方正仿宋简体"/>
          <w:sz w:val="32"/>
          <w:szCs w:val="32"/>
        </w:rPr>
      </w:pPr>
      <w:r>
        <w:rPr>
          <w:rFonts w:hint="eastAsia" w:ascii="Times New Roman" w:hAnsi="Times New Roman" w:eastAsia="方正仿宋简体"/>
          <w:sz w:val="32"/>
          <w:szCs w:val="32"/>
        </w:rPr>
        <w:t>2020年我局无因公出国（境）经费和公务用车购置及运行维护费支出。我局2020年公务接待费支出2.18万元，比2019年公务接待费下降1.34万元，下降38.07%，主要原因是厉行节约减少开支。2020年我局会议费支出0万元，比2019年无增减。2020年培训费0.87万元，比2019年下降0.19万元，下降17.92%，主要原因为厉行节约减少开支。2020年公务用车运行维护费2.93万元，与2019年下降0.07万元，下降2.33%，主要原因为厉行节约减少开支。</w:t>
      </w:r>
    </w:p>
    <w:p>
      <w:pPr>
        <w:spacing w:line="600" w:lineRule="exact"/>
        <w:ind w:firstLine="645"/>
        <w:rPr>
          <w:rFonts w:ascii="宋体" w:hAnsi="宋体" w:eastAsia="仿宋"/>
          <w:sz w:val="32"/>
          <w:szCs w:val="32"/>
        </w:rPr>
      </w:pPr>
      <w:r>
        <w:rPr>
          <w:rFonts w:hint="eastAsia" w:ascii="方正楷体简体" w:hAnsi="宋体" w:eastAsia="方正楷体简体"/>
          <w:sz w:val="32"/>
          <w:szCs w:val="32"/>
        </w:rPr>
        <w:t>（3）机关节能降耗。</w:t>
      </w:r>
    </w:p>
    <w:p>
      <w:pPr>
        <w:spacing w:line="600" w:lineRule="exact"/>
        <w:rPr>
          <w:rFonts w:ascii="宋体" w:hAnsi="宋体" w:eastAsia="仿宋"/>
          <w:sz w:val="32"/>
          <w:szCs w:val="32"/>
        </w:rPr>
      </w:pPr>
      <w:r>
        <w:rPr>
          <w:rFonts w:hint="eastAsia" w:ascii="宋体" w:hAnsi="宋体" w:eastAsia="仿宋"/>
          <w:sz w:val="32"/>
          <w:szCs w:val="32"/>
        </w:rPr>
        <w:t xml:space="preserve">    严格按照节能降耗相关要求，做实做细节能采购、节约用电、节约用水、降低油耗等工作。</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 xml:space="preserve">  2.专项预算项目支出绩效。</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 xml:space="preserve">  （1）项目资金管理情况。</w:t>
      </w:r>
    </w:p>
    <w:p>
      <w:pPr>
        <w:spacing w:line="600" w:lineRule="exact"/>
        <w:rPr>
          <w:rFonts w:ascii="宋体" w:hAnsi="宋体" w:eastAsia="仿宋"/>
          <w:sz w:val="32"/>
          <w:szCs w:val="32"/>
        </w:rPr>
      </w:pPr>
      <w:r>
        <w:rPr>
          <w:rFonts w:hint="eastAsia" w:ascii="宋体" w:hAnsi="宋体" w:eastAsia="仿宋"/>
          <w:sz w:val="32"/>
          <w:szCs w:val="32"/>
        </w:rPr>
        <w:t xml:space="preserve">    机关建立和健全项目资金管理制度和管理办法。严格资金的使用和划拨流程，确保资金使用安全、公平、合理。项目资金做到了专款专用，及时拨付。资金的划拨均通过银行转</w:t>
      </w:r>
      <w:r>
        <w:rPr>
          <w:rFonts w:hint="eastAsia" w:ascii="宋体" w:hAnsi="宋体" w:eastAsia="仿宋"/>
          <w:color w:val="auto"/>
          <w:sz w:val="32"/>
          <w:szCs w:val="32"/>
          <w:lang w:eastAsia="zh-CN"/>
        </w:rPr>
        <w:t>账</w:t>
      </w:r>
      <w:r>
        <w:rPr>
          <w:rFonts w:hint="eastAsia" w:ascii="宋体" w:hAnsi="宋体" w:eastAsia="仿宋"/>
          <w:sz w:val="32"/>
          <w:szCs w:val="32"/>
        </w:rPr>
        <w:t>的方式，直接支付到相关单位</w:t>
      </w:r>
      <w:r>
        <w:rPr>
          <w:rFonts w:hint="eastAsia" w:ascii="宋体" w:hAnsi="宋体" w:eastAsia="仿宋"/>
          <w:sz w:val="32"/>
          <w:szCs w:val="32"/>
          <w:lang w:eastAsia="zh-CN"/>
        </w:rPr>
        <w:t>，</w:t>
      </w:r>
      <w:r>
        <w:rPr>
          <w:rFonts w:hint="eastAsia" w:ascii="宋体" w:hAnsi="宋体" w:eastAsia="仿宋"/>
          <w:sz w:val="32"/>
          <w:szCs w:val="32"/>
        </w:rPr>
        <w:t>切实保障了资金使用的准确性和安全性。</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 xml:space="preserve">   （2）绩效目标完成情况。</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Times New Roman" w:hAnsi="Times New Roman" w:eastAsia="方正仿宋简体"/>
          <w:sz w:val="32"/>
          <w:szCs w:val="32"/>
        </w:rPr>
        <w:t>2020年，区信访局一般公共财政预算636.29万元，支出516.73万元，完成绩效目标81.21%。</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方正楷体简体" w:hAnsi="宋体" w:eastAsia="方正楷体简体"/>
          <w:sz w:val="32"/>
          <w:szCs w:val="32"/>
        </w:rPr>
        <w:t>（四）综合管理情况</w:t>
      </w:r>
    </w:p>
    <w:p>
      <w:pPr>
        <w:spacing w:line="600" w:lineRule="exact"/>
        <w:rPr>
          <w:rFonts w:ascii="方正楷体简体" w:hAnsi="宋体" w:eastAsia="方正楷体简体"/>
          <w:sz w:val="32"/>
          <w:szCs w:val="32"/>
        </w:rPr>
      </w:pPr>
      <w:r>
        <w:rPr>
          <w:rFonts w:hint="eastAsia" w:ascii="方正楷体简体" w:hAnsi="宋体" w:eastAsia="方正楷体简体"/>
          <w:sz w:val="32"/>
          <w:szCs w:val="32"/>
        </w:rPr>
        <w:t xml:space="preserve">    1、财务管理情况</w:t>
      </w:r>
    </w:p>
    <w:p>
      <w:pPr>
        <w:spacing w:line="600" w:lineRule="exact"/>
        <w:rPr>
          <w:rFonts w:ascii="宋体" w:hAnsi="宋体" w:eastAsia="仿宋"/>
          <w:sz w:val="32"/>
          <w:szCs w:val="32"/>
        </w:rPr>
      </w:pPr>
      <w:r>
        <w:rPr>
          <w:rFonts w:hint="eastAsia" w:ascii="宋体" w:hAnsi="宋体" w:eastAsia="仿宋"/>
          <w:sz w:val="32"/>
          <w:szCs w:val="32"/>
        </w:rPr>
        <w:t xml:space="preserve">    局机关严格执行《行政单位会计制度》，建立机关财务管理制度，规范账务处理，会计凭证和财务报告真实完整，不做假账。加强三公经费管理，严格控制三公经费支出。明确一般性支出的开支范围和标准，严格报账审核。机关公务接待、会议费、差旅费严格按照相关文件要求执行。</w:t>
      </w:r>
    </w:p>
    <w:p>
      <w:pPr>
        <w:spacing w:line="600" w:lineRule="exact"/>
        <w:ind w:firstLine="630"/>
        <w:rPr>
          <w:rFonts w:ascii="方正楷体简体" w:hAnsi="宋体" w:eastAsia="方正楷体简体"/>
          <w:sz w:val="32"/>
          <w:szCs w:val="32"/>
        </w:rPr>
      </w:pPr>
      <w:r>
        <w:rPr>
          <w:rFonts w:hint="eastAsia" w:ascii="方正楷体简体" w:hAnsi="宋体" w:eastAsia="方正楷体简体"/>
          <w:sz w:val="32"/>
          <w:szCs w:val="32"/>
        </w:rPr>
        <w:t>2、资产管理情况</w:t>
      </w:r>
    </w:p>
    <w:p>
      <w:pPr>
        <w:spacing w:line="600" w:lineRule="exact"/>
        <w:ind w:firstLine="630"/>
        <w:rPr>
          <w:rFonts w:ascii="宋体" w:hAnsi="宋体" w:eastAsia="仿宋"/>
          <w:sz w:val="32"/>
          <w:szCs w:val="32"/>
        </w:rPr>
      </w:pPr>
      <w:r>
        <w:rPr>
          <w:rFonts w:hint="eastAsia" w:ascii="宋体" w:hAnsi="宋体" w:eastAsia="仿宋"/>
          <w:sz w:val="32"/>
          <w:szCs w:val="32"/>
        </w:rPr>
        <w:t>加强资产管理，机关资产录入国有资产管理信息系统，每项资产建立了资产卡片，实行动态管理，完成资产清查工作。报废、毁损、处理、拍卖固定资产，根据相关文件规定办理相关报批手续</w:t>
      </w:r>
      <w:r>
        <w:rPr>
          <w:rFonts w:hint="eastAsia" w:ascii="宋体" w:hAnsi="宋体" w:eastAsia="仿宋"/>
          <w:sz w:val="32"/>
          <w:szCs w:val="32"/>
          <w:lang w:eastAsia="zh-CN"/>
        </w:rPr>
        <w:t>，</w:t>
      </w:r>
      <w:r>
        <w:rPr>
          <w:rFonts w:hint="eastAsia" w:ascii="宋体" w:hAnsi="宋体" w:eastAsia="仿宋"/>
          <w:sz w:val="32"/>
          <w:szCs w:val="32"/>
        </w:rPr>
        <w:t>根据财政的批复，及时进行账务调整。</w:t>
      </w:r>
    </w:p>
    <w:p>
      <w:pPr>
        <w:spacing w:line="600" w:lineRule="exact"/>
        <w:rPr>
          <w:rFonts w:ascii="方正楷体简体" w:hAnsi="宋体" w:eastAsia="方正楷体简体"/>
          <w:sz w:val="32"/>
          <w:szCs w:val="32"/>
        </w:rPr>
      </w:pPr>
      <w:r>
        <w:rPr>
          <w:rFonts w:hint="eastAsia" w:ascii="方正楷体简体" w:hAnsi="宋体" w:eastAsia="方正楷体简体"/>
          <w:sz w:val="32"/>
          <w:szCs w:val="32"/>
        </w:rPr>
        <w:t xml:space="preserve">    3、内控制度管理情况</w:t>
      </w:r>
    </w:p>
    <w:p>
      <w:pPr>
        <w:spacing w:line="600" w:lineRule="exact"/>
        <w:rPr>
          <w:rFonts w:ascii="宋体" w:hAnsi="宋体" w:eastAsia="仿宋"/>
          <w:sz w:val="32"/>
          <w:szCs w:val="32"/>
        </w:rPr>
      </w:pPr>
      <w:r>
        <w:rPr>
          <w:rFonts w:hint="eastAsia" w:ascii="宋体" w:hAnsi="宋体" w:eastAsia="仿宋"/>
          <w:sz w:val="32"/>
          <w:szCs w:val="32"/>
        </w:rPr>
        <w:t xml:space="preserve">    机关建立和健全了预算业务管理、收支业务管理、政府采购业务管理、资产管理、合同管理等内部控制制度。查找了风险点，完善了业务流程。使经济业务管理更规范、健康。</w:t>
      </w:r>
    </w:p>
    <w:p>
      <w:pPr>
        <w:spacing w:line="600" w:lineRule="exact"/>
        <w:ind w:firstLine="630"/>
        <w:rPr>
          <w:rFonts w:ascii="方正楷体简体" w:hAnsi="宋体" w:eastAsia="方正楷体简体"/>
          <w:sz w:val="32"/>
          <w:szCs w:val="32"/>
        </w:rPr>
      </w:pPr>
      <w:r>
        <w:rPr>
          <w:rFonts w:hint="eastAsia" w:ascii="方正楷体简体" w:hAnsi="宋体" w:eastAsia="方正楷体简体"/>
          <w:sz w:val="32"/>
          <w:szCs w:val="32"/>
        </w:rPr>
        <w:t>4、政府采购管理情况</w:t>
      </w:r>
    </w:p>
    <w:p>
      <w:pPr>
        <w:spacing w:line="600" w:lineRule="exact"/>
        <w:ind w:firstLine="630"/>
        <w:rPr>
          <w:rFonts w:ascii="宋体" w:hAnsi="宋体" w:eastAsia="仿宋"/>
          <w:sz w:val="32"/>
          <w:szCs w:val="32"/>
        </w:rPr>
      </w:pPr>
      <w:r>
        <w:rPr>
          <w:rFonts w:hint="eastAsia" w:ascii="宋体" w:hAnsi="宋体" w:eastAsia="仿宋"/>
          <w:sz w:val="32"/>
          <w:szCs w:val="32"/>
        </w:rPr>
        <w:t>机关的货物购置、工程和服务项目，按照规定实行政府采购。加强对政府采购业务控制，按照规定选择政府采购方式、发布政府采购信息。对政府采购变更政府采购方式等事项加强内部审核，严格履行审批手续。</w:t>
      </w:r>
    </w:p>
    <w:p>
      <w:pPr>
        <w:spacing w:line="600" w:lineRule="exact"/>
        <w:ind w:firstLine="630"/>
        <w:rPr>
          <w:rFonts w:ascii="方正楷体简体" w:hAnsi="宋体" w:eastAsia="方正楷体简体"/>
          <w:sz w:val="32"/>
          <w:szCs w:val="32"/>
        </w:rPr>
      </w:pPr>
      <w:r>
        <w:rPr>
          <w:rFonts w:hint="eastAsia" w:ascii="方正楷体简体" w:hAnsi="宋体" w:eastAsia="方正楷体简体"/>
          <w:sz w:val="32"/>
          <w:szCs w:val="32"/>
        </w:rPr>
        <w:t>5、依法接受财政等监督</w:t>
      </w:r>
    </w:p>
    <w:p>
      <w:pPr>
        <w:spacing w:line="600" w:lineRule="exact"/>
        <w:ind w:firstLine="630"/>
        <w:rPr>
          <w:rFonts w:ascii="宋体" w:hAnsi="宋体" w:eastAsia="仿宋"/>
          <w:sz w:val="32"/>
          <w:szCs w:val="32"/>
        </w:rPr>
      </w:pPr>
      <w:r>
        <w:rPr>
          <w:rFonts w:hint="eastAsia" w:ascii="宋体" w:hAnsi="宋体" w:eastAsia="仿宋"/>
          <w:sz w:val="32"/>
          <w:szCs w:val="32"/>
        </w:rPr>
        <w:t>遵守财经法规，严格财经纪律，依法接受财政、审计、巡察监督，按时上报开展滥发奖金、工资、补贴问题和严肃财经纪律等自查报告。</w:t>
      </w:r>
    </w:p>
    <w:p>
      <w:pPr>
        <w:spacing w:line="600" w:lineRule="exact"/>
        <w:rPr>
          <w:rFonts w:ascii="方正楷体简体" w:hAnsi="宋体" w:eastAsia="方正楷体简体"/>
          <w:sz w:val="32"/>
          <w:szCs w:val="32"/>
        </w:rPr>
      </w:pPr>
      <w:r>
        <w:rPr>
          <w:rFonts w:hint="eastAsia" w:ascii="方正楷体简体" w:hAnsi="宋体" w:eastAsia="方正楷体简体"/>
          <w:sz w:val="32"/>
          <w:szCs w:val="32"/>
        </w:rPr>
        <w:t xml:space="preserve">    （五）绩效管理工作开展情况</w:t>
      </w:r>
    </w:p>
    <w:p>
      <w:pPr>
        <w:spacing w:line="600" w:lineRule="exact"/>
        <w:rPr>
          <w:rFonts w:ascii="宋体" w:hAnsi="宋体" w:eastAsia="仿宋"/>
          <w:sz w:val="32"/>
          <w:szCs w:val="32"/>
        </w:rPr>
      </w:pPr>
      <w:r>
        <w:rPr>
          <w:rFonts w:hint="eastAsia" w:ascii="宋体" w:hAnsi="宋体" w:eastAsia="仿宋"/>
          <w:sz w:val="32"/>
          <w:szCs w:val="32"/>
        </w:rPr>
        <w:t xml:space="preserve">   </w:t>
      </w:r>
      <w:r>
        <w:rPr>
          <w:rFonts w:hint="eastAsia" w:ascii="Times New Roman" w:hAnsi="Times New Roman" w:eastAsia="方正仿宋简体"/>
          <w:sz w:val="32"/>
          <w:szCs w:val="32"/>
        </w:rPr>
        <w:t>根据资阳市雁江区财政局《关于开展2020年度支出绩效自评工作的通知》（资雁财发〔2021〕85号）文件要求，我局成立自评工作组，组织实施2020年绩效管理自评工作。</w:t>
      </w:r>
    </w:p>
    <w:p>
      <w:pPr>
        <w:spacing w:line="600" w:lineRule="exact"/>
        <w:rPr>
          <w:rFonts w:ascii="方正黑体简体" w:hAnsi="宋体" w:eastAsia="方正黑体简体"/>
          <w:sz w:val="32"/>
          <w:szCs w:val="32"/>
        </w:rPr>
      </w:pPr>
      <w:r>
        <w:rPr>
          <w:rFonts w:hint="eastAsia" w:ascii="方正黑体简体" w:hAnsi="宋体" w:eastAsia="方正黑体简体"/>
          <w:sz w:val="32"/>
          <w:szCs w:val="32"/>
        </w:rPr>
        <w:t xml:space="preserve">    四、评价结论及建议</w:t>
      </w:r>
    </w:p>
    <w:p>
      <w:pPr>
        <w:spacing w:line="600" w:lineRule="exact"/>
        <w:ind w:firstLine="630"/>
        <w:rPr>
          <w:rFonts w:ascii="宋体" w:hAnsi="宋体" w:eastAsia="仿宋"/>
          <w:sz w:val="32"/>
          <w:szCs w:val="32"/>
        </w:rPr>
      </w:pPr>
      <w:r>
        <w:rPr>
          <w:rFonts w:hint="eastAsia" w:ascii="方正楷体简体" w:hAnsi="宋体" w:eastAsia="方正楷体简体"/>
          <w:sz w:val="32"/>
          <w:szCs w:val="32"/>
        </w:rPr>
        <w:t>（一）评价结论</w:t>
      </w:r>
    </w:p>
    <w:p>
      <w:pPr>
        <w:spacing w:line="600" w:lineRule="exact"/>
        <w:ind w:firstLine="630"/>
        <w:rPr>
          <w:rFonts w:ascii="Times New Roman" w:hAnsi="Times New Roman" w:eastAsia="方正仿宋简体"/>
          <w:sz w:val="32"/>
          <w:szCs w:val="32"/>
        </w:rPr>
      </w:pPr>
      <w:r>
        <w:rPr>
          <w:rFonts w:hint="eastAsia" w:ascii="Times New Roman" w:hAnsi="Times New Roman" w:eastAsia="方正仿宋简体"/>
          <w:sz w:val="32"/>
          <w:szCs w:val="32"/>
        </w:rPr>
        <w:t>结合《</w:t>
      </w:r>
      <w:r>
        <w:rPr>
          <w:rFonts w:ascii="Times New Roman" w:hAnsi="Times New Roman" w:eastAsia="方正仿宋简体"/>
          <w:sz w:val="32"/>
          <w:szCs w:val="32"/>
        </w:rPr>
        <w:t>20</w:t>
      </w:r>
      <w:r>
        <w:rPr>
          <w:rFonts w:hint="eastAsia" w:ascii="Times New Roman" w:hAnsi="Times New Roman" w:eastAsia="方正仿宋简体"/>
          <w:sz w:val="32"/>
          <w:szCs w:val="32"/>
        </w:rPr>
        <w:t>20</w:t>
      </w:r>
      <w:r>
        <w:rPr>
          <w:rFonts w:ascii="Times New Roman" w:hAnsi="Times New Roman" w:eastAsia="方正仿宋简体"/>
          <w:sz w:val="32"/>
          <w:szCs w:val="32"/>
        </w:rPr>
        <w:t>年度</w:t>
      </w:r>
      <w:r>
        <w:rPr>
          <w:rFonts w:hint="eastAsia" w:ascii="Times New Roman" w:hAnsi="Times New Roman" w:eastAsia="方正仿宋简体"/>
          <w:sz w:val="32"/>
          <w:szCs w:val="32"/>
        </w:rPr>
        <w:t>雁江区</w:t>
      </w:r>
      <w:r>
        <w:rPr>
          <w:rFonts w:ascii="Times New Roman" w:hAnsi="Times New Roman" w:eastAsia="方正仿宋简体"/>
          <w:sz w:val="32"/>
          <w:szCs w:val="32"/>
        </w:rPr>
        <w:t>整体支出绩效自评计分表</w:t>
      </w:r>
      <w:r>
        <w:rPr>
          <w:rFonts w:hint="eastAsia" w:ascii="Times New Roman" w:hAnsi="Times New Roman" w:eastAsia="方正仿宋简体"/>
          <w:sz w:val="32"/>
          <w:szCs w:val="32"/>
        </w:rPr>
        <w:t>》（见附件1）、《</w:t>
      </w:r>
      <w:r>
        <w:rPr>
          <w:rFonts w:ascii="Times New Roman" w:hAnsi="Times New Roman" w:eastAsia="方正仿宋简体"/>
          <w:sz w:val="32"/>
          <w:szCs w:val="32"/>
        </w:rPr>
        <w:t>20</w:t>
      </w:r>
      <w:r>
        <w:rPr>
          <w:rFonts w:hint="eastAsia" w:ascii="Times New Roman" w:hAnsi="Times New Roman" w:eastAsia="方正仿宋简体"/>
          <w:sz w:val="32"/>
          <w:szCs w:val="32"/>
        </w:rPr>
        <w:t>20</w:t>
      </w:r>
      <w:r>
        <w:rPr>
          <w:rFonts w:ascii="Times New Roman" w:hAnsi="Times New Roman" w:eastAsia="方正仿宋简体"/>
          <w:sz w:val="32"/>
          <w:szCs w:val="32"/>
        </w:rPr>
        <w:t>年度</w:t>
      </w:r>
      <w:r>
        <w:rPr>
          <w:rFonts w:hint="eastAsia" w:ascii="Times New Roman" w:hAnsi="Times New Roman" w:eastAsia="方正仿宋简体"/>
          <w:sz w:val="32"/>
          <w:szCs w:val="32"/>
        </w:rPr>
        <w:t>雁江区</w:t>
      </w:r>
      <w:r>
        <w:rPr>
          <w:rFonts w:ascii="Times New Roman" w:hAnsi="Times New Roman" w:eastAsia="方正仿宋简体"/>
          <w:sz w:val="32"/>
          <w:szCs w:val="32"/>
        </w:rPr>
        <w:t>整体支出绩效目标完成情况表</w:t>
      </w:r>
      <w:r>
        <w:rPr>
          <w:rFonts w:hint="eastAsia" w:ascii="Times New Roman" w:hAnsi="Times New Roman" w:eastAsia="方正仿宋简体"/>
          <w:sz w:val="32"/>
          <w:szCs w:val="32"/>
        </w:rPr>
        <w:t>》（见附件2）的评价结果。根据资雁财发〔2021〕85号文件，开展2020年部门整体支出绩效评价。根据实事求是的原则，我局绩效目标设定符合国家法律法规和社会发展总的规划</w:t>
      </w:r>
      <w:r>
        <w:rPr>
          <w:rFonts w:hint="eastAsia" w:ascii="宋体" w:hAnsi="宋体" w:eastAsia="方正仿宋简体"/>
          <w:sz w:val="32"/>
          <w:szCs w:val="32"/>
        </w:rPr>
        <w:t>，与部门“三定方案”和中远期发展相符。预算配置合理</w:t>
      </w:r>
      <w:r>
        <w:rPr>
          <w:rFonts w:hint="eastAsia" w:ascii="宋体" w:hAnsi="宋体" w:eastAsia="方正仿宋简体"/>
          <w:sz w:val="32"/>
          <w:szCs w:val="32"/>
          <w:lang w:eastAsia="zh-CN"/>
        </w:rPr>
        <w:t>，</w:t>
      </w:r>
      <w:r>
        <w:rPr>
          <w:rFonts w:hint="eastAsia" w:ascii="宋体" w:hAnsi="宋体" w:eastAsia="方正仿宋简体"/>
          <w:sz w:val="32"/>
          <w:szCs w:val="32"/>
        </w:rPr>
        <w:t>财政供养人员控制率、“三公经费”变动率、重点支出安排率均符合政策要求。预算执行到位，预算调整率、支出进度合</w:t>
      </w:r>
      <w:r>
        <w:rPr>
          <w:rFonts w:hint="eastAsia" w:ascii="Times New Roman" w:hAnsi="Times New Roman" w:eastAsia="方正仿宋简体"/>
          <w:sz w:val="32"/>
          <w:szCs w:val="32"/>
        </w:rPr>
        <w:t>理，资金结余，三公经费控制率</w:t>
      </w:r>
      <w:r>
        <w:rPr>
          <w:rFonts w:hint="eastAsia" w:ascii="Times New Roman" w:hAnsi="Times New Roman" w:eastAsia="方正仿宋简体"/>
          <w:sz w:val="32"/>
          <w:szCs w:val="32"/>
          <w:lang w:eastAsia="zh-CN"/>
        </w:rPr>
        <w:t>小于等于</w:t>
      </w:r>
      <w:r>
        <w:rPr>
          <w:rFonts w:hint="eastAsia" w:ascii="Times New Roman" w:hAnsi="Times New Roman" w:eastAsia="方正仿宋简体"/>
          <w:sz w:val="32"/>
          <w:szCs w:val="32"/>
        </w:rPr>
        <w:t>100%。预算管</w:t>
      </w:r>
      <w:r>
        <w:rPr>
          <w:rFonts w:hint="eastAsia" w:ascii="宋体" w:hAnsi="宋体" w:eastAsia="方正仿宋简体"/>
          <w:sz w:val="32"/>
          <w:szCs w:val="32"/>
        </w:rPr>
        <w:t>理健全，资金使用合规，预决算信息公开完善。资产管理科学，职责履</w:t>
      </w:r>
      <w:r>
        <w:rPr>
          <w:rFonts w:hint="eastAsia" w:ascii="Times New Roman" w:hAnsi="Times New Roman" w:eastAsia="方正仿宋简体"/>
          <w:sz w:val="32"/>
          <w:szCs w:val="32"/>
        </w:rPr>
        <w:t>行到位，效益显著。我局2020年部门整体支出绩效评价自评得分85.94分，绩效评价等级良好。扣分项目主要集中在结转结余率、经济效益和生态效益，其中结转结余率大于5%，按照评价标准，扣2分；结转结余变动率大于15%，扣2分；经济效益和生态效益，因本部门履行职责对经济发展和生态环境所带来的直接或间接影响无法估计，按照评价标准，合计扣6分。</w:t>
      </w:r>
    </w:p>
    <w:p>
      <w:pPr>
        <w:spacing w:line="600" w:lineRule="exact"/>
        <w:rPr>
          <w:rFonts w:ascii="方正楷体简体" w:hAnsi="宋体" w:eastAsia="方正楷体简体"/>
          <w:sz w:val="32"/>
          <w:szCs w:val="32"/>
        </w:rPr>
      </w:pPr>
      <w:r>
        <w:rPr>
          <w:rFonts w:hint="eastAsia" w:ascii="方正楷体简体" w:hAnsi="宋体" w:eastAsia="方正楷体简体"/>
          <w:sz w:val="32"/>
          <w:szCs w:val="32"/>
        </w:rPr>
        <w:t xml:space="preserve">    （二）存在问题</w:t>
      </w:r>
    </w:p>
    <w:p>
      <w:pPr>
        <w:snapToGrid w:val="0"/>
        <w:spacing w:line="52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预算执行及绩效管理不够科学高效，原因为会计人员业务水平还有待改进。 </w:t>
      </w:r>
    </w:p>
    <w:p>
      <w:pPr>
        <w:spacing w:line="600" w:lineRule="exact"/>
        <w:ind w:firstLine="630"/>
        <w:rPr>
          <w:rFonts w:ascii="宋体" w:hAnsi="宋体" w:eastAsia="仿宋"/>
          <w:sz w:val="32"/>
          <w:szCs w:val="32"/>
        </w:rPr>
      </w:pPr>
      <w:r>
        <w:rPr>
          <w:rFonts w:hint="eastAsia" w:ascii="方正楷体简体" w:hAnsi="宋体" w:eastAsia="方正楷体简体"/>
          <w:sz w:val="32"/>
          <w:szCs w:val="32"/>
        </w:rPr>
        <w:t>（三）改进建议</w:t>
      </w:r>
    </w:p>
    <w:p>
      <w:pPr>
        <w:spacing w:line="600" w:lineRule="exact"/>
        <w:ind w:firstLine="630"/>
        <w:rPr>
          <w:rFonts w:ascii="宋体" w:hAnsi="宋体" w:eastAsia="仿宋"/>
          <w:sz w:val="32"/>
          <w:szCs w:val="32"/>
        </w:rPr>
      </w:pPr>
      <w:r>
        <w:rPr>
          <w:rFonts w:hint="eastAsia" w:ascii="宋体" w:hAnsi="宋体" w:eastAsia="方正仿宋简体"/>
          <w:sz w:val="32"/>
          <w:szCs w:val="32"/>
        </w:rPr>
        <w:t>加强财务人员培训，提升业务能力。</w:t>
      </w:r>
    </w:p>
    <w:p/>
    <w:p/>
    <w:p/>
    <w:p/>
    <w:p/>
    <w:p/>
    <w:p/>
    <w:p/>
    <w:p/>
    <w:p/>
    <w:p/>
    <w:p/>
    <w:p>
      <w:pPr>
        <w:pStyle w:val="4"/>
        <w:rPr>
          <w:rStyle w:val="15"/>
          <w:rFonts w:ascii="仿宋" w:hAnsi="仿宋" w:eastAsia="仿宋"/>
          <w:b w:val="0"/>
          <w:bCs w:val="0"/>
          <w:sz w:val="32"/>
          <w:szCs w:val="32"/>
        </w:rPr>
      </w:pPr>
      <w:bookmarkStart w:id="57" w:name="_Toc17103569"/>
      <w:r>
        <w:rPr>
          <w:rStyle w:val="15"/>
          <w:rFonts w:hint="eastAsia" w:ascii="仿宋" w:hAnsi="仿宋" w:eastAsia="仿宋"/>
          <w:b w:val="0"/>
          <w:bCs w:val="0"/>
          <w:sz w:val="32"/>
          <w:szCs w:val="32"/>
        </w:rPr>
        <w:t>附件2</w:t>
      </w:r>
      <w:bookmarkEnd w:id="57"/>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资阳市雁江区信访局</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相关处</w:t>
      </w:r>
      <w:r>
        <w:rPr>
          <w:rFonts w:hint="eastAsia" w:ascii="黑体" w:hAnsi="黑体" w:eastAsia="黑体" w:cs="方正小标宋简体"/>
          <w:sz w:val="44"/>
          <w:szCs w:val="44"/>
          <w:lang w:eastAsia="zh-CN"/>
        </w:rPr>
        <w:t>理信</w:t>
      </w:r>
      <w:r>
        <w:rPr>
          <w:rFonts w:hint="eastAsia" w:ascii="黑体" w:hAnsi="黑体" w:eastAsia="黑体" w:cs="方正小标宋简体"/>
          <w:sz w:val="44"/>
          <w:szCs w:val="44"/>
        </w:rPr>
        <w:t>访维稳专项工作经费项目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2020年支出绩效评价报告</w:t>
      </w:r>
    </w:p>
    <w:p>
      <w:pPr>
        <w:spacing w:line="580" w:lineRule="exact"/>
        <w:jc w:val="center"/>
        <w:rPr>
          <w:rFonts w:ascii="黑体" w:hAnsi="黑体" w:eastAsia="黑体" w:cs="方正小标宋简体"/>
          <w:sz w:val="44"/>
          <w:szCs w:val="44"/>
        </w:rPr>
      </w:pPr>
    </w:p>
    <w:p>
      <w:pPr>
        <w:spacing w:line="580" w:lineRule="exact"/>
        <w:ind w:firstLine="640" w:firstLineChars="200"/>
        <w:rPr>
          <w:rFonts w:ascii="方正黑体简体" w:hAnsi="仿宋" w:eastAsia="方正黑体简体" w:cs="仿宋_GB2312"/>
          <w:sz w:val="32"/>
          <w:szCs w:val="32"/>
        </w:rPr>
      </w:pPr>
      <w:r>
        <w:rPr>
          <w:rFonts w:hint="eastAsia" w:ascii="方正黑体简体" w:hAnsi="仿宋" w:eastAsia="方正黑体简体" w:cs="仿宋_GB2312"/>
          <w:sz w:val="32"/>
          <w:szCs w:val="32"/>
        </w:rPr>
        <w:t>一、项目概况</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w:t>
      </w:r>
      <w:r>
        <w:rPr>
          <w:rFonts w:hint="eastAsia" w:ascii="宋体" w:hAnsi="宋体" w:eastAsia="方正仿宋简体"/>
          <w:b/>
          <w:sz w:val="32"/>
          <w:szCs w:val="32"/>
        </w:rPr>
        <w:t>项目基本情况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职能：受理、交办、转送信访人提出的信访事项；承办上级和本级人民政府交由处理的信访事项；协调处理重要信访事项；督促检查信访事项的处理；研究、分析信访情况，开展调查研究，及时向本级人民政府提出完善政策和改进工作的建议；对本级人民政府其他工作部门和下级人民政府信访工作机构的信访工作进行指导。</w:t>
      </w:r>
    </w:p>
    <w:p>
      <w:pPr>
        <w:spacing w:line="600" w:lineRule="exact"/>
        <w:ind w:firstLine="640" w:firstLineChars="200"/>
        <w:rPr>
          <w:rFonts w:ascii="宋体" w:hAnsi="宋体" w:eastAsia="方正仿宋简体"/>
          <w:sz w:val="32"/>
          <w:szCs w:val="32"/>
        </w:rPr>
      </w:pPr>
      <w:r>
        <w:rPr>
          <w:rFonts w:hint="eastAsia" w:ascii="仿宋" w:hAnsi="仿宋" w:eastAsia="仿宋" w:cs="仿宋_GB2312"/>
          <w:sz w:val="32"/>
          <w:szCs w:val="32"/>
        </w:rPr>
        <w:t>2.</w:t>
      </w:r>
      <w:r>
        <w:rPr>
          <w:rFonts w:ascii="宋体" w:hAnsi="宋体" w:eastAsia="方正仿宋简体"/>
          <w:b/>
          <w:sz w:val="32"/>
          <w:szCs w:val="32"/>
        </w:rPr>
        <w:t xml:space="preserve"> </w:t>
      </w:r>
      <w:r>
        <w:rPr>
          <w:rFonts w:ascii="仿宋" w:hAnsi="仿宋" w:eastAsia="仿宋" w:cs="仿宋_GB2312"/>
          <w:sz w:val="32"/>
          <w:szCs w:val="32"/>
        </w:rPr>
        <w:t>立项背景及目的</w:t>
      </w:r>
      <w:r>
        <w:rPr>
          <w:rFonts w:hint="eastAsia" w:ascii="仿宋" w:hAnsi="仿宋" w:eastAsia="仿宋" w:cs="仿宋_GB2312"/>
          <w:sz w:val="32"/>
          <w:szCs w:val="32"/>
        </w:rPr>
        <w:t>：</w:t>
      </w:r>
      <w:r>
        <w:rPr>
          <w:rFonts w:hint="eastAsia" w:ascii="宋体" w:hAnsi="宋体" w:eastAsia="方正仿宋简体"/>
          <w:sz w:val="32"/>
          <w:szCs w:val="32"/>
        </w:rPr>
        <w:t>参照近几年信访维稳工作情况编制。</w:t>
      </w:r>
    </w:p>
    <w:p>
      <w:pPr>
        <w:spacing w:line="600" w:lineRule="exact"/>
        <w:ind w:firstLine="640" w:firstLineChars="200"/>
        <w:rPr>
          <w:rFonts w:eastAsia="方正仿宋简体"/>
          <w:sz w:val="32"/>
          <w:szCs w:val="32"/>
        </w:rPr>
      </w:pPr>
      <w:r>
        <w:rPr>
          <w:rFonts w:hint="eastAsia" w:ascii="仿宋" w:hAnsi="仿宋" w:eastAsia="仿宋" w:cs="仿宋_GB2312"/>
          <w:sz w:val="32"/>
          <w:szCs w:val="32"/>
        </w:rPr>
        <w:t>3.</w:t>
      </w:r>
      <w:r>
        <w:rPr>
          <w:rFonts w:hint="eastAsia" w:ascii="宋体" w:hAnsi="宋体" w:eastAsia="方正仿宋简体"/>
          <w:sz w:val="32"/>
          <w:szCs w:val="32"/>
        </w:rPr>
        <w:t xml:space="preserve"> 预算资金来源为全额财政拨款。</w:t>
      </w:r>
      <w:r>
        <w:rPr>
          <w:rFonts w:eastAsia="方正仿宋简体"/>
          <w:sz w:val="32"/>
          <w:szCs w:val="32"/>
        </w:rPr>
        <w:t>2020</w:t>
      </w:r>
      <w:r>
        <w:rPr>
          <w:rFonts w:hint="eastAsia" w:ascii="宋体" w:hAnsi="宋体" w:eastAsia="方正仿宋简体"/>
          <w:sz w:val="32"/>
          <w:szCs w:val="32"/>
        </w:rPr>
        <w:t>年年初预算</w:t>
      </w:r>
      <w:r>
        <w:rPr>
          <w:rFonts w:hint="eastAsia" w:eastAsia="方正仿宋简体"/>
          <w:sz w:val="32"/>
          <w:szCs w:val="32"/>
        </w:rPr>
        <w:t>金额为60万元，年终预算决算数51万元。截</w:t>
      </w:r>
      <w:r>
        <w:rPr>
          <w:rFonts w:hint="eastAsia" w:eastAsia="方正仿宋简体"/>
          <w:color w:val="FF0000"/>
          <w:sz w:val="32"/>
          <w:szCs w:val="32"/>
          <w:lang w:eastAsia="zh-CN"/>
        </w:rPr>
        <w:t>至</w:t>
      </w:r>
      <w:r>
        <w:rPr>
          <w:rFonts w:hint="eastAsia" w:eastAsia="方正仿宋简体"/>
          <w:sz w:val="32"/>
          <w:szCs w:val="32"/>
        </w:rPr>
        <w:t>2020年年底，支付51.98万元，支付101.92%。</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（二）项目绩效目标</w:t>
      </w:r>
    </w:p>
    <w:p>
      <w:pPr>
        <w:pStyle w:val="5"/>
        <w:spacing w:before="93" w:line="600" w:lineRule="exact"/>
        <w:ind w:firstLine="627" w:firstLineChars="196"/>
        <w:rPr>
          <w:rFonts w:ascii="宋体" w:hAnsi="宋体" w:eastAsia="方正仿宋简体" w:cs="宋体"/>
          <w:sz w:val="32"/>
          <w:szCs w:val="32"/>
        </w:rPr>
      </w:pPr>
      <w:r>
        <w:rPr>
          <w:rFonts w:hint="eastAsia" w:ascii="宋体" w:hAnsi="宋体" w:eastAsia="方正仿宋简体" w:cs="宋体"/>
          <w:sz w:val="32"/>
          <w:szCs w:val="32"/>
        </w:rPr>
        <w:t>主要用于当年各级党代会、两会等重要会议及重要活动处</w:t>
      </w:r>
      <w:r>
        <w:rPr>
          <w:rFonts w:hint="eastAsia" w:ascii="宋体" w:hAnsi="宋体" w:eastAsia="方正仿宋简体" w:cs="宋体"/>
          <w:sz w:val="32"/>
          <w:szCs w:val="32"/>
          <w:lang w:eastAsia="zh-CN"/>
        </w:rPr>
        <w:t>理信</w:t>
      </w:r>
      <w:bookmarkStart w:id="67" w:name="_GoBack"/>
      <w:bookmarkEnd w:id="67"/>
      <w:r>
        <w:rPr>
          <w:rFonts w:hint="eastAsia" w:ascii="宋体" w:hAnsi="宋体" w:eastAsia="方正仿宋简体" w:cs="宋体"/>
          <w:sz w:val="32"/>
          <w:szCs w:val="32"/>
        </w:rPr>
        <w:t>访维稳开支，对完成上级信访工作考核指标，规范我区信访秩序，维护社会稳定起到积极作用。</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（三）项目自评步骤及方法</w:t>
      </w:r>
    </w:p>
    <w:p>
      <w:pPr>
        <w:spacing w:line="580" w:lineRule="exact"/>
        <w:ind w:firstLine="640" w:firstLineChars="200"/>
        <w:rPr>
          <w:rFonts w:ascii="仿宋" w:hAnsi="仿宋" w:eastAsia="仿宋" w:cs="仿宋_GB2312"/>
          <w:b/>
          <w:sz w:val="32"/>
          <w:szCs w:val="32"/>
        </w:rPr>
      </w:pPr>
      <w:r>
        <w:rPr>
          <w:rFonts w:hint="eastAsia" w:ascii="宋体" w:hAnsi="宋体" w:eastAsia="方正仿宋简体"/>
          <w:sz w:val="32"/>
          <w:szCs w:val="32"/>
        </w:rPr>
        <w:t>局领导高度重视，成立以党组书记、局长为组长的绩效自评小组，下设领导小组办公室，负责绩效自评工作的具体实施。从各镇、部门信访维稳压力、信访维稳工作情况出发，重点检查各票据报销流程是否规范，票据是否真实有效。</w:t>
      </w:r>
    </w:p>
    <w:p>
      <w:pPr>
        <w:spacing w:line="580" w:lineRule="exact"/>
        <w:ind w:firstLine="640" w:firstLineChars="200"/>
        <w:rPr>
          <w:rFonts w:ascii="方正黑体简体" w:hAnsi="仿宋" w:eastAsia="方正黑体简体" w:cs="仿宋_GB2312"/>
          <w:sz w:val="32"/>
          <w:szCs w:val="32"/>
        </w:rPr>
      </w:pPr>
      <w:r>
        <w:rPr>
          <w:rFonts w:hint="eastAsia" w:ascii="方正黑体简体" w:hAnsi="仿宋" w:eastAsia="方正黑体简体" w:cs="仿宋_GB2312"/>
          <w:sz w:val="32"/>
          <w:szCs w:val="32"/>
        </w:rPr>
        <w:t>二、项目资金申报及使用情况</w:t>
      </w:r>
    </w:p>
    <w:p>
      <w:pPr>
        <w:spacing w:line="580" w:lineRule="exact"/>
        <w:ind w:firstLine="643" w:firstLineChars="200"/>
        <w:rPr>
          <w:rFonts w:ascii="方正仿宋简体" w:hAnsi="宋体" w:eastAsia="方正仿宋简体"/>
          <w:b/>
          <w:sz w:val="32"/>
          <w:szCs w:val="32"/>
        </w:rPr>
      </w:pPr>
      <w:r>
        <w:rPr>
          <w:rFonts w:hint="eastAsia" w:ascii="方正仿宋简体" w:hAnsi="宋体" w:eastAsia="方正仿宋简体"/>
          <w:b/>
          <w:sz w:val="32"/>
          <w:szCs w:val="32"/>
        </w:rPr>
        <w:t>（一）项目资金申报及批复情况</w:t>
      </w:r>
    </w:p>
    <w:p>
      <w:pPr>
        <w:spacing w:line="580" w:lineRule="exact"/>
        <w:ind w:firstLine="640" w:firstLineChars="200"/>
        <w:rPr>
          <w:rFonts w:ascii="方正黑体简体" w:hAnsi="仿宋" w:eastAsia="方正黑体简体" w:cs="仿宋_GB2312"/>
          <w:sz w:val="32"/>
          <w:szCs w:val="32"/>
        </w:rPr>
      </w:pPr>
      <w:r>
        <w:rPr>
          <w:rFonts w:eastAsia="方正仿宋简体"/>
          <w:sz w:val="32"/>
          <w:szCs w:val="32"/>
        </w:rPr>
        <w:t>2020</w:t>
      </w:r>
      <w:r>
        <w:rPr>
          <w:rFonts w:hint="eastAsia" w:ascii="宋体" w:hAnsi="宋体" w:eastAsia="方正仿宋简体"/>
          <w:sz w:val="32"/>
          <w:szCs w:val="32"/>
        </w:rPr>
        <w:t>年年初预算</w:t>
      </w:r>
      <w:r>
        <w:rPr>
          <w:rFonts w:hint="eastAsia" w:eastAsia="方正仿宋简体"/>
          <w:sz w:val="32"/>
          <w:szCs w:val="32"/>
        </w:rPr>
        <w:t>金额为60万元，年终预算决算数51万元。财政压减指标9万元。</w:t>
      </w:r>
    </w:p>
    <w:p>
      <w:pPr>
        <w:spacing w:line="580" w:lineRule="exact"/>
        <w:ind w:firstLine="643" w:firstLineChars="200"/>
        <w:rPr>
          <w:rFonts w:ascii="方正仿宋简体" w:hAnsi="宋体" w:eastAsia="方正仿宋简体"/>
          <w:b/>
          <w:sz w:val="32"/>
          <w:szCs w:val="32"/>
        </w:rPr>
      </w:pPr>
      <w:r>
        <w:rPr>
          <w:rFonts w:hint="eastAsia" w:ascii="方正仿宋简体" w:hAnsi="宋体" w:eastAsia="方正仿宋简体"/>
          <w:b/>
          <w:sz w:val="32"/>
          <w:szCs w:val="32"/>
        </w:rPr>
        <w:t>（二）资金计划、到位及使用情况</w:t>
      </w:r>
    </w:p>
    <w:tbl>
      <w:tblPr>
        <w:tblStyle w:val="9"/>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2392"/>
        <w:gridCol w:w="2392"/>
        <w:gridCol w:w="2394"/>
        <w:gridCol w:w="2392"/>
      </w:tblGrid>
      <w:tr>
        <w:tblPrEx>
          <w:tblCellMar>
            <w:top w:w="0" w:type="dxa"/>
            <w:left w:w="0" w:type="dxa"/>
            <w:bottom w:w="0" w:type="dxa"/>
            <w:right w:w="0" w:type="dxa"/>
          </w:tblCellMar>
        </w:tblPrEx>
        <w:trPr>
          <w:trHeight w:val="276" w:hRule="atLeast"/>
        </w:trPr>
        <w:tc>
          <w:tcPr>
            <w:tcW w:w="27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相关处</w:t>
            </w:r>
            <w:r>
              <w:rPr>
                <w:rFonts w:hint="eastAsia" w:ascii="宋体" w:hAnsi="宋体" w:cs="宋体"/>
                <w:color w:val="000000"/>
                <w:kern w:val="0"/>
                <w:sz w:val="24"/>
                <w:lang w:eastAsia="zh-CN"/>
              </w:rPr>
              <w:t>理信</w:t>
            </w:r>
            <w:r>
              <w:rPr>
                <w:rFonts w:hint="eastAsia" w:ascii="宋体" w:hAnsi="宋体" w:cs="宋体"/>
                <w:color w:val="000000"/>
                <w:kern w:val="0"/>
                <w:sz w:val="24"/>
              </w:rPr>
              <w:t>访维稳专项工作经费</w:t>
            </w:r>
          </w:p>
        </w:tc>
      </w:tr>
      <w:tr>
        <w:tblPrEx>
          <w:tblCellMar>
            <w:top w:w="0" w:type="dxa"/>
            <w:left w:w="0" w:type="dxa"/>
            <w:bottom w:w="0" w:type="dxa"/>
            <w:right w:w="0" w:type="dxa"/>
          </w:tblCellMar>
        </w:tblPrEx>
        <w:trPr>
          <w:trHeight w:val="276" w:hRule="atLeast"/>
        </w:trPr>
        <w:tc>
          <w:tcPr>
            <w:tcW w:w="27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资阳市雁江区信访局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51.98万元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51.98万元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bl>
    <w:p>
      <w:pPr>
        <w:spacing w:line="580" w:lineRule="exact"/>
        <w:ind w:firstLine="643" w:firstLineChars="200"/>
        <w:rPr>
          <w:rFonts w:ascii="方正仿宋简体" w:hAnsi="宋体" w:eastAsia="方正仿宋简体"/>
          <w:b/>
          <w:sz w:val="32"/>
          <w:szCs w:val="32"/>
        </w:rPr>
      </w:pPr>
      <w:r>
        <w:rPr>
          <w:rFonts w:hint="eastAsia" w:ascii="方正仿宋简体" w:hAnsi="宋体" w:eastAsia="方正仿宋简体"/>
          <w:b/>
          <w:sz w:val="32"/>
          <w:szCs w:val="32"/>
        </w:rPr>
        <w:t>（三）项目财务管理情况</w:t>
      </w:r>
    </w:p>
    <w:p>
      <w:pPr>
        <w:spacing w:line="580" w:lineRule="exact"/>
        <w:ind w:firstLine="640" w:firstLineChars="200"/>
        <w:rPr>
          <w:rFonts w:ascii="宋体" w:hAnsi="宋体" w:eastAsia="仿宋" w:cs="仿宋_GB2312"/>
          <w:sz w:val="32"/>
          <w:szCs w:val="32"/>
        </w:rPr>
      </w:pPr>
      <w:r>
        <w:rPr>
          <w:rFonts w:hint="eastAsia" w:ascii="宋体" w:hAnsi="宋体" w:eastAsia="仿宋" w:cs="仿宋_GB2312"/>
          <w:sz w:val="32"/>
          <w:szCs w:val="32"/>
        </w:rPr>
        <w:t>区信访局建立有财务管理制度，严格执行财务管理制度，账务处理及时，会计核算规范，确保了项目资金的安全。</w:t>
      </w:r>
    </w:p>
    <w:p>
      <w:pPr>
        <w:spacing w:line="580" w:lineRule="exact"/>
        <w:ind w:firstLine="640"/>
        <w:rPr>
          <w:rFonts w:ascii="方正黑体简体" w:hAnsi="仿宋" w:eastAsia="方正黑体简体" w:cs="仿宋_GB2312"/>
          <w:sz w:val="32"/>
          <w:szCs w:val="32"/>
        </w:rPr>
      </w:pPr>
      <w:r>
        <w:rPr>
          <w:rFonts w:hint="eastAsia" w:ascii="方正黑体简体" w:hAnsi="仿宋" w:eastAsia="方正黑体简体" w:cs="仿宋_GB2312"/>
          <w:sz w:val="32"/>
          <w:szCs w:val="32"/>
        </w:rPr>
        <w:t>三、项目实施及管理情况</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（一）项目组织架构及实施流程</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本项目决策依据符合年度工作计划，符合程序，并履行相应手续，资金使用合理合规。</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（二）项目管理情况</w:t>
      </w:r>
    </w:p>
    <w:p>
      <w:pPr>
        <w:spacing w:line="600" w:lineRule="exact"/>
        <w:rPr>
          <w:rFonts w:ascii="宋体" w:hAnsi="宋体" w:eastAsia="仿宋"/>
          <w:sz w:val="32"/>
          <w:szCs w:val="32"/>
        </w:rPr>
      </w:pPr>
      <w:r>
        <w:rPr>
          <w:rFonts w:hint="eastAsia" w:ascii="宋体" w:hAnsi="宋体" w:eastAsia="仿宋"/>
          <w:sz w:val="32"/>
          <w:szCs w:val="32"/>
        </w:rPr>
        <w:t xml:space="preserve">    机关建立和健全项目资金管理制度和管理办法。严格资金的使用和划拨流程，确保资金使用安全、公平、合理。项目资金做到了专款专用，及时拨付。资金的划拨均通过银行转</w:t>
      </w:r>
      <w:r>
        <w:rPr>
          <w:rFonts w:hint="eastAsia" w:ascii="宋体" w:hAnsi="宋体" w:eastAsia="仿宋"/>
          <w:color w:val="auto"/>
          <w:sz w:val="32"/>
          <w:szCs w:val="32"/>
          <w:lang w:eastAsia="zh-CN"/>
        </w:rPr>
        <w:t>账</w:t>
      </w:r>
      <w:r>
        <w:rPr>
          <w:rFonts w:hint="eastAsia" w:ascii="宋体" w:hAnsi="宋体" w:eastAsia="仿宋"/>
          <w:sz w:val="32"/>
          <w:szCs w:val="32"/>
        </w:rPr>
        <w:t>的方式，直接支付到相关单位</w:t>
      </w:r>
      <w:r>
        <w:rPr>
          <w:rFonts w:hint="eastAsia" w:ascii="宋体" w:hAnsi="宋体" w:eastAsia="仿宋"/>
          <w:sz w:val="32"/>
          <w:szCs w:val="32"/>
          <w:lang w:eastAsia="zh-CN"/>
        </w:rPr>
        <w:t>，</w:t>
      </w:r>
      <w:r>
        <w:rPr>
          <w:rFonts w:hint="eastAsia" w:ascii="宋体" w:hAnsi="宋体" w:eastAsia="仿宋"/>
          <w:sz w:val="32"/>
          <w:szCs w:val="32"/>
        </w:rPr>
        <w:t>切实保障了资金使用的准确性和安全性。</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（二）项目监管情况</w:t>
      </w:r>
    </w:p>
    <w:p>
      <w:pPr>
        <w:ind w:firstLine="640"/>
        <w:rPr>
          <w:rFonts w:ascii="仿宋" w:hAnsi="仿宋" w:eastAsia="仿宋" w:cs="仿宋_GB2312"/>
          <w:sz w:val="32"/>
          <w:szCs w:val="32"/>
        </w:rPr>
      </w:pPr>
      <w:r>
        <w:rPr>
          <w:rFonts w:hint="eastAsia" w:ascii="仿宋" w:hAnsi="仿宋" w:eastAsia="仿宋" w:cs="仿宋_GB2312"/>
          <w:sz w:val="32"/>
          <w:szCs w:val="32"/>
        </w:rPr>
        <w:t>本项目管理制度健全，专人不定期对项目的实施进行事前、事中、事后和工作开展情况进行监督检查，确保合规使用项目资金以及资金的安全，确保项目绩效目标的完成，起到了很好的监管效果。</w:t>
      </w:r>
    </w:p>
    <w:p>
      <w:pPr>
        <w:spacing w:line="580" w:lineRule="exact"/>
        <w:ind w:firstLine="640"/>
        <w:rPr>
          <w:rFonts w:ascii="方正黑体简体" w:hAnsi="仿宋" w:eastAsia="方正黑体简体" w:cs="仿宋_GB2312"/>
          <w:sz w:val="32"/>
          <w:szCs w:val="32"/>
        </w:rPr>
      </w:pPr>
      <w:r>
        <w:rPr>
          <w:rFonts w:hint="eastAsia" w:ascii="方正黑体简体" w:hAnsi="仿宋" w:eastAsia="方正黑体简体" w:cs="仿宋_GB2312"/>
          <w:sz w:val="32"/>
          <w:szCs w:val="32"/>
        </w:rPr>
        <w:t>四、项目绩效情况</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（一）项目完成情况</w:t>
      </w:r>
    </w:p>
    <w:p>
      <w:pPr>
        <w:spacing w:line="600" w:lineRule="exact"/>
        <w:ind w:firstLine="640" w:firstLineChars="200"/>
        <w:rPr>
          <w:rFonts w:ascii="宋体" w:hAnsi="宋体" w:eastAsia="仿宋" w:cs="仿宋_GB2312"/>
          <w:sz w:val="32"/>
          <w:szCs w:val="32"/>
        </w:rPr>
      </w:pPr>
      <w:r>
        <w:rPr>
          <w:rFonts w:hint="eastAsia" w:ascii="宋体" w:hAnsi="宋体" w:eastAsia="仿宋" w:cs="仿宋_GB2312"/>
          <w:sz w:val="32"/>
          <w:szCs w:val="32"/>
        </w:rPr>
        <w:t>1.严格落实各重大会议、重要事项的信访维稳经费保障，保证重大会议和事项的正常开展；2.保障了信访维稳工作的正常运转</w:t>
      </w:r>
      <w:r>
        <w:rPr>
          <w:rFonts w:hint="eastAsia" w:ascii="宋体" w:hAnsi="宋体" w:eastAsia="仿宋" w:cs="仿宋_GB2312"/>
          <w:sz w:val="32"/>
          <w:szCs w:val="32"/>
          <w:lang w:eastAsia="zh-CN"/>
        </w:rPr>
        <w:t>，</w:t>
      </w:r>
      <w:r>
        <w:rPr>
          <w:rFonts w:hint="eastAsia" w:ascii="宋体" w:hAnsi="宋体" w:eastAsia="仿宋" w:cs="仿宋_GB2312"/>
          <w:sz w:val="32"/>
          <w:szCs w:val="32"/>
        </w:rPr>
        <w:t>资金支付正常；3.财政供养人员控制较好，资金使用社会效益好。表现在：1.保障了我区信访维稳工作的正常运转；2.一定程度上促进了全区社会大局和谐稳定；3.一定程度上维护了群众的利益。</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（二）项目绩效情况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本项目在社会目标、满意度方面都达到较好效果。</w:t>
      </w:r>
    </w:p>
    <w:p>
      <w:pPr>
        <w:spacing w:line="580" w:lineRule="exact"/>
        <w:ind w:firstLine="640"/>
        <w:rPr>
          <w:rFonts w:ascii="方正黑体简体" w:hAnsi="仿宋" w:eastAsia="方正黑体简体" w:cs="仿宋_GB2312"/>
          <w:sz w:val="32"/>
          <w:szCs w:val="32"/>
        </w:rPr>
      </w:pPr>
      <w:r>
        <w:rPr>
          <w:rFonts w:hint="eastAsia" w:ascii="方正黑体简体" w:hAnsi="仿宋" w:eastAsia="方正黑体简体" w:cs="仿宋_GB2312"/>
          <w:sz w:val="32"/>
          <w:szCs w:val="32"/>
        </w:rPr>
        <w:t>五、评价结论及建议</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（一）评价结论</w:t>
      </w:r>
    </w:p>
    <w:p>
      <w:pPr>
        <w:ind w:firstLine="640"/>
        <w:rPr>
          <w:rFonts w:ascii="宋体" w:hAnsi="宋体" w:eastAsia="仿宋" w:cs="仿宋_GB2312"/>
          <w:sz w:val="32"/>
          <w:szCs w:val="32"/>
        </w:rPr>
      </w:pPr>
      <w:r>
        <w:rPr>
          <w:rFonts w:hint="eastAsia" w:ascii="宋体" w:hAnsi="宋体" w:eastAsia="仿宋" w:cs="仿宋_GB2312"/>
          <w:sz w:val="32"/>
          <w:szCs w:val="32"/>
        </w:rPr>
        <w:t>根据区信访局整体支出绩效评价指标规定的内容，经评价组综合评价，区信访局</w:t>
      </w:r>
      <w:r>
        <w:rPr>
          <w:rFonts w:eastAsia="仿宋"/>
          <w:sz w:val="32"/>
          <w:szCs w:val="32"/>
        </w:rPr>
        <w:t>2020</w:t>
      </w:r>
      <w:r>
        <w:rPr>
          <w:rFonts w:hint="eastAsia" w:ascii="宋体" w:hAnsi="宋体" w:eastAsia="仿宋" w:cs="仿宋_GB2312"/>
          <w:sz w:val="32"/>
          <w:szCs w:val="32"/>
        </w:rPr>
        <w:t>年度整体支出绩效评为“良好”。</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（二）存在问题</w:t>
      </w:r>
    </w:p>
    <w:p>
      <w:pPr>
        <w:spacing w:line="600" w:lineRule="exact"/>
        <w:ind w:firstLine="643" w:firstLineChars="200"/>
        <w:rPr>
          <w:rFonts w:ascii="宋体" w:hAnsi="宋体" w:eastAsia="方正楷体简体"/>
          <w:b/>
          <w:sz w:val="32"/>
          <w:szCs w:val="32"/>
        </w:rPr>
      </w:pPr>
      <w:r>
        <w:rPr>
          <w:rFonts w:hint="eastAsia" w:ascii="方正仿宋简体" w:hAnsi="宋体" w:eastAsia="方正仿宋简体"/>
          <w:b/>
          <w:sz w:val="32"/>
          <w:szCs w:val="32"/>
        </w:rPr>
        <w:t>1.信访秩序仍需强力规范。</w:t>
      </w:r>
      <w:r>
        <w:rPr>
          <w:rFonts w:hint="eastAsia" w:ascii="宋体" w:hAnsi="宋体" w:eastAsia="方正仿宋简体" w:cs="方正仿宋_GBK"/>
          <w:bCs/>
          <w:sz w:val="32"/>
          <w:szCs w:val="32"/>
        </w:rPr>
        <w:t>2020年，多次发生群众区政府办公区聚集拒不到信访接待场所、扬言采取过激行为“维权”等情况。</w:t>
      </w:r>
    </w:p>
    <w:p>
      <w:pPr>
        <w:spacing w:line="600" w:lineRule="exact"/>
        <w:ind w:firstLine="643" w:firstLineChars="200"/>
        <w:rPr>
          <w:rFonts w:ascii="宋体" w:hAnsi="宋体" w:eastAsia="方正仿宋简体"/>
          <w:sz w:val="32"/>
          <w:szCs w:val="32"/>
        </w:rPr>
      </w:pPr>
      <w:r>
        <w:rPr>
          <w:rFonts w:hint="eastAsia" w:ascii="方正仿宋简体" w:hAnsi="宋体" w:eastAsia="方正仿宋简体"/>
          <w:b/>
          <w:sz w:val="32"/>
          <w:szCs w:val="32"/>
        </w:rPr>
        <w:t>2.工作责任落实仍有空档。</w:t>
      </w:r>
      <w:r>
        <w:rPr>
          <w:rFonts w:hint="eastAsia" w:ascii="宋体" w:hAnsi="宋体" w:eastAsia="方正仿宋简体"/>
          <w:sz w:val="32"/>
          <w:szCs w:val="32"/>
        </w:rPr>
        <w:t>在一些突出信访问题的处理、重点人员的稳控上，推诿现象仍时有发生，工作合力凝聚不够。</w:t>
      </w:r>
    </w:p>
    <w:p>
      <w:pPr>
        <w:ind w:firstLine="640"/>
        <w:rPr>
          <w:rFonts w:ascii="方正仿宋简体" w:hAnsi="宋体" w:eastAsia="方正仿宋简体"/>
          <w:b/>
          <w:sz w:val="32"/>
          <w:szCs w:val="32"/>
        </w:rPr>
      </w:pPr>
      <w:r>
        <w:rPr>
          <w:rFonts w:hint="eastAsia" w:ascii="方正仿宋简体" w:hAnsi="宋体" w:eastAsia="方正仿宋简体"/>
          <w:b/>
          <w:sz w:val="32"/>
          <w:szCs w:val="32"/>
        </w:rPr>
        <w:t>（三）相关建议</w:t>
      </w:r>
    </w:p>
    <w:p>
      <w:pPr>
        <w:spacing w:line="600" w:lineRule="exact"/>
        <w:ind w:firstLine="640" w:firstLineChars="200"/>
        <w:rPr>
          <w:rFonts w:ascii="宋体" w:hAnsi="宋体" w:eastAsia="仿宋" w:cs="仿宋_GB2312"/>
          <w:sz w:val="32"/>
          <w:szCs w:val="32"/>
        </w:rPr>
      </w:pPr>
      <w:r>
        <w:rPr>
          <w:rFonts w:hint="eastAsia" w:ascii="宋体" w:hAnsi="宋体" w:eastAsia="仿宋_GB2312" w:cs="仿宋_GB2312"/>
          <w:sz w:val="32"/>
          <w:szCs w:val="32"/>
        </w:rPr>
        <w:t>一是</w:t>
      </w:r>
      <w:r>
        <w:rPr>
          <w:rFonts w:hint="eastAsia" w:ascii="宋体" w:hAnsi="宋体" w:eastAsia="仿宋" w:cs="仿宋_GB2312"/>
          <w:sz w:val="32"/>
          <w:szCs w:val="32"/>
        </w:rPr>
        <w:t>综合运用法律、政策、经济、行政等手段和教育、调解、疏导等办法解决信访问题。依托“大调解”体系，充分发挥医患纠纷、物业纠纷、民工工资拖欠等9个专业调委会作用，联动调处矛盾纠纷。二是积极采取有力措施，进一步改进手段、方式方法，使我区信访宣传工作更能适应新媒体时代的要求，适应法治信访的建设需要。三是加强信访维稳业务培训，提升单位、部门对信访维稳工作的重视程度。</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rPr>
          <w:rStyle w:val="15"/>
          <w:rFonts w:ascii="仿宋" w:hAnsi="仿宋" w:eastAsia="仿宋" w:cs="仿宋_GB2312"/>
          <w:b w:val="0"/>
          <w:bCs w:val="0"/>
          <w:sz w:val="32"/>
          <w:szCs w:val="32"/>
        </w:rPr>
      </w:pPr>
    </w:p>
    <w:p>
      <w:pPr>
        <w:spacing w:line="600" w:lineRule="exact"/>
        <w:jc w:val="center"/>
        <w:outlineLvl w:val="0"/>
        <w:rPr>
          <w:rFonts w:ascii="黑体" w:hAnsi="黑体" w:eastAsia="黑体"/>
          <w:bCs/>
          <w:kern w:val="44"/>
          <w:sz w:val="44"/>
          <w:szCs w:val="44"/>
        </w:rPr>
      </w:pPr>
      <w:bookmarkStart w:id="58" w:name="_Toc17103570"/>
      <w:r>
        <w:rPr>
          <w:rFonts w:hint="eastAsia" w:ascii="黑体" w:hAnsi="黑体" w:eastAsia="黑体"/>
          <w:color w:val="000000"/>
          <w:sz w:val="44"/>
          <w:szCs w:val="44"/>
        </w:rPr>
        <w:t>第</w:t>
      </w:r>
      <w:r>
        <w:rPr>
          <w:rStyle w:val="15"/>
          <w:rFonts w:hint="eastAsia" w:ascii="黑体" w:hAnsi="黑体" w:eastAsia="黑体"/>
        </w:rPr>
        <w:t>五部分 附表</w:t>
      </w:r>
      <w:bookmarkEnd w:id="58"/>
    </w:p>
    <w:p>
      <w:pPr>
        <w:pStyle w:val="4"/>
        <w:rPr>
          <w:rFonts w:ascii="仿宋" w:hAnsi="仿宋" w:eastAsia="仿宋"/>
          <w:color w:val="000000"/>
        </w:rPr>
      </w:pPr>
      <w:bookmarkStart w:id="59" w:name="_Toc17103571"/>
      <w:r>
        <w:rPr>
          <w:rFonts w:hint="eastAsia" w:ascii="仿宋" w:hAnsi="仿宋" w:eastAsia="仿宋"/>
          <w:b w:val="0"/>
          <w:color w:val="000000"/>
        </w:rPr>
        <w:t>一、收</w:t>
      </w:r>
      <w:r>
        <w:rPr>
          <w:rStyle w:val="16"/>
          <w:rFonts w:hint="eastAsia" w:ascii="仿宋" w:hAnsi="仿宋" w:eastAsia="仿宋"/>
          <w:b w:val="0"/>
          <w:bCs w:val="0"/>
        </w:rPr>
        <w:t>入支出决算总表</w:t>
      </w:r>
      <w:bookmarkEnd w:id="59"/>
    </w:p>
    <w:p>
      <w:pPr>
        <w:pStyle w:val="4"/>
        <w:rPr>
          <w:rFonts w:ascii="仿宋" w:hAnsi="仿宋" w:eastAsia="仿宋"/>
          <w:color w:val="000000"/>
        </w:rPr>
      </w:pPr>
      <w:bookmarkStart w:id="60" w:name="_Toc17103572"/>
      <w:r>
        <w:rPr>
          <w:rFonts w:hint="eastAsia" w:ascii="仿宋" w:hAnsi="仿宋" w:eastAsia="仿宋"/>
          <w:b w:val="0"/>
          <w:color w:val="000000"/>
        </w:rPr>
        <w:t>二、收</w:t>
      </w:r>
      <w:r>
        <w:rPr>
          <w:rStyle w:val="16"/>
          <w:rFonts w:hint="eastAsia" w:ascii="仿宋" w:hAnsi="仿宋" w:eastAsia="仿宋"/>
          <w:b w:val="0"/>
          <w:bCs w:val="0"/>
        </w:rPr>
        <w:t>入</w:t>
      </w:r>
      <w:bookmarkEnd w:id="60"/>
      <w:r>
        <w:rPr>
          <w:rStyle w:val="16"/>
          <w:rFonts w:hint="eastAsia" w:ascii="仿宋" w:hAnsi="仿宋" w:eastAsia="仿宋"/>
          <w:b w:val="0"/>
          <w:bCs w:val="0"/>
        </w:rPr>
        <w:t>决算表</w:t>
      </w:r>
    </w:p>
    <w:p>
      <w:pPr>
        <w:pStyle w:val="4"/>
        <w:rPr>
          <w:rFonts w:ascii="仿宋" w:hAnsi="仿宋" w:eastAsia="仿宋"/>
          <w:color w:val="000000"/>
        </w:rPr>
      </w:pPr>
      <w:bookmarkStart w:id="61" w:name="_Toc17103573"/>
      <w:r>
        <w:rPr>
          <w:rStyle w:val="16"/>
          <w:rFonts w:hint="eastAsia" w:ascii="仿宋" w:hAnsi="仿宋" w:eastAsia="仿宋"/>
          <w:b w:val="0"/>
          <w:bCs w:val="0"/>
        </w:rPr>
        <w:t>三、</w:t>
      </w:r>
      <w:r>
        <w:rPr>
          <w:rFonts w:hint="eastAsia" w:ascii="仿宋" w:hAnsi="仿宋" w:eastAsia="仿宋"/>
          <w:b w:val="0"/>
          <w:color w:val="000000"/>
        </w:rPr>
        <w:t>支</w:t>
      </w:r>
      <w:r>
        <w:rPr>
          <w:rStyle w:val="16"/>
          <w:rFonts w:hint="eastAsia" w:ascii="仿宋" w:hAnsi="仿宋" w:eastAsia="仿宋"/>
          <w:b w:val="0"/>
          <w:bCs w:val="0"/>
        </w:rPr>
        <w:t>出</w:t>
      </w:r>
      <w:bookmarkEnd w:id="61"/>
      <w:r>
        <w:rPr>
          <w:rStyle w:val="16"/>
          <w:rFonts w:hint="eastAsia" w:ascii="仿宋" w:hAnsi="仿宋" w:eastAsia="仿宋"/>
          <w:b w:val="0"/>
          <w:bCs w:val="0"/>
        </w:rPr>
        <w:t>决算表</w:t>
      </w:r>
    </w:p>
    <w:p>
      <w:pPr>
        <w:pStyle w:val="4"/>
        <w:rPr>
          <w:rFonts w:ascii="仿宋" w:hAnsi="仿宋" w:eastAsia="仿宋"/>
          <w:b w:val="0"/>
          <w:color w:val="000000"/>
        </w:rPr>
      </w:pPr>
      <w:bookmarkStart w:id="62" w:name="_Toc17103574"/>
      <w:r>
        <w:rPr>
          <w:rStyle w:val="16"/>
          <w:rFonts w:hint="eastAsia" w:ascii="仿宋" w:hAnsi="仿宋" w:eastAsia="仿宋"/>
          <w:b w:val="0"/>
          <w:bCs w:val="0"/>
        </w:rPr>
        <w:t>四、</w:t>
      </w:r>
      <w:bookmarkEnd w:id="62"/>
      <w:r>
        <w:rPr>
          <w:rFonts w:hint="eastAsia" w:ascii="仿宋" w:hAnsi="仿宋" w:eastAsia="仿宋"/>
          <w:b w:val="0"/>
          <w:color w:val="000000"/>
        </w:rPr>
        <w:t>财政拨款收入支出决算总表</w:t>
      </w:r>
    </w:p>
    <w:p>
      <w:pPr>
        <w:pStyle w:val="4"/>
        <w:rPr>
          <w:rStyle w:val="16"/>
          <w:rFonts w:ascii="仿宋" w:hAnsi="仿宋" w:eastAsia="仿宋"/>
          <w:b w:val="0"/>
          <w:bCs w:val="0"/>
        </w:rPr>
      </w:pPr>
      <w:bookmarkStart w:id="63" w:name="_Toc17103575"/>
      <w:r>
        <w:rPr>
          <w:rStyle w:val="16"/>
          <w:rFonts w:hint="eastAsia" w:ascii="仿宋" w:hAnsi="仿宋" w:eastAsia="仿宋"/>
          <w:b w:val="0"/>
          <w:bCs w:val="0"/>
        </w:rPr>
        <w:t>五、</w:t>
      </w:r>
      <w:bookmarkEnd w:id="63"/>
      <w:r>
        <w:rPr>
          <w:rStyle w:val="16"/>
          <w:rFonts w:hint="eastAsia" w:ascii="仿宋" w:hAnsi="仿宋" w:eastAsia="仿宋"/>
          <w:b w:val="0"/>
          <w:bCs w:val="0"/>
        </w:rPr>
        <w:t>财政拨款支出明细决算表</w:t>
      </w:r>
    </w:p>
    <w:p>
      <w:pPr>
        <w:pStyle w:val="4"/>
        <w:rPr>
          <w:rFonts w:ascii="仿宋" w:hAnsi="仿宋" w:eastAsia="仿宋"/>
          <w:color w:val="000000"/>
        </w:rPr>
      </w:pPr>
      <w:r>
        <w:rPr>
          <w:rStyle w:val="16"/>
          <w:rFonts w:hint="eastAsia" w:ascii="仿宋" w:hAnsi="仿宋" w:eastAsia="仿宋"/>
          <w:b w:val="0"/>
          <w:bCs w:val="0"/>
        </w:rPr>
        <w:t>六、</w:t>
      </w:r>
      <w:r>
        <w:rPr>
          <w:rFonts w:hint="eastAsia" w:ascii="仿宋" w:hAnsi="仿宋" w:eastAsia="仿宋"/>
          <w:b w:val="0"/>
          <w:color w:val="000000"/>
        </w:rPr>
        <w:t>一般公共预算财政拨款支出决算表</w:t>
      </w:r>
    </w:p>
    <w:p>
      <w:pPr>
        <w:pStyle w:val="4"/>
        <w:rPr>
          <w:rStyle w:val="16"/>
          <w:rFonts w:ascii="仿宋" w:hAnsi="仿宋" w:eastAsia="仿宋"/>
          <w:b w:val="0"/>
          <w:bCs w:val="0"/>
        </w:rPr>
      </w:pPr>
      <w:bookmarkStart w:id="64" w:name="_Toc17103576"/>
      <w:r>
        <w:rPr>
          <w:rStyle w:val="16"/>
          <w:rFonts w:hint="eastAsia" w:ascii="仿宋" w:hAnsi="仿宋" w:eastAsia="仿宋"/>
          <w:b w:val="0"/>
          <w:bCs w:val="0"/>
        </w:rPr>
        <w:t>七、</w:t>
      </w:r>
      <w:bookmarkEnd w:id="64"/>
      <w:r>
        <w:rPr>
          <w:rFonts w:hint="eastAsia" w:ascii="仿宋" w:hAnsi="仿宋" w:eastAsia="仿宋"/>
          <w:b w:val="0"/>
          <w:color w:val="000000"/>
        </w:rPr>
        <w:t>一般公共预算财政拨款支出决算明细表</w:t>
      </w:r>
    </w:p>
    <w:p>
      <w:pPr>
        <w:pStyle w:val="4"/>
        <w:rPr>
          <w:rFonts w:ascii="仿宋" w:hAnsi="仿宋" w:eastAsia="仿宋"/>
          <w:color w:val="000000"/>
        </w:rPr>
      </w:pPr>
      <w:r>
        <w:rPr>
          <w:rStyle w:val="16"/>
          <w:rFonts w:hint="eastAsia" w:ascii="仿宋" w:hAnsi="仿宋" w:eastAsia="仿宋"/>
          <w:b w:val="0"/>
          <w:bCs w:val="0"/>
        </w:rPr>
        <w:t>八、一般公共预算财政拨款基本支出决算表</w:t>
      </w:r>
    </w:p>
    <w:p>
      <w:pPr>
        <w:pStyle w:val="4"/>
        <w:rPr>
          <w:rStyle w:val="16"/>
          <w:rFonts w:ascii="仿宋" w:hAnsi="仿宋" w:eastAsia="仿宋"/>
          <w:b w:val="0"/>
          <w:bCs w:val="0"/>
        </w:rPr>
      </w:pPr>
      <w:bookmarkStart w:id="65" w:name="_Toc17103577"/>
      <w:r>
        <w:rPr>
          <w:rStyle w:val="16"/>
          <w:rFonts w:hint="eastAsia" w:ascii="仿宋" w:hAnsi="仿宋" w:eastAsia="仿宋"/>
          <w:b w:val="0"/>
          <w:bCs w:val="0"/>
        </w:rPr>
        <w:t>九、一般公共预算财政拨款项目支出决算表</w:t>
      </w:r>
    </w:p>
    <w:p>
      <w:pPr>
        <w:pStyle w:val="4"/>
        <w:rPr>
          <w:rFonts w:ascii="仿宋" w:hAnsi="仿宋" w:eastAsia="仿宋"/>
          <w:color w:val="000000"/>
        </w:rPr>
      </w:pPr>
      <w:r>
        <w:rPr>
          <w:rStyle w:val="16"/>
          <w:rFonts w:hint="eastAsia" w:ascii="仿宋" w:hAnsi="仿宋" w:eastAsia="仿宋"/>
          <w:b w:val="0"/>
          <w:bCs w:val="0"/>
        </w:rPr>
        <w:t>十、</w:t>
      </w:r>
      <w:bookmarkEnd w:id="65"/>
      <w:r>
        <w:rPr>
          <w:rStyle w:val="16"/>
          <w:rFonts w:hint="eastAsia" w:ascii="仿宋" w:hAnsi="仿宋" w:eastAsia="仿宋"/>
          <w:b w:val="0"/>
          <w:bCs w:val="0"/>
        </w:rPr>
        <w:t>一般公共预算财政拨款“三公”经费支出决算表</w:t>
      </w:r>
    </w:p>
    <w:p>
      <w:pPr>
        <w:pStyle w:val="4"/>
        <w:rPr>
          <w:rStyle w:val="16"/>
          <w:rFonts w:ascii="仿宋" w:hAnsi="仿宋" w:eastAsia="仿宋"/>
          <w:b w:val="0"/>
          <w:bCs w:val="0"/>
        </w:rPr>
      </w:pPr>
      <w:bookmarkStart w:id="66" w:name="_Toc17103578"/>
      <w:r>
        <w:rPr>
          <w:rStyle w:val="16"/>
          <w:rFonts w:hint="eastAsia" w:ascii="仿宋" w:hAnsi="仿宋" w:eastAsia="仿宋"/>
          <w:b w:val="0"/>
          <w:bCs w:val="0"/>
        </w:rPr>
        <w:t>十一、政府性基金预算财政拨款收入支出决算表</w:t>
      </w:r>
    </w:p>
    <w:p>
      <w:pPr>
        <w:pStyle w:val="4"/>
        <w:rPr>
          <w:rStyle w:val="16"/>
          <w:rFonts w:ascii="仿宋" w:hAnsi="仿宋" w:eastAsia="仿宋"/>
          <w:b w:val="0"/>
          <w:bCs w:val="0"/>
        </w:rPr>
      </w:pPr>
      <w:r>
        <w:rPr>
          <w:rStyle w:val="16"/>
          <w:rFonts w:hint="eastAsia" w:ascii="仿宋" w:hAnsi="仿宋" w:eastAsia="仿宋"/>
          <w:b w:val="0"/>
          <w:bCs w:val="0"/>
        </w:rPr>
        <w:t>十二、政府性基金预算财政拨款“三公”经费支出决算表</w:t>
      </w:r>
    </w:p>
    <w:p>
      <w:pPr>
        <w:pStyle w:val="4"/>
        <w:rPr>
          <w:rStyle w:val="16"/>
          <w:rFonts w:ascii="仿宋" w:hAnsi="仿宋" w:eastAsia="仿宋"/>
          <w:b w:val="0"/>
          <w:bCs w:val="0"/>
        </w:rPr>
      </w:pPr>
      <w:r>
        <w:rPr>
          <w:rStyle w:val="16"/>
          <w:rFonts w:hint="eastAsia" w:ascii="仿宋" w:hAnsi="仿宋" w:eastAsia="仿宋"/>
          <w:b w:val="0"/>
          <w:bCs w:val="0"/>
        </w:rPr>
        <w:t>十三、国有资本经营预算财政拨款收入支出决算表</w:t>
      </w:r>
    </w:p>
    <w:p>
      <w:pPr>
        <w:pStyle w:val="4"/>
        <w:rPr>
          <w:rFonts w:ascii="仿宋" w:hAnsi="仿宋" w:eastAsia="仿宋"/>
          <w:b w:val="0"/>
          <w:bCs w:val="0"/>
        </w:rPr>
      </w:pPr>
      <w:r>
        <w:rPr>
          <w:rStyle w:val="16"/>
          <w:rFonts w:hint="eastAsia" w:ascii="仿宋" w:hAnsi="仿宋" w:eastAsia="仿宋"/>
          <w:b w:val="0"/>
          <w:bCs w:val="0"/>
        </w:rPr>
        <w:t>十四、国有资本经营预算财政拨款支出决算表</w:t>
      </w:r>
      <w:bookmarkEnd w:id="66"/>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29948"/>
      <w:docPartObj>
        <w:docPartGallery w:val="autotext"/>
      </w:docPartObj>
    </w:sdtPr>
    <w:sdtContent>
      <w:p>
        <w:pPr>
          <w:pStyle w:val="7"/>
          <w:jc w:val="center"/>
        </w:pPr>
        <w:r>
          <w:fldChar w:fldCharType="begin"/>
        </w:r>
        <w:r>
          <w:instrText xml:space="preserve"> PAGE   \* MERGEFORMAT </w:instrText>
        </w:r>
        <w:r>
          <w:fldChar w:fldCharType="separate"/>
        </w:r>
        <w:r>
          <w:rPr>
            <w:lang w:val="zh-CN"/>
          </w:rPr>
          <w:t>38</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lang w:val="en-US"/>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3D6E"/>
    <w:rsid w:val="00060350"/>
    <w:rsid w:val="000635A3"/>
    <w:rsid w:val="00094AF8"/>
    <w:rsid w:val="000A1EA0"/>
    <w:rsid w:val="000A2E91"/>
    <w:rsid w:val="000A5CBC"/>
    <w:rsid w:val="000A6D21"/>
    <w:rsid w:val="000B68C9"/>
    <w:rsid w:val="000D33C1"/>
    <w:rsid w:val="000E7817"/>
    <w:rsid w:val="000F5737"/>
    <w:rsid w:val="00141420"/>
    <w:rsid w:val="00152B27"/>
    <w:rsid w:val="00153BF7"/>
    <w:rsid w:val="00155DDC"/>
    <w:rsid w:val="0018797C"/>
    <w:rsid w:val="001B0F0F"/>
    <w:rsid w:val="001C68AF"/>
    <w:rsid w:val="001D4965"/>
    <w:rsid w:val="001F0334"/>
    <w:rsid w:val="001F21FE"/>
    <w:rsid w:val="00207280"/>
    <w:rsid w:val="002122E8"/>
    <w:rsid w:val="002129FA"/>
    <w:rsid w:val="0023609E"/>
    <w:rsid w:val="00245030"/>
    <w:rsid w:val="002624ED"/>
    <w:rsid w:val="00265DBE"/>
    <w:rsid w:val="002747F2"/>
    <w:rsid w:val="00276CA0"/>
    <w:rsid w:val="00286AC8"/>
    <w:rsid w:val="002E29F9"/>
    <w:rsid w:val="002F39F8"/>
    <w:rsid w:val="0031073C"/>
    <w:rsid w:val="00350442"/>
    <w:rsid w:val="003521AF"/>
    <w:rsid w:val="00356069"/>
    <w:rsid w:val="003806DC"/>
    <w:rsid w:val="00384E6E"/>
    <w:rsid w:val="003961AD"/>
    <w:rsid w:val="003C35A9"/>
    <w:rsid w:val="003D7538"/>
    <w:rsid w:val="003E18CE"/>
    <w:rsid w:val="003E56A8"/>
    <w:rsid w:val="003F3EC3"/>
    <w:rsid w:val="003F7624"/>
    <w:rsid w:val="00403D6E"/>
    <w:rsid w:val="004211A2"/>
    <w:rsid w:val="00421B31"/>
    <w:rsid w:val="004223A4"/>
    <w:rsid w:val="00424756"/>
    <w:rsid w:val="00432841"/>
    <w:rsid w:val="00435C21"/>
    <w:rsid w:val="00452572"/>
    <w:rsid w:val="00456489"/>
    <w:rsid w:val="00466A47"/>
    <w:rsid w:val="004702FE"/>
    <w:rsid w:val="0048185A"/>
    <w:rsid w:val="00485C13"/>
    <w:rsid w:val="00492220"/>
    <w:rsid w:val="004C3618"/>
    <w:rsid w:val="004E6B8C"/>
    <w:rsid w:val="004F4500"/>
    <w:rsid w:val="005118DE"/>
    <w:rsid w:val="0051730C"/>
    <w:rsid w:val="00521074"/>
    <w:rsid w:val="00535CDF"/>
    <w:rsid w:val="00537AB5"/>
    <w:rsid w:val="00552651"/>
    <w:rsid w:val="005534BD"/>
    <w:rsid w:val="00560801"/>
    <w:rsid w:val="00576FCC"/>
    <w:rsid w:val="005911DB"/>
    <w:rsid w:val="005A63AB"/>
    <w:rsid w:val="005B2F71"/>
    <w:rsid w:val="005B78A4"/>
    <w:rsid w:val="005C5F33"/>
    <w:rsid w:val="005C6A9D"/>
    <w:rsid w:val="005D1E1F"/>
    <w:rsid w:val="005E292A"/>
    <w:rsid w:val="005F482D"/>
    <w:rsid w:val="00641790"/>
    <w:rsid w:val="00644D72"/>
    <w:rsid w:val="00645584"/>
    <w:rsid w:val="00666DF4"/>
    <w:rsid w:val="00675E1F"/>
    <w:rsid w:val="00677DED"/>
    <w:rsid w:val="00681B35"/>
    <w:rsid w:val="006B2AAF"/>
    <w:rsid w:val="006F1FDE"/>
    <w:rsid w:val="006F36E6"/>
    <w:rsid w:val="0070232D"/>
    <w:rsid w:val="00704896"/>
    <w:rsid w:val="00726E4E"/>
    <w:rsid w:val="00737361"/>
    <w:rsid w:val="00760CE5"/>
    <w:rsid w:val="00785915"/>
    <w:rsid w:val="007B3E4F"/>
    <w:rsid w:val="007B5D0E"/>
    <w:rsid w:val="007C1664"/>
    <w:rsid w:val="007C7B5A"/>
    <w:rsid w:val="007C7CB4"/>
    <w:rsid w:val="0081368B"/>
    <w:rsid w:val="00820180"/>
    <w:rsid w:val="00821569"/>
    <w:rsid w:val="00830E1B"/>
    <w:rsid w:val="00832A98"/>
    <w:rsid w:val="0083655D"/>
    <w:rsid w:val="008513CC"/>
    <w:rsid w:val="0085537A"/>
    <w:rsid w:val="00857069"/>
    <w:rsid w:val="00861CD2"/>
    <w:rsid w:val="00865534"/>
    <w:rsid w:val="008720EF"/>
    <w:rsid w:val="00876238"/>
    <w:rsid w:val="008A488A"/>
    <w:rsid w:val="008C4740"/>
    <w:rsid w:val="0090061B"/>
    <w:rsid w:val="00916C6D"/>
    <w:rsid w:val="0091764A"/>
    <w:rsid w:val="009223A7"/>
    <w:rsid w:val="009246C8"/>
    <w:rsid w:val="00932874"/>
    <w:rsid w:val="00936960"/>
    <w:rsid w:val="00944E7C"/>
    <w:rsid w:val="00956B3B"/>
    <w:rsid w:val="00956CB7"/>
    <w:rsid w:val="009729E6"/>
    <w:rsid w:val="009730C2"/>
    <w:rsid w:val="00997640"/>
    <w:rsid w:val="009B180E"/>
    <w:rsid w:val="009B199D"/>
    <w:rsid w:val="009F5F56"/>
    <w:rsid w:val="009F6518"/>
    <w:rsid w:val="009F6BC0"/>
    <w:rsid w:val="00A432E7"/>
    <w:rsid w:val="00A614FF"/>
    <w:rsid w:val="00A669D7"/>
    <w:rsid w:val="00A76F34"/>
    <w:rsid w:val="00AB385D"/>
    <w:rsid w:val="00AB4094"/>
    <w:rsid w:val="00AC3725"/>
    <w:rsid w:val="00AC4E53"/>
    <w:rsid w:val="00AD1E9D"/>
    <w:rsid w:val="00AD3A4E"/>
    <w:rsid w:val="00AF221B"/>
    <w:rsid w:val="00B0071B"/>
    <w:rsid w:val="00B0360C"/>
    <w:rsid w:val="00B12444"/>
    <w:rsid w:val="00B42E64"/>
    <w:rsid w:val="00B43B28"/>
    <w:rsid w:val="00B43D96"/>
    <w:rsid w:val="00B752D7"/>
    <w:rsid w:val="00B87418"/>
    <w:rsid w:val="00BA4525"/>
    <w:rsid w:val="00BB1977"/>
    <w:rsid w:val="00BD5B96"/>
    <w:rsid w:val="00BE2B7D"/>
    <w:rsid w:val="00C15A5E"/>
    <w:rsid w:val="00C24FF5"/>
    <w:rsid w:val="00C445CA"/>
    <w:rsid w:val="00C80115"/>
    <w:rsid w:val="00C97B0E"/>
    <w:rsid w:val="00CA1E4F"/>
    <w:rsid w:val="00CA28B2"/>
    <w:rsid w:val="00CA3169"/>
    <w:rsid w:val="00CA32C9"/>
    <w:rsid w:val="00D004C8"/>
    <w:rsid w:val="00D060B4"/>
    <w:rsid w:val="00D1115C"/>
    <w:rsid w:val="00D15071"/>
    <w:rsid w:val="00D21269"/>
    <w:rsid w:val="00D25C95"/>
    <w:rsid w:val="00D34A75"/>
    <w:rsid w:val="00D45D5D"/>
    <w:rsid w:val="00D64868"/>
    <w:rsid w:val="00D87730"/>
    <w:rsid w:val="00D90175"/>
    <w:rsid w:val="00DA0822"/>
    <w:rsid w:val="00DA08C3"/>
    <w:rsid w:val="00DA6A39"/>
    <w:rsid w:val="00DA74A4"/>
    <w:rsid w:val="00E00DF2"/>
    <w:rsid w:val="00E11A9F"/>
    <w:rsid w:val="00E201F2"/>
    <w:rsid w:val="00E21005"/>
    <w:rsid w:val="00E22293"/>
    <w:rsid w:val="00E263F7"/>
    <w:rsid w:val="00E36950"/>
    <w:rsid w:val="00E52438"/>
    <w:rsid w:val="00E53639"/>
    <w:rsid w:val="00E7040F"/>
    <w:rsid w:val="00E81642"/>
    <w:rsid w:val="00EA1689"/>
    <w:rsid w:val="00EC74AB"/>
    <w:rsid w:val="00F2016A"/>
    <w:rsid w:val="00F230F5"/>
    <w:rsid w:val="00F30E1E"/>
    <w:rsid w:val="00F332CA"/>
    <w:rsid w:val="00F33E8E"/>
    <w:rsid w:val="00FA2247"/>
    <w:rsid w:val="00FD5D6B"/>
    <w:rsid w:val="01BD7CB0"/>
    <w:rsid w:val="028C4BE8"/>
    <w:rsid w:val="030E224E"/>
    <w:rsid w:val="058B46CD"/>
    <w:rsid w:val="098C02B8"/>
    <w:rsid w:val="0A007550"/>
    <w:rsid w:val="0DEB03C1"/>
    <w:rsid w:val="147E7D8A"/>
    <w:rsid w:val="14CF4D8E"/>
    <w:rsid w:val="1F667576"/>
    <w:rsid w:val="23466879"/>
    <w:rsid w:val="256F4504"/>
    <w:rsid w:val="295B4713"/>
    <w:rsid w:val="2ACF5A8D"/>
    <w:rsid w:val="2BF313DC"/>
    <w:rsid w:val="2D3C2724"/>
    <w:rsid w:val="37C4716E"/>
    <w:rsid w:val="3C3F55C5"/>
    <w:rsid w:val="3E52427D"/>
    <w:rsid w:val="41F577EE"/>
    <w:rsid w:val="455363C2"/>
    <w:rsid w:val="53B32420"/>
    <w:rsid w:val="54A11959"/>
    <w:rsid w:val="57615E59"/>
    <w:rsid w:val="58C11196"/>
    <w:rsid w:val="59510B02"/>
    <w:rsid w:val="59D77B2D"/>
    <w:rsid w:val="59FB4207"/>
    <w:rsid w:val="5AC545FB"/>
    <w:rsid w:val="5B881361"/>
    <w:rsid w:val="5EE8170A"/>
    <w:rsid w:val="62B2719D"/>
    <w:rsid w:val="63B65594"/>
    <w:rsid w:val="672716A7"/>
    <w:rsid w:val="69F540B7"/>
    <w:rsid w:val="6B4661A4"/>
    <w:rsid w:val="6CDF656B"/>
    <w:rsid w:val="71D47B8D"/>
    <w:rsid w:val="72405A57"/>
    <w:rsid w:val="73444F61"/>
    <w:rsid w:val="7ACF686F"/>
    <w:rsid w:val="7B870536"/>
    <w:rsid w:val="7C8B2569"/>
    <w:rsid w:val="7D6A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qFormat/>
    <w:uiPriority w:val="99"/>
    <w:pPr>
      <w:spacing w:after="120" w:afterLines="0" w:afterAutospacing="0" w:line="480" w:lineRule="auto"/>
      <w:ind w:left="420" w:leftChars="200"/>
    </w:pPr>
  </w:style>
  <w:style w:type="paragraph" w:styleId="5">
    <w:name w:val="Body Text"/>
    <w:basedOn w:val="1"/>
    <w:link w:val="17"/>
    <w:qFormat/>
    <w:uiPriority w:val="99"/>
    <w:pPr>
      <w:spacing w:beforeLines="30"/>
    </w:pPr>
    <w:rPr>
      <w:rFonts w:ascii="仿宋_GB2312" w:hAnsi="Times New Roman" w:eastAsia="仿宋_GB2312"/>
      <w:kern w:val="0"/>
      <w:sz w:val="30"/>
      <w:szCs w:val="24"/>
    </w:rPr>
  </w:style>
  <w:style w:type="paragraph" w:styleId="6">
    <w:name w:val="Balloon Text"/>
    <w:basedOn w:val="1"/>
    <w:link w:val="14"/>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99"/>
    <w:rPr>
      <w:b/>
    </w:rPr>
  </w:style>
  <w:style w:type="character" w:customStyle="1" w:styleId="12">
    <w:name w:val="页眉 Char"/>
    <w:basedOn w:val="10"/>
    <w:link w:val="8"/>
    <w:semiHidden/>
    <w:qFormat/>
    <w:uiPriority w:val="99"/>
    <w:rPr>
      <w:kern w:val="2"/>
      <w:sz w:val="18"/>
      <w:szCs w:val="18"/>
    </w:rPr>
  </w:style>
  <w:style w:type="character" w:customStyle="1" w:styleId="13">
    <w:name w:val="页脚 Char"/>
    <w:basedOn w:val="10"/>
    <w:link w:val="7"/>
    <w:qFormat/>
    <w:uiPriority w:val="99"/>
    <w:rPr>
      <w:kern w:val="2"/>
      <w:sz w:val="18"/>
      <w:szCs w:val="18"/>
    </w:rPr>
  </w:style>
  <w:style w:type="character" w:customStyle="1" w:styleId="14">
    <w:name w:val="批注框文本 Char"/>
    <w:basedOn w:val="10"/>
    <w:link w:val="6"/>
    <w:semiHidden/>
    <w:qFormat/>
    <w:uiPriority w:val="99"/>
    <w:rPr>
      <w:kern w:val="2"/>
      <w:sz w:val="18"/>
      <w:szCs w:val="18"/>
    </w:rPr>
  </w:style>
  <w:style w:type="character" w:customStyle="1" w:styleId="15">
    <w:name w:val="标题 1 Char"/>
    <w:basedOn w:val="10"/>
    <w:link w:val="3"/>
    <w:qFormat/>
    <w:uiPriority w:val="9"/>
    <w:rPr>
      <w:rFonts w:ascii="Times New Roman" w:hAnsi="Times New Roman"/>
      <w:b/>
      <w:bCs/>
      <w:kern w:val="44"/>
      <w:sz w:val="44"/>
      <w:szCs w:val="44"/>
    </w:rPr>
  </w:style>
  <w:style w:type="character" w:customStyle="1" w:styleId="16">
    <w:name w:val="标题 2 Char"/>
    <w:basedOn w:val="10"/>
    <w:link w:val="4"/>
    <w:qFormat/>
    <w:uiPriority w:val="9"/>
    <w:rPr>
      <w:rFonts w:asciiTheme="majorHAnsi" w:hAnsiTheme="majorHAnsi" w:eastAsiaTheme="majorEastAsia" w:cstheme="majorBidi"/>
      <w:b/>
      <w:bCs/>
      <w:kern w:val="2"/>
      <w:sz w:val="32"/>
      <w:szCs w:val="32"/>
    </w:rPr>
  </w:style>
  <w:style w:type="character" w:customStyle="1" w:styleId="17">
    <w:name w:val="正文文本 Char"/>
    <w:basedOn w:val="10"/>
    <w:link w:val="5"/>
    <w:qFormat/>
    <w:uiPriority w:val="99"/>
    <w:rPr>
      <w:rFonts w:ascii="仿宋_GB2312" w:hAnsi="Times New Roman" w:eastAsia="仿宋_GB2312"/>
      <w:sz w:val="30"/>
      <w:szCs w:val="24"/>
    </w:rPr>
  </w:style>
  <w:style w:type="paragraph" w:styleId="18">
    <w:name w:val="List Paragraph"/>
    <w:basedOn w:val="1"/>
    <w:qFormat/>
    <w:uiPriority w:val="34"/>
    <w:pPr>
      <w:ind w:firstLine="420" w:firstLineChars="200"/>
    </w:pPr>
    <w:rPr>
      <w:rFonts w:ascii="Times New Roman" w:hAnsi="Times New Roman"/>
      <w:szCs w:val="24"/>
    </w:r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baseline="0"/>
              <a:t>图</a:t>
            </a:r>
            <a:r>
              <a:rPr lang="en-US" altLang="zh-CN" sz="1200" baseline="0"/>
              <a:t>1</a:t>
            </a:r>
            <a:r>
              <a:rPr lang="zh-CN" altLang="en-US" sz="1200" baseline="0"/>
              <a:t>：收支决算总计变动情况图</a:t>
            </a:r>
            <a:endParaRPr lang="zh-CN" altLang="en-US" sz="1200" baseline="0"/>
          </a:p>
        </c:rich>
      </c:tx>
      <c:layout/>
      <c:overlay val="0"/>
    </c:title>
    <c:autoTitleDeleted val="0"/>
    <c:plotArea>
      <c:layout/>
      <c:barChart>
        <c:barDir val="col"/>
        <c:grouping val="stacked"/>
        <c:varyColors val="0"/>
        <c:ser>
          <c:idx val="0"/>
          <c:order val="0"/>
          <c:tx>
            <c:strRef>
              <c:f>'Sheet1'!$B$1</c:f>
              <c:strCache>
                <c:ptCount val="1"/>
                <c:pt idx="0">
                  <c:v>系列 1</c:v>
                </c:pt>
              </c:strCache>
            </c:strRef>
          </c:tx>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1173.01</c:v>
                </c:pt>
                <c:pt idx="1">
                  <c:v>932.92</c:v>
                </c:pt>
              </c:numCache>
            </c:numRef>
          </c:val>
        </c:ser>
        <c:dLbls>
          <c:showLegendKey val="0"/>
          <c:showVal val="0"/>
          <c:showCatName val="0"/>
          <c:showSerName val="0"/>
          <c:showPercent val="0"/>
          <c:showBubbleSize val="0"/>
        </c:dLbls>
        <c:gapWidth val="150"/>
        <c:overlap val="100"/>
        <c:axId val="226510336"/>
        <c:axId val="226511872"/>
      </c:barChart>
      <c:catAx>
        <c:axId val="2265103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511872"/>
        <c:crosses val="autoZero"/>
        <c:auto val="1"/>
        <c:lblAlgn val="ctr"/>
        <c:lblOffset val="100"/>
        <c:noMultiLvlLbl val="0"/>
      </c:catAx>
      <c:valAx>
        <c:axId val="226511872"/>
        <c:scaling>
          <c:orientation val="minMax"/>
          <c:max val="1200"/>
          <c:min val="2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510336"/>
        <c:crosses val="autoZero"/>
        <c:crossBetween val="between"/>
        <c:majorUnit val="200"/>
        <c:minorUnit val="10"/>
      </c:valAx>
      <c:spPr>
        <a:solidFill>
          <a:schemeClr val="bg1"/>
        </a:solidFill>
        <a:ln>
          <a:noFill/>
        </a:ln>
        <a:effectLst/>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baseline="0"/>
              <a:t>图</a:t>
            </a:r>
            <a:r>
              <a:rPr lang="en-US" altLang="zh-CN" sz="1200" baseline="0"/>
              <a:t>2</a:t>
            </a:r>
            <a:r>
              <a:rPr lang="zh-CN" altLang="en-US" sz="1200" baseline="0"/>
              <a:t>：收入决算结构图</a:t>
            </a:r>
            <a:endParaRPr lang="zh-CN" altLang="en-US" sz="1200" baseline="0"/>
          </a:p>
        </c:rich>
      </c:tx>
      <c:layout/>
      <c:overlay val="0"/>
    </c:title>
    <c:autoTitleDeleted val="0"/>
    <c:plotArea>
      <c:layout/>
      <c:pieChart>
        <c:varyColors val="1"/>
        <c:ser>
          <c:idx val="0"/>
          <c:order val="0"/>
          <c:tx>
            <c:strRef>
              <c:f>Sheet1!$B$1</c:f>
              <c:strCache>
                <c:ptCount val="1"/>
                <c:pt idx="0">
                  <c:v>收入决算结构图</c:v>
                </c:pt>
              </c:strCache>
            </c:strRef>
          </c:tx>
          <c:explosion val="0"/>
          <c:dPt>
            <c:idx val="0"/>
            <c:bubble3D val="0"/>
          </c:dPt>
          <c:dLbls>
            <c:delete val="1"/>
          </c:dLbls>
          <c:cat>
            <c:strRef>
              <c:f>Sheet1!$A$2</c:f>
              <c:strCache>
                <c:ptCount val="1"/>
                <c:pt idx="0">
                  <c:v>一般公共预算财政拨款 </c:v>
                </c:pt>
              </c:strCache>
            </c:strRef>
          </c:cat>
          <c:val>
            <c:numRef>
              <c:f>Sheet1!$B$2</c:f>
              <c:numCache>
                <c:formatCode>General</c:formatCode>
                <c:ptCount val="1"/>
                <c:pt idx="0">
                  <c:v>682.319999999999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baseline="0"/>
              <a:t>图</a:t>
            </a:r>
            <a:r>
              <a:rPr lang="en-US" altLang="zh-CN" sz="1200" baseline="0"/>
              <a:t>3</a:t>
            </a:r>
            <a:r>
              <a:rPr lang="zh-CN" altLang="en-US" sz="1200" baseline="0"/>
              <a:t>：支出决算结构图</a:t>
            </a:r>
            <a:endParaRPr lang="zh-CN" altLang="en-US" sz="1200" baseline="0"/>
          </a:p>
        </c:rich>
      </c:tx>
      <c:layout/>
      <c:overlay val="0"/>
    </c:title>
    <c:autoTitleDeleted val="0"/>
    <c:plotArea>
      <c:layout/>
      <c:pieChart>
        <c:varyColors val="1"/>
        <c:ser>
          <c:idx val="0"/>
          <c:order val="0"/>
          <c:tx>
            <c:strRef>
              <c:f>Sheet1!$B$1</c:f>
              <c:strCache>
                <c:ptCount val="1"/>
                <c:pt idx="0">
                  <c:v>支出决算结构图</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319.27</c:v>
                </c:pt>
                <c:pt idx="1">
                  <c:v>197.46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baseline="0"/>
              <a:t>图</a:t>
            </a:r>
            <a:r>
              <a:rPr lang="en-US" altLang="zh-CN" sz="1200" baseline="0"/>
              <a:t>4</a:t>
            </a:r>
            <a:r>
              <a:rPr lang="zh-CN" altLang="en-US" sz="1200" baseline="0"/>
              <a:t>：财政拨款 收、支决算总计变动情况</a:t>
            </a:r>
            <a:endParaRPr lang="zh-CN" altLang="en-US" sz="1200" baseline="0"/>
          </a:p>
        </c:rich>
      </c:tx>
      <c:layout/>
      <c:overlay val="0"/>
    </c:title>
    <c:autoTitleDeleted val="0"/>
    <c:plotArea>
      <c:layout/>
      <c:barChart>
        <c:barDir val="col"/>
        <c:grouping val="stacked"/>
        <c:varyColors val="0"/>
        <c:ser>
          <c:idx val="0"/>
          <c:order val="0"/>
          <c:tx>
            <c:strRef>
              <c:f>Sheet1!$B$1</c:f>
              <c:strCache>
                <c:ptCount val="1"/>
                <c:pt idx="0">
                  <c:v>列1</c:v>
                </c:pt>
              </c:strCache>
            </c:strRef>
          </c:tx>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1173.01</c:v>
                </c:pt>
                <c:pt idx="1">
                  <c:v>932.92</c:v>
                </c:pt>
              </c:numCache>
            </c:numRef>
          </c:val>
        </c:ser>
        <c:dLbls>
          <c:showLegendKey val="0"/>
          <c:showVal val="0"/>
          <c:showCatName val="0"/>
          <c:showSerName val="0"/>
          <c:showPercent val="0"/>
          <c:showBubbleSize val="0"/>
        </c:dLbls>
        <c:gapWidth val="150"/>
        <c:overlap val="100"/>
        <c:axId val="226597120"/>
        <c:axId val="226295808"/>
      </c:barChart>
      <c:catAx>
        <c:axId val="22659712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295808"/>
        <c:crosses val="autoZero"/>
        <c:auto val="1"/>
        <c:lblAlgn val="ctr"/>
        <c:lblOffset val="100"/>
        <c:noMultiLvlLbl val="0"/>
      </c:catAx>
      <c:valAx>
        <c:axId val="226295808"/>
        <c:scaling>
          <c:orientation val="minMax"/>
          <c:max val="1200"/>
          <c:min val="2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597120"/>
        <c:crosses val="autoZero"/>
        <c:crossBetween val="between"/>
        <c:majorUnit val="200"/>
        <c:minorUnit val="0.1"/>
      </c:valAx>
      <c:spPr>
        <a:noFill/>
        <a:ln>
          <a:noFill/>
        </a:ln>
        <a:effectLst/>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baseline="0"/>
              <a:t>图</a:t>
            </a:r>
            <a:r>
              <a:rPr lang="en-US" altLang="zh-CN" sz="1200" baseline="0"/>
              <a:t>5:</a:t>
            </a:r>
            <a:r>
              <a:rPr lang="zh-CN" altLang="en-US" sz="1200" baseline="0"/>
              <a:t>一般公共预算财政拨款支出决算变动情况</a:t>
            </a:r>
            <a:endParaRPr lang="zh-CN" altLang="en-US" sz="1200" baseline="0"/>
          </a:p>
        </c:rich>
      </c:tx>
      <c:layout/>
      <c:overlay val="0"/>
    </c:title>
    <c:autoTitleDeleted val="0"/>
    <c:plotArea>
      <c:layout/>
      <c:barChart>
        <c:barDir val="col"/>
        <c:grouping val="stacked"/>
        <c:varyColors val="0"/>
        <c:ser>
          <c:idx val="0"/>
          <c:order val="0"/>
          <c:tx>
            <c:strRef>
              <c:f>Sheet1!$B$1</c:f>
              <c:strCache>
                <c:ptCount val="1"/>
                <c:pt idx="0">
                  <c:v>图5:一般公共预算财政拨款支出决算变动情况</c:v>
                </c:pt>
              </c:strCache>
            </c:strRef>
          </c:tx>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560.8</c:v>
                </c:pt>
                <c:pt idx="1">
                  <c:v>516.73</c:v>
                </c:pt>
              </c:numCache>
            </c:numRef>
          </c:val>
        </c:ser>
        <c:dLbls>
          <c:showLegendKey val="0"/>
          <c:showVal val="0"/>
          <c:showCatName val="0"/>
          <c:showSerName val="0"/>
          <c:showPercent val="0"/>
          <c:showBubbleSize val="0"/>
        </c:dLbls>
        <c:gapWidth val="150"/>
        <c:overlap val="100"/>
        <c:axId val="226311552"/>
        <c:axId val="226358400"/>
      </c:barChart>
      <c:catAx>
        <c:axId val="2263115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358400"/>
        <c:crosses val="autoZero"/>
        <c:auto val="1"/>
        <c:lblAlgn val="ctr"/>
        <c:lblOffset val="100"/>
        <c:noMultiLvlLbl val="0"/>
      </c:catAx>
      <c:valAx>
        <c:axId val="226358400"/>
        <c:scaling>
          <c:orientation val="minMax"/>
          <c:max val="600"/>
          <c:min val="1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311552"/>
        <c:crosses val="autoZero"/>
        <c:crossBetween val="between"/>
        <c:majorUnit val="100"/>
        <c:minorUnit val="10"/>
      </c:valAx>
      <c:spPr>
        <a:solidFill>
          <a:schemeClr val="bg1"/>
        </a:solidFill>
        <a:ln>
          <a:noFill/>
        </a:ln>
        <a:effectLst/>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baseline="0"/>
              <a:t>图</a:t>
            </a:r>
            <a:r>
              <a:rPr lang="en-US" altLang="zh-CN" sz="1200" baseline="0"/>
              <a:t>6</a:t>
            </a:r>
            <a:r>
              <a:rPr lang="zh-CN" altLang="en-US" sz="1200" baseline="0"/>
              <a:t>：一般公共预算财政拨款支出决算结构</a:t>
            </a:r>
            <a:endParaRPr lang="zh-CN" altLang="en-US" sz="1200" baseline="0"/>
          </a:p>
        </c:rich>
      </c:tx>
      <c:layout/>
      <c:overlay val="0"/>
    </c:title>
    <c:autoTitleDeleted val="0"/>
    <c:plotArea>
      <c:layout/>
      <c:pieChart>
        <c:varyColors val="1"/>
        <c:ser>
          <c:idx val="0"/>
          <c:order val="0"/>
          <c:tx>
            <c:strRef>
              <c:f>Sheet1!$B$1</c:f>
              <c:strCache>
                <c:ptCount val="1"/>
                <c:pt idx="0">
                  <c:v>图6：一般公共预算财政拨款支出决算结构</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c:v>
                </c:pt>
                <c:pt idx="1">
                  <c:v>社会保障和就业</c:v>
                </c:pt>
                <c:pt idx="2">
                  <c:v>卫生健康</c:v>
                </c:pt>
                <c:pt idx="3">
                  <c:v>住房保障</c:v>
                </c:pt>
              </c:strCache>
            </c:strRef>
          </c:cat>
          <c:val>
            <c:numRef>
              <c:f>Sheet1!$B$2:$B$5</c:f>
              <c:numCache>
                <c:formatCode>General</c:formatCode>
                <c:ptCount val="4"/>
                <c:pt idx="0">
                  <c:v>463.75</c:v>
                </c:pt>
                <c:pt idx="1">
                  <c:v>22.24</c:v>
                </c:pt>
                <c:pt idx="2">
                  <c:v>10.19</c:v>
                </c:pt>
                <c:pt idx="3">
                  <c:v>20.55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baseline="0"/>
              <a:t>图</a:t>
            </a:r>
            <a:r>
              <a:rPr lang="en-US" altLang="zh-CN" sz="1200" baseline="0"/>
              <a:t>7</a:t>
            </a:r>
            <a:r>
              <a:rPr lang="zh-CN" altLang="en-US" sz="1200" baseline="0"/>
              <a:t>：“三公”经费财政拨款支出结构</a:t>
            </a:r>
            <a:endParaRPr lang="zh-CN" altLang="en-US" sz="1200" baseline="0"/>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Lbls>
            <c:delete val="1"/>
          </c:dLbls>
          <c:cat>
            <c:strRef>
              <c:f>Sheet1!$A$2:$A$3</c:f>
              <c:strCache>
                <c:ptCount val="2"/>
                <c:pt idx="0">
                  <c:v>公务用车购置及运行维护费</c:v>
                </c:pt>
                <c:pt idx="1">
                  <c:v>公务接待费</c:v>
                </c:pt>
              </c:strCache>
            </c:strRef>
          </c:cat>
          <c:val>
            <c:numRef>
              <c:f>Sheet1!$B$2:$B$3</c:f>
              <c:numCache>
                <c:formatCode>General</c:formatCode>
                <c:ptCount val="2"/>
                <c:pt idx="0">
                  <c:v>2.93</c:v>
                </c:pt>
                <c:pt idx="1">
                  <c:v>2.18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1F0F4-63C9-45C6-B030-65CD32EE444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2201</Words>
  <Characters>12551</Characters>
  <Lines>104</Lines>
  <Paragraphs>29</Paragraphs>
  <TotalTime>6</TotalTime>
  <ScaleCrop>false</ScaleCrop>
  <LinksUpToDate>false</LinksUpToDate>
  <CharactersWithSpaces>14723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2022-03-18T01:02:00Z</dcterms:created>
  <dc:creator>Users</dc:creator>
  <cp:lastModifiedBy>李建琼</cp:lastModifiedBy>
  <dcterms:modified xsi:type="dcterms:W3CDTF">2023-09-12T06:17:23Z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622FF786102744DCA6BBACBE2753248F</vt:lpwstr>
  </property>
</Properties>
</file>