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default" w:ascii="方正小标宋简体" w:hAnsi="Times New Roman" w:eastAsia="方正小标宋简体"/>
          <w:color w:val="auto"/>
          <w:sz w:val="44"/>
          <w:szCs w:val="44"/>
          <w:lang w:val="en-US" w:eastAsia="zh-CN"/>
        </w:rPr>
      </w:pPr>
      <w:bookmarkStart w:id="0" w:name="_Toc9583"/>
      <w:bookmarkStart w:id="1" w:name="_Toc13053"/>
      <w:r>
        <w:rPr>
          <w:rFonts w:hint="eastAsia" w:ascii="方正小标宋简体" w:hAnsi="Times New Roman" w:eastAsia="方正小标宋简体"/>
          <w:color w:val="auto"/>
          <w:sz w:val="44"/>
          <w:szCs w:val="44"/>
        </w:rPr>
        <w:t>资阳市</w:t>
      </w:r>
      <w:r>
        <w:rPr>
          <w:rFonts w:hint="eastAsia" w:ascii="方正小标宋简体" w:hAnsi="Times New Roman" w:eastAsia="方正小标宋简体"/>
          <w:color w:val="auto"/>
          <w:sz w:val="44"/>
          <w:szCs w:val="44"/>
          <w:lang w:eastAsia="zh-CN"/>
        </w:rPr>
        <w:t>雁江区</w:t>
      </w:r>
      <w:r>
        <w:rPr>
          <w:rFonts w:hint="eastAsia" w:ascii="方正小标宋简体" w:hAnsi="Times New Roman" w:eastAsia="方正小标宋简体"/>
          <w:color w:val="auto"/>
          <w:sz w:val="44"/>
          <w:szCs w:val="44"/>
          <w:lang w:val="en-US" w:eastAsia="zh-CN"/>
        </w:rPr>
        <w:t>疾病预防控制中心</w:t>
      </w:r>
      <w:bookmarkEnd w:id="0"/>
      <w:bookmarkEnd w:id="1"/>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ascii="方正小标宋简体" w:eastAsia="方正小标宋简体"/>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24</w:t>
      </w:r>
      <w:r>
        <w:rPr>
          <w:rFonts w:hint="eastAsia" w:ascii="方正小标宋简体" w:eastAsia="方正小标宋简体"/>
          <w:color w:val="auto"/>
          <w:sz w:val="44"/>
          <w:szCs w:val="44"/>
        </w:rPr>
        <w:t>年单位预算编制说明</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ascii="方正小标宋简体" w:eastAsia="方正小标宋简体"/>
          <w:sz w:val="44"/>
          <w:szCs w:val="44"/>
        </w:rPr>
      </w:pPr>
    </w:p>
    <w:sdt>
      <w:sdtPr>
        <w:rPr>
          <w:rFonts w:ascii="宋体" w:hAnsi="宋体" w:eastAsia="宋体" w:cs="Times New Roman"/>
          <w:kern w:val="2"/>
          <w:sz w:val="21"/>
          <w:szCs w:val="24"/>
          <w:lang w:val="en-US" w:eastAsia="zh-CN" w:bidi="ar-SA"/>
        </w:rPr>
        <w:id w:val="147471066"/>
        <w15:color w:val="DBDBDB"/>
        <w:docPartObj>
          <w:docPartGallery w:val="Table of Contents"/>
          <w:docPartUnique/>
        </w:docPartObj>
      </w:sdtPr>
      <w:sdtEndPr>
        <w:rPr>
          <w:rFonts w:ascii="方正小标宋简体" w:hAnsi="Times New Roman" w:eastAsia="方正小标宋简体" w:cs="Times New Roman"/>
          <w:kern w:val="2"/>
          <w:sz w:val="32"/>
          <w:szCs w:val="44"/>
          <w:lang w:val="en-US" w:eastAsia="zh-CN" w:bidi="ar-SA"/>
        </w:rPr>
      </w:sdtEndPr>
      <w:sdtContent>
        <w:p>
          <w:pPr>
            <w:spacing w:before="0" w:beforeLines="0" w:after="0" w:afterLines="0" w:line="240" w:lineRule="auto"/>
            <w:ind w:left="0" w:leftChars="0" w:right="0" w:rightChars="0" w:firstLine="0" w:firstLineChars="0"/>
            <w:jc w:val="center"/>
            <w:rPr>
              <w:sz w:val="56"/>
              <w:szCs w:val="48"/>
            </w:rPr>
          </w:pPr>
          <w:r>
            <w:rPr>
              <w:rFonts w:ascii="宋体" w:hAnsi="宋体" w:eastAsia="宋体"/>
              <w:sz w:val="40"/>
              <w:szCs w:val="48"/>
            </w:rPr>
            <w:t>目录</w:t>
          </w:r>
        </w:p>
        <w:p>
          <w:pPr>
            <w:pStyle w:val="7"/>
            <w:tabs>
              <w:tab w:val="right" w:leader="dot" w:pos="8730"/>
            </w:tabs>
          </w:pPr>
          <w:r>
            <w:fldChar w:fldCharType="begin"/>
          </w:r>
          <w:r>
            <w:instrText xml:space="preserve">TOC \o "1-2" \h \u </w:instrText>
          </w:r>
          <w:r>
            <w:fldChar w:fldCharType="separate"/>
          </w:r>
          <w:r>
            <w:fldChar w:fldCharType="begin"/>
          </w:r>
          <w:r>
            <w:instrText xml:space="preserve"> HYPERLINK \l _Toc41 </w:instrText>
          </w:r>
          <w:r>
            <w:fldChar w:fldCharType="separate"/>
          </w:r>
          <w:r>
            <w:rPr>
              <w:rFonts w:hint="eastAsia" w:ascii="方正黑体简体" w:hAnsi="方正黑体简体" w:eastAsia="方正黑体简体" w:cs="方正黑体简体"/>
              <w:bCs/>
              <w:szCs w:val="28"/>
            </w:rPr>
            <w:t xml:space="preserve">一、 </w:t>
          </w:r>
          <w:r>
            <w:t>基本职能及主要工作</w:t>
          </w:r>
          <w:r>
            <w:tab/>
          </w:r>
          <w:r>
            <w:fldChar w:fldCharType="begin"/>
          </w:r>
          <w:r>
            <w:instrText xml:space="preserve"> PAGEREF _Toc41 \h </w:instrText>
          </w:r>
          <w:r>
            <w:fldChar w:fldCharType="separate"/>
          </w:r>
          <w:r>
            <w:t>- 1 -</w:t>
          </w:r>
          <w:r>
            <w:fldChar w:fldCharType="end"/>
          </w:r>
          <w:r>
            <w:fldChar w:fldCharType="end"/>
          </w:r>
        </w:p>
        <w:p>
          <w:pPr>
            <w:pStyle w:val="8"/>
            <w:tabs>
              <w:tab w:val="right" w:leader="dot" w:pos="8730"/>
            </w:tabs>
          </w:pPr>
          <w:r>
            <w:fldChar w:fldCharType="begin"/>
          </w:r>
          <w:r>
            <w:instrText xml:space="preserve"> HYPERLINK \l _Toc5321 </w:instrText>
          </w:r>
          <w:r>
            <w:fldChar w:fldCharType="separate"/>
          </w:r>
          <w:r>
            <w:rPr>
              <w:rFonts w:hint="eastAsia"/>
            </w:rPr>
            <w:t xml:space="preserve">（一） </w:t>
          </w:r>
          <w:r>
            <w:t>职能简介</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_Toc5321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- 1 -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_Toc11732 </w:instrText>
          </w:r>
          <w:r>
            <w:fldChar w:fldCharType="separate"/>
          </w:r>
          <w:r>
            <w:rPr>
              <w:rFonts w:hint="eastAsia"/>
            </w:rPr>
            <w:t xml:space="preserve">（二） </w:t>
          </w:r>
          <w:r>
            <w:t>2024年重点工作</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_Toc11732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- 1 -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7"/>
            <w:tabs>
              <w:tab w:val="right" w:leader="dot" w:pos="8730"/>
            </w:tabs>
          </w:pPr>
          <w:r>
            <w:fldChar w:fldCharType="begin"/>
          </w:r>
          <w:r>
            <w:instrText xml:space="preserve"> HYPERLINK \l _Toc21600 </w:instrText>
          </w:r>
          <w:r>
            <w:fldChar w:fldCharType="separate"/>
          </w:r>
          <w:r>
            <w:rPr>
              <w:rFonts w:hint="eastAsia" w:ascii="方正黑体简体" w:hAnsi="方正黑体简体" w:eastAsia="方正黑体简体" w:cs="方正黑体简体"/>
              <w:bCs/>
              <w:szCs w:val="28"/>
            </w:rPr>
            <w:t xml:space="preserve">二、 </w:t>
          </w:r>
          <w:r>
            <w:rPr>
              <w:rFonts w:hint="eastAsia"/>
            </w:rPr>
            <w:t>单位预算单位构成</w:t>
          </w:r>
          <w:r>
            <w:tab/>
          </w:r>
          <w:r>
            <w:fldChar w:fldCharType="begin"/>
          </w:r>
          <w:r>
            <w:instrText xml:space="preserve"> PAGEREF _Toc21600 \h </w:instrText>
          </w:r>
          <w:r>
            <w:fldChar w:fldCharType="separate"/>
          </w:r>
          <w:r>
            <w:t>- 3 -</w:t>
          </w:r>
          <w:r>
            <w:fldChar w:fldCharType="end"/>
          </w:r>
          <w:r>
            <w:fldChar w:fldCharType="end"/>
          </w:r>
        </w:p>
        <w:p>
          <w:pPr>
            <w:pStyle w:val="7"/>
            <w:tabs>
              <w:tab w:val="right" w:leader="dot" w:pos="8730"/>
            </w:tabs>
          </w:pPr>
          <w:r>
            <w:fldChar w:fldCharType="begin"/>
          </w:r>
          <w:r>
            <w:instrText xml:space="preserve"> HYPERLINK \l _Toc26719 </w:instrText>
          </w:r>
          <w:r>
            <w:fldChar w:fldCharType="separate"/>
          </w:r>
          <w:r>
            <w:rPr>
              <w:rFonts w:hint="eastAsia" w:ascii="方正黑体简体" w:hAnsi="方正黑体简体" w:eastAsia="方正黑体简体" w:cs="方正黑体简体"/>
              <w:bCs/>
              <w:szCs w:val="28"/>
            </w:rPr>
            <w:t xml:space="preserve">三、 </w:t>
          </w:r>
          <w:r>
            <w:t>收支预算情况</w:t>
          </w:r>
          <w:r>
            <w:rPr>
              <w:rFonts w:hint="eastAsia"/>
            </w:rPr>
            <w:t>说明</w:t>
          </w:r>
          <w:r>
            <w:tab/>
          </w:r>
          <w:r>
            <w:fldChar w:fldCharType="begin"/>
          </w:r>
          <w:r>
            <w:instrText xml:space="preserve"> PAGEREF _Toc26719 \h </w:instrText>
          </w:r>
          <w:r>
            <w:fldChar w:fldCharType="separate"/>
          </w:r>
          <w:r>
            <w:t>- 3 -</w:t>
          </w:r>
          <w:r>
            <w:fldChar w:fldCharType="end"/>
          </w:r>
          <w:r>
            <w:fldChar w:fldCharType="end"/>
          </w:r>
        </w:p>
        <w:p>
          <w:pPr>
            <w:pStyle w:val="8"/>
            <w:tabs>
              <w:tab w:val="right" w:leader="dot" w:pos="8730"/>
            </w:tabs>
            <w:ind w:left="0" w:firstLine="0"/>
            <w:rPr>
              <w:rFonts w:ascii="Times New Roman" w:hAnsi="Times New Roman" w:eastAsia="方正黑体简体" w:cs="Times New Roman"/>
              <w:b w:val="0"/>
              <w:kern w:val="2"/>
              <w:sz w:val="32"/>
              <w:szCs w:val="24"/>
              <w:lang w:val="en-US" w:eastAsia="zh-CN" w:bidi="ar-SA"/>
            </w:rPr>
          </w:pP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HYPERLINK \l _Toc16237 </w:instrText>
          </w:r>
          <w:r>
            <w:rPr>
              <w:rFonts w:ascii="Times New Roman" w:hAnsi="Times New Roman" w:eastAsia="方正黑体简体" w:cs="Times New Roman"/>
              <w:b w:val="0"/>
              <w:kern w:val="2"/>
              <w:sz w:val="32"/>
              <w:szCs w:val="24"/>
              <w:lang w:val="en-US" w:eastAsia="zh-CN" w:bidi="ar-SA"/>
            </w:rPr>
            <w:fldChar w:fldCharType="separate"/>
          </w:r>
          <w:r>
            <w:rPr>
              <w:rFonts w:hint="eastAsia" w:ascii="Times New Roman" w:hAnsi="Times New Roman"/>
              <w:lang w:val="en-US" w:eastAsia="zh-CN"/>
            </w:rPr>
            <w:t>（一） 收入预算情况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_Toc16237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- 4 -</w:t>
          </w:r>
          <w:r>
            <w:rPr>
              <w:rFonts w:ascii="Times New Roman" w:hAnsi="Times New Roman" w:eastAsia="方正黑体简体" w:cs="Times New Roman"/>
              <w:b w:val="0"/>
              <w:kern w:val="2"/>
              <w:sz w:val="32"/>
              <w:szCs w:val="24"/>
              <w:lang w:val="en-US" w:eastAsia="zh-CN" w:bidi="ar-SA"/>
            </w:rPr>
            <w:fldChar w:fldCharType="end"/>
          </w:r>
          <w:r>
            <w:rPr>
              <w:rFonts w:ascii="Times New Roman" w:hAnsi="Times New Roman" w:eastAsia="方正黑体简体" w:cs="Times New Roman"/>
              <w:b w:val="0"/>
              <w:kern w:val="2"/>
              <w:sz w:val="32"/>
              <w:szCs w:val="24"/>
              <w:lang w:val="en-US" w:eastAsia="zh-CN" w:bidi="ar-SA"/>
            </w:rPr>
            <w:fldChar w:fldCharType="end"/>
          </w:r>
        </w:p>
        <w:p>
          <w:pPr>
            <w:pStyle w:val="8"/>
            <w:tabs>
              <w:tab w:val="right" w:leader="dot" w:pos="8730"/>
            </w:tabs>
          </w:pPr>
          <w:r>
            <w:fldChar w:fldCharType="begin"/>
          </w:r>
          <w:r>
            <w:instrText xml:space="preserve"> HYPERLINK \l _Toc17234 </w:instrText>
          </w:r>
          <w:r>
            <w:fldChar w:fldCharType="separate"/>
          </w:r>
          <w:r>
            <w:rPr>
              <w:rFonts w:hint="eastAsia"/>
              <w:bCs/>
              <w:szCs w:val="32"/>
            </w:rPr>
            <w:t xml:space="preserve">（二） </w:t>
          </w:r>
          <w:r>
            <w:rPr>
              <w:rFonts w:hint="eastAsia"/>
            </w:rPr>
            <w:t>支出预算情况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_Toc17234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- 4 -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7"/>
            <w:tabs>
              <w:tab w:val="right" w:leader="dot" w:pos="8730"/>
            </w:tabs>
          </w:pPr>
          <w:r>
            <w:fldChar w:fldCharType="begin"/>
          </w:r>
          <w:r>
            <w:instrText xml:space="preserve"> HYPERLINK \l _Toc5606 </w:instrText>
          </w:r>
          <w:r>
            <w:fldChar w:fldCharType="separate"/>
          </w:r>
          <w:r>
            <w:rPr>
              <w:rFonts w:hint="eastAsia" w:ascii="方正黑体简体" w:hAnsi="方正黑体简体" w:eastAsia="方正黑体简体" w:cs="方正黑体简体"/>
              <w:bCs/>
              <w:szCs w:val="28"/>
            </w:rPr>
            <w:t xml:space="preserve">四、 </w:t>
          </w:r>
          <w:r>
            <w:rPr>
              <w:rFonts w:hint="eastAsia"/>
            </w:rPr>
            <w:t>财政拨款收支预算情况说明</w:t>
          </w:r>
          <w:r>
            <w:tab/>
          </w:r>
          <w:r>
            <w:fldChar w:fldCharType="begin"/>
          </w:r>
          <w:r>
            <w:instrText xml:space="preserve"> PAGEREF _Toc5606 \h </w:instrText>
          </w:r>
          <w:r>
            <w:fldChar w:fldCharType="separate"/>
          </w:r>
          <w:r>
            <w:t>- 4 -</w:t>
          </w:r>
          <w:r>
            <w:fldChar w:fldCharType="end"/>
          </w:r>
          <w:r>
            <w:fldChar w:fldCharType="end"/>
          </w:r>
        </w:p>
        <w:p>
          <w:pPr>
            <w:pStyle w:val="7"/>
            <w:tabs>
              <w:tab w:val="right" w:leader="dot" w:pos="8730"/>
            </w:tabs>
          </w:pPr>
          <w:r>
            <w:fldChar w:fldCharType="begin"/>
          </w:r>
          <w:r>
            <w:instrText xml:space="preserve"> HYPERLINK \l _Toc22294 </w:instrText>
          </w:r>
          <w:r>
            <w:fldChar w:fldCharType="separate"/>
          </w:r>
          <w:r>
            <w:rPr>
              <w:rFonts w:hint="eastAsia" w:ascii="方正黑体简体" w:hAnsi="方正黑体简体" w:eastAsia="方正黑体简体" w:cs="方正黑体简体"/>
              <w:bCs/>
              <w:szCs w:val="28"/>
            </w:rPr>
            <w:t xml:space="preserve">五、 </w:t>
          </w:r>
          <w:r>
            <w:rPr>
              <w:rFonts w:hint="eastAsia"/>
            </w:rPr>
            <w:t>一般公共预算当年拨款情况说明</w:t>
          </w:r>
          <w:r>
            <w:tab/>
          </w:r>
          <w:r>
            <w:fldChar w:fldCharType="begin"/>
          </w:r>
          <w:r>
            <w:instrText xml:space="preserve"> PAGEREF _Toc22294 \h </w:instrText>
          </w:r>
          <w:r>
            <w:fldChar w:fldCharType="separate"/>
          </w:r>
          <w:r>
            <w:t>- 5 -</w:t>
          </w:r>
          <w:r>
            <w:fldChar w:fldCharType="end"/>
          </w:r>
          <w:r>
            <w:fldChar w:fldCharType="end"/>
          </w:r>
        </w:p>
        <w:p>
          <w:pPr>
            <w:pStyle w:val="8"/>
            <w:tabs>
              <w:tab w:val="right" w:leader="dot" w:pos="8730"/>
            </w:tabs>
          </w:pPr>
          <w:r>
            <w:fldChar w:fldCharType="begin"/>
          </w:r>
          <w:r>
            <w:instrText xml:space="preserve"> HYPERLINK \l _Toc11695 </w:instrText>
          </w:r>
          <w:r>
            <w:fldChar w:fldCharType="separate"/>
          </w:r>
          <w:r>
            <w:rPr>
              <w:rFonts w:hint="eastAsia"/>
            </w:rPr>
            <w:t>（一） 一般公共预算当年拨款规模变化情况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_Toc11695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- 5 -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_Toc19605 </w:instrText>
          </w:r>
          <w:r>
            <w:fldChar w:fldCharType="separate"/>
          </w:r>
          <w:r>
            <w:rPr>
              <w:rFonts w:hint="eastAsia"/>
              <w:lang w:val="en-US" w:eastAsia="zh-CN"/>
            </w:rPr>
            <w:t xml:space="preserve">（二） </w:t>
          </w:r>
          <w:r>
            <w:rPr>
              <w:rFonts w:hint="eastAsia"/>
            </w:rPr>
            <w:t>一般公共预算当年拨款结构情况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_Toc19605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- 5 -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_Toc29762 </w:instrText>
          </w:r>
          <w:r>
            <w:fldChar w:fldCharType="separate"/>
          </w:r>
          <w:r>
            <w:rPr>
              <w:rFonts w:hint="eastAsia"/>
            </w:rPr>
            <w:t>（三） 一般公共预算当年拨款具体使用情况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_Toc29762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- 5 -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7"/>
            <w:tabs>
              <w:tab w:val="right" w:leader="dot" w:pos="8730"/>
            </w:tabs>
          </w:pPr>
          <w:r>
            <w:fldChar w:fldCharType="begin"/>
          </w:r>
          <w:r>
            <w:instrText xml:space="preserve"> HYPERLINK \l _Toc27341 </w:instrText>
          </w:r>
          <w:r>
            <w:fldChar w:fldCharType="separate"/>
          </w:r>
          <w:r>
            <w:rPr>
              <w:rFonts w:hint="eastAsia" w:ascii="方正黑体简体" w:hAnsi="方正黑体简体" w:eastAsia="方正黑体简体" w:cs="方正黑体简体"/>
              <w:bCs/>
              <w:szCs w:val="28"/>
            </w:rPr>
            <w:t xml:space="preserve">六、 </w:t>
          </w:r>
          <w:r>
            <w:rPr>
              <w:rFonts w:hint="eastAsia"/>
            </w:rPr>
            <w:t>一般公共预算基本支出情况说明</w:t>
          </w:r>
          <w:r>
            <w:tab/>
          </w:r>
          <w:r>
            <w:fldChar w:fldCharType="begin"/>
          </w:r>
          <w:r>
            <w:instrText xml:space="preserve"> PAGEREF _Toc27341 \h </w:instrText>
          </w:r>
          <w:r>
            <w:fldChar w:fldCharType="separate"/>
          </w:r>
          <w:r>
            <w:t>- 6 -</w:t>
          </w:r>
          <w:r>
            <w:fldChar w:fldCharType="end"/>
          </w:r>
          <w:r>
            <w:fldChar w:fldCharType="end"/>
          </w:r>
        </w:p>
        <w:p>
          <w:pPr>
            <w:pStyle w:val="7"/>
            <w:tabs>
              <w:tab w:val="right" w:leader="dot" w:pos="8730"/>
            </w:tabs>
          </w:pPr>
          <w:r>
            <w:fldChar w:fldCharType="begin"/>
          </w:r>
          <w:r>
            <w:instrText xml:space="preserve"> HYPERLINK \l _Toc3683 </w:instrText>
          </w:r>
          <w:r>
            <w:fldChar w:fldCharType="separate"/>
          </w:r>
          <w:r>
            <w:rPr>
              <w:rFonts w:hint="eastAsia" w:ascii="方正黑体简体" w:hAnsi="方正黑体简体" w:eastAsia="方正黑体简体" w:cs="方正黑体简体"/>
              <w:bCs/>
              <w:szCs w:val="28"/>
            </w:rPr>
            <w:t xml:space="preserve">七、 </w:t>
          </w:r>
          <w:r>
            <w:rPr>
              <w:rFonts w:hint="eastAsia"/>
            </w:rPr>
            <w:t>“</w:t>
          </w:r>
          <w:r>
            <w:t>三公</w:t>
          </w:r>
          <w:r>
            <w:rPr>
              <w:rFonts w:hint="eastAsia"/>
            </w:rPr>
            <w:t>”</w:t>
          </w:r>
          <w:r>
            <w:t>经费财政拨款预算安排情况</w:t>
          </w:r>
          <w:r>
            <w:rPr>
              <w:rFonts w:hint="eastAsia"/>
            </w:rPr>
            <w:t>说明</w:t>
          </w:r>
          <w:r>
            <w:tab/>
          </w:r>
          <w:r>
            <w:fldChar w:fldCharType="begin"/>
          </w:r>
          <w:r>
            <w:instrText xml:space="preserve"> PAGEREF _Toc3683 \h </w:instrText>
          </w:r>
          <w:r>
            <w:fldChar w:fldCharType="separate"/>
          </w:r>
          <w:r>
            <w:t>- 6 -</w:t>
          </w:r>
          <w:r>
            <w:fldChar w:fldCharType="end"/>
          </w:r>
          <w:r>
            <w:fldChar w:fldCharType="end"/>
          </w:r>
        </w:p>
        <w:p>
          <w:pPr>
            <w:pStyle w:val="8"/>
            <w:tabs>
              <w:tab w:val="right" w:leader="dot" w:pos="8730"/>
            </w:tabs>
          </w:pPr>
          <w:r>
            <w:fldChar w:fldCharType="begin"/>
          </w:r>
          <w:r>
            <w:instrText xml:space="preserve"> HYPERLINK \l _Toc24111 </w:instrText>
          </w:r>
          <w:r>
            <w:fldChar w:fldCharType="separate"/>
          </w:r>
          <w:r>
            <w:rPr>
              <w:rFonts w:hint="eastAsia"/>
              <w:bCs/>
            </w:rPr>
            <w:t xml:space="preserve">（一） </w:t>
          </w:r>
          <w:r>
            <w:t>因公出国（境）经费</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_Toc24111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- 7 -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_Toc3731 </w:instrText>
          </w:r>
          <w:r>
            <w:fldChar w:fldCharType="separate"/>
          </w:r>
          <w:r>
            <w:rPr>
              <w:rFonts w:hint="eastAsia"/>
              <w:bCs/>
            </w:rPr>
            <w:t xml:space="preserve">（二） </w:t>
          </w:r>
          <w:r>
            <w:rPr>
              <w:rFonts w:hint="eastAsia"/>
            </w:rPr>
            <w:t>公</w:t>
          </w:r>
          <w:r>
            <w:t>务接待费</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_Toc3731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- 7 -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_Toc28604 </w:instrText>
          </w:r>
          <w:r>
            <w:fldChar w:fldCharType="separate"/>
          </w:r>
          <w:r>
            <w:rPr>
              <w:rFonts w:hint="eastAsia"/>
              <w:bCs/>
            </w:rPr>
            <w:t xml:space="preserve">（三） </w:t>
          </w:r>
          <w:r>
            <w:rPr>
              <w:rFonts w:hint="eastAsia"/>
            </w:rPr>
            <w:t>公务用车购置及运行维护费</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_Toc28604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- 7 -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7"/>
            <w:tabs>
              <w:tab w:val="right" w:leader="dot" w:pos="8730"/>
            </w:tabs>
          </w:pPr>
          <w:r>
            <w:fldChar w:fldCharType="begin"/>
          </w:r>
          <w:r>
            <w:instrText xml:space="preserve"> HYPERLINK \l _Toc16431 </w:instrText>
          </w:r>
          <w:r>
            <w:fldChar w:fldCharType="separate"/>
          </w:r>
          <w:r>
            <w:rPr>
              <w:rFonts w:hint="eastAsia" w:ascii="方正黑体简体" w:hAnsi="方正黑体简体" w:eastAsia="方正黑体简体" w:cs="方正黑体简体"/>
              <w:bCs/>
              <w:szCs w:val="28"/>
            </w:rPr>
            <w:t xml:space="preserve">八、 </w:t>
          </w:r>
          <w:r>
            <w:rPr>
              <w:rFonts w:hint="eastAsia"/>
            </w:rPr>
            <w:t>政府性基金预算支出情况说明</w:t>
          </w:r>
          <w:r>
            <w:tab/>
          </w:r>
          <w:r>
            <w:fldChar w:fldCharType="begin"/>
          </w:r>
          <w:r>
            <w:instrText xml:space="preserve"> PAGEREF _Toc16431 \h </w:instrText>
          </w:r>
          <w:r>
            <w:fldChar w:fldCharType="separate"/>
          </w:r>
          <w:r>
            <w:t>- 7 -</w:t>
          </w:r>
          <w:r>
            <w:fldChar w:fldCharType="end"/>
          </w:r>
          <w:r>
            <w:fldChar w:fldCharType="end"/>
          </w:r>
        </w:p>
        <w:p>
          <w:pPr>
            <w:pStyle w:val="7"/>
            <w:tabs>
              <w:tab w:val="right" w:leader="dot" w:pos="8730"/>
            </w:tabs>
          </w:pPr>
          <w:r>
            <w:fldChar w:fldCharType="begin"/>
          </w:r>
          <w:r>
            <w:instrText xml:space="preserve"> HYPERLINK \l _Toc21053 </w:instrText>
          </w:r>
          <w:r>
            <w:fldChar w:fldCharType="separate"/>
          </w:r>
          <w:r>
            <w:rPr>
              <w:rFonts w:hint="eastAsia" w:ascii="方正黑体简体" w:hAnsi="方正黑体简体" w:eastAsia="方正黑体简体" w:cs="方正黑体简体"/>
              <w:bCs/>
              <w:szCs w:val="28"/>
            </w:rPr>
            <w:t xml:space="preserve">九、 </w:t>
          </w:r>
          <w:r>
            <w:rPr>
              <w:rFonts w:hint="eastAsia"/>
            </w:rPr>
            <w:t>国有资本经营预算支出情况说明</w:t>
          </w:r>
          <w:r>
            <w:tab/>
          </w:r>
          <w:r>
            <w:fldChar w:fldCharType="begin"/>
          </w:r>
          <w:r>
            <w:instrText xml:space="preserve"> PAGEREF _Toc21053 \h </w:instrText>
          </w:r>
          <w:r>
            <w:fldChar w:fldCharType="separate"/>
          </w:r>
          <w:r>
            <w:t>- 7 -</w:t>
          </w:r>
          <w:r>
            <w:fldChar w:fldCharType="end"/>
          </w:r>
          <w:r>
            <w:fldChar w:fldCharType="end"/>
          </w:r>
        </w:p>
        <w:p>
          <w:pPr>
            <w:pStyle w:val="7"/>
            <w:tabs>
              <w:tab w:val="right" w:leader="dot" w:pos="8730"/>
            </w:tabs>
          </w:pPr>
          <w:r>
            <w:fldChar w:fldCharType="begin"/>
          </w:r>
          <w:r>
            <w:instrText xml:space="preserve"> HYPERLINK \l _Toc13393 </w:instrText>
          </w:r>
          <w:r>
            <w:fldChar w:fldCharType="separate"/>
          </w:r>
          <w:r>
            <w:rPr>
              <w:rFonts w:hint="eastAsia" w:ascii="方正黑体简体" w:hAnsi="方正黑体简体" w:eastAsia="方正黑体简体" w:cs="方正黑体简体"/>
              <w:bCs/>
              <w:szCs w:val="28"/>
            </w:rPr>
            <w:t xml:space="preserve">十、 </w:t>
          </w:r>
          <w:r>
            <w:rPr>
              <w:rFonts w:hint="eastAsia"/>
            </w:rPr>
            <w:t>其他重要事项的情况说明</w:t>
          </w:r>
          <w:r>
            <w:tab/>
          </w:r>
          <w:r>
            <w:fldChar w:fldCharType="begin"/>
          </w:r>
          <w:r>
            <w:instrText xml:space="preserve"> PAGEREF _Toc13393 \h </w:instrText>
          </w:r>
          <w:r>
            <w:fldChar w:fldCharType="separate"/>
          </w:r>
          <w:r>
            <w:t>- 8 -</w:t>
          </w:r>
          <w:r>
            <w:fldChar w:fldCharType="end"/>
          </w:r>
          <w:r>
            <w:fldChar w:fldCharType="end"/>
          </w:r>
        </w:p>
        <w:p>
          <w:pPr>
            <w:pStyle w:val="8"/>
            <w:tabs>
              <w:tab w:val="right" w:leader="dot" w:pos="8730"/>
            </w:tabs>
          </w:pPr>
          <w:r>
            <w:fldChar w:fldCharType="begin"/>
          </w:r>
          <w:r>
            <w:instrText xml:space="preserve"> HYPERLINK \l _Toc7691 </w:instrText>
          </w:r>
          <w:r>
            <w:fldChar w:fldCharType="separate"/>
          </w:r>
          <w:r>
            <w:rPr>
              <w:rFonts w:hint="eastAsia"/>
            </w:rPr>
            <w:t>（一） 机关运行经费</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_Toc7691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- 8 -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_Toc26351 </w:instrText>
          </w:r>
          <w:r>
            <w:fldChar w:fldCharType="separate"/>
          </w:r>
          <w:r>
            <w:rPr>
              <w:rFonts w:hint="eastAsia"/>
            </w:rPr>
            <w:t>（二） 政府采购情况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_Toc26351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- 8 -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_Toc6205 </w:instrText>
          </w:r>
          <w:r>
            <w:fldChar w:fldCharType="separate"/>
          </w:r>
          <w:r>
            <w:rPr>
              <w:rFonts w:hint="eastAsia"/>
            </w:rPr>
            <w:t>（三） 国有资产占有使用情况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_Toc6205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- 8 -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8"/>
            <w:tabs>
              <w:tab w:val="right" w:leader="dot" w:pos="8730"/>
            </w:tabs>
          </w:pPr>
          <w:r>
            <w:fldChar w:fldCharType="begin"/>
          </w:r>
          <w:r>
            <w:instrText xml:space="preserve"> HYPERLINK \l _Toc17875 </w:instrText>
          </w:r>
          <w:r>
            <w:fldChar w:fldCharType="separate"/>
          </w:r>
          <w:r>
            <w:rPr>
              <w:rFonts w:hint="eastAsia"/>
            </w:rPr>
            <w:t>（四） 绩效目标设置情况</w:t>
          </w:r>
          <w:r>
            <w:rPr>
              <w:rFonts w:ascii="Times New Roman" w:hAnsi="Times New Roman" w:eastAsia="方正黑体简体" w:cs="Times New Roman"/>
              <w:b w:val="0"/>
              <w:kern w:val="2"/>
              <w:sz w:val="32"/>
              <w:szCs w:val="24"/>
              <w:lang w:val="en-US" w:eastAsia="zh-CN" w:bidi="ar-SA"/>
            </w:rPr>
            <w:tab/>
          </w:r>
          <w:r>
            <w:rPr>
              <w:rFonts w:ascii="Times New Roman" w:hAnsi="Times New Roman" w:eastAsia="方正黑体简体" w:cs="Times New Roman"/>
              <w:b w:val="0"/>
              <w:kern w:val="2"/>
              <w:sz w:val="32"/>
              <w:szCs w:val="24"/>
              <w:lang w:val="en-US" w:eastAsia="zh-CN" w:bidi="ar-SA"/>
            </w:rPr>
            <w:fldChar w:fldCharType="begin"/>
          </w:r>
          <w:r>
            <w:rPr>
              <w:rFonts w:ascii="Times New Roman" w:hAnsi="Times New Roman" w:eastAsia="方正黑体简体" w:cs="Times New Roman"/>
              <w:b w:val="0"/>
              <w:kern w:val="2"/>
              <w:sz w:val="32"/>
              <w:szCs w:val="24"/>
              <w:lang w:val="en-US" w:eastAsia="zh-CN" w:bidi="ar-SA"/>
            </w:rPr>
            <w:instrText xml:space="preserve"> PAGEREF _Toc17875 \h </w:instrText>
          </w:r>
          <w:r>
            <w:rPr>
              <w:rFonts w:ascii="Times New Roman" w:hAnsi="Times New Roman" w:eastAsia="方正黑体简体" w:cs="Times New Roman"/>
              <w:b w:val="0"/>
              <w:kern w:val="2"/>
              <w:sz w:val="32"/>
              <w:szCs w:val="24"/>
              <w:lang w:val="en-US" w:eastAsia="zh-CN" w:bidi="ar-SA"/>
            </w:rPr>
            <w:fldChar w:fldCharType="separate"/>
          </w:r>
          <w:r>
            <w:rPr>
              <w:rFonts w:ascii="Times New Roman" w:hAnsi="Times New Roman" w:eastAsia="方正黑体简体" w:cs="Times New Roman"/>
              <w:b w:val="0"/>
              <w:kern w:val="2"/>
              <w:sz w:val="32"/>
              <w:szCs w:val="24"/>
              <w:lang w:val="en-US" w:eastAsia="zh-CN" w:bidi="ar-SA"/>
            </w:rPr>
            <w:t>- 8 -</w:t>
          </w:r>
          <w:r>
            <w:rPr>
              <w:rFonts w:ascii="Times New Roman" w:hAnsi="Times New Roman" w:eastAsia="方正黑体简体" w:cs="Times New Roman"/>
              <w:b w:val="0"/>
              <w:kern w:val="2"/>
              <w:sz w:val="32"/>
              <w:szCs w:val="24"/>
              <w:lang w:val="en-US" w:eastAsia="zh-CN" w:bidi="ar-SA"/>
            </w:rPr>
            <w:fldChar w:fldCharType="end"/>
          </w:r>
          <w:r>
            <w:fldChar w:fldCharType="end"/>
          </w:r>
        </w:p>
        <w:p>
          <w:pPr>
            <w:pStyle w:val="7"/>
            <w:tabs>
              <w:tab w:val="right" w:leader="dot" w:pos="8730"/>
            </w:tabs>
          </w:pPr>
          <w:r>
            <w:fldChar w:fldCharType="begin"/>
          </w:r>
          <w:r>
            <w:instrText xml:space="preserve"> HYPERLINK \l _Toc2113 </w:instrText>
          </w:r>
          <w:r>
            <w:fldChar w:fldCharType="separate"/>
          </w:r>
          <w:r>
            <w:rPr>
              <w:rFonts w:hint="eastAsia" w:ascii="方正黑体简体" w:hAnsi="方正黑体简体" w:eastAsia="方正黑体简体" w:cs="方正黑体简体"/>
              <w:bCs/>
              <w:szCs w:val="28"/>
            </w:rPr>
            <w:t xml:space="preserve">十一、 </w:t>
          </w:r>
          <w:r>
            <w:rPr>
              <w:rFonts w:hint="eastAsia"/>
            </w:rPr>
            <w:t>名词解释</w:t>
          </w:r>
          <w:r>
            <w:tab/>
          </w:r>
          <w:r>
            <w:fldChar w:fldCharType="begin"/>
          </w:r>
          <w:r>
            <w:instrText xml:space="preserve"> PAGEREF _Toc2113 \h </w:instrText>
          </w:r>
          <w:r>
            <w:fldChar w:fldCharType="separate"/>
          </w:r>
          <w:r>
            <w:t>- 9 -</w:t>
          </w:r>
          <w:r>
            <w:fldChar w:fldCharType="end"/>
          </w:r>
          <w:r>
            <w:fldChar w:fldCharType="end"/>
          </w:r>
        </w:p>
        <w:p>
          <w:pPr>
            <w:spacing w:line="600" w:lineRule="exact"/>
            <w:ind w:firstLine="640" w:firstLineChars="200"/>
            <w:jc w:val="center"/>
            <w:rPr>
              <w:rFonts w:ascii="方正小标宋简体" w:hAnsi="Times New Roman" w:eastAsia="方正小标宋简体" w:cs="Times New Roman"/>
              <w:kern w:val="2"/>
              <w:sz w:val="32"/>
              <w:szCs w:val="44"/>
              <w:lang w:val="en-US" w:eastAsia="zh-CN" w:bidi="ar-SA"/>
            </w:rPr>
          </w:pPr>
          <w:r>
            <w:fldChar w:fldCharType="end"/>
          </w:r>
        </w:p>
      </w:sdtContent>
    </w:sdt>
    <w:p>
      <w:pPr>
        <w:pStyle w:val="2"/>
        <w:rPr>
          <w:rFonts w:ascii="方正小标宋简体" w:hAnsi="Times New Roman" w:eastAsia="方正小标宋简体" w:cs="Times New Roman"/>
          <w:kern w:val="2"/>
          <w:sz w:val="32"/>
          <w:szCs w:val="44"/>
          <w:lang w:val="en-US" w:eastAsia="zh-CN" w:bidi="ar-SA"/>
        </w:rPr>
      </w:pPr>
    </w:p>
    <w:p>
      <w:pPr>
        <w:rPr>
          <w:rFonts w:ascii="方正小标宋简体" w:hAnsi="Times New Roman" w:eastAsia="方正小标宋简体" w:cs="Times New Roman"/>
          <w:kern w:val="2"/>
          <w:sz w:val="32"/>
          <w:szCs w:val="44"/>
          <w:lang w:val="en-US" w:eastAsia="zh-CN" w:bidi="ar-SA"/>
        </w:rPr>
      </w:pPr>
    </w:p>
    <w:p>
      <w:pPr>
        <w:pStyle w:val="2"/>
        <w:rPr>
          <w:rFonts w:ascii="方正小标宋简体" w:hAnsi="Times New Roman" w:eastAsia="方正小标宋简体" w:cs="Times New Roman"/>
          <w:kern w:val="2"/>
          <w:sz w:val="32"/>
          <w:szCs w:val="44"/>
          <w:lang w:val="en-US" w:eastAsia="zh-CN" w:bidi="ar-SA"/>
        </w:rPr>
      </w:pPr>
    </w:p>
    <w:p/>
    <w:sdt>
      <w:sdtPr>
        <w:rPr>
          <w:rFonts w:ascii="宋体" w:hAnsi="宋体" w:eastAsia="宋体" w:cs="Times New Roman"/>
          <w:kern w:val="2"/>
          <w:sz w:val="21"/>
          <w:szCs w:val="24"/>
          <w:lang w:val="en-US" w:eastAsia="zh-CN" w:bidi="ar-SA"/>
        </w:rPr>
        <w:id w:val="147472131"/>
        <w15:color w:val="DBDBDB"/>
        <w:docPartObj>
          <w:docPartGallery w:val="Table of Contents"/>
          <w:docPartUnique/>
        </w:docPartObj>
      </w:sdtPr>
      <w:sdtEndPr>
        <w:rPr>
          <w:rFonts w:ascii="Arial" w:hAnsi="Arial" w:eastAsia="方正楷体简体" w:cs="Times New Roman"/>
          <w:b/>
          <w:kern w:val="2"/>
          <w:sz w:val="32"/>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
            <w:bidi w:val="0"/>
            <w:outlineLvl w:val="9"/>
            <w:rPr>
              <w:rFonts w:ascii="Arial" w:hAnsi="Arial" w:eastAsia="方正楷体简体" w:cs="Times New Roman"/>
              <w:b/>
              <w:kern w:val="2"/>
              <w:sz w:val="32"/>
              <w:szCs w:val="24"/>
              <w:lang w:val="en-US" w:eastAsia="zh-CN" w:bidi="ar-SA"/>
            </w:rPr>
          </w:pPr>
        </w:p>
        <w:p>
          <w:pPr>
            <w:pStyle w:val="4"/>
            <w:bidi w:val="0"/>
            <w:outlineLvl w:val="9"/>
            <w:rPr>
              <w:rFonts w:ascii="Arial" w:hAnsi="Arial" w:eastAsia="方正楷体简体" w:cs="Times New Roman"/>
              <w:b/>
              <w:kern w:val="2"/>
              <w:sz w:val="32"/>
              <w:szCs w:val="24"/>
              <w:lang w:val="en-US" w:eastAsia="zh-CN" w:bidi="ar-SA"/>
            </w:rPr>
          </w:pPr>
        </w:p>
        <w:p>
          <w:pPr>
            <w:pStyle w:val="4"/>
            <w:bidi w:val="0"/>
            <w:outlineLvl w:val="9"/>
            <w:rPr>
              <w:rFonts w:eastAsia="黑体"/>
              <w:sz w:val="32"/>
              <w:szCs w:val="32"/>
            </w:rPr>
            <w:sectPr>
              <w:footerReference r:id="rId5" w:type="default"/>
              <w:pgSz w:w="11906" w:h="16838"/>
              <w:pgMar w:top="1440" w:right="1588" w:bottom="1440" w:left="1588" w:header="851" w:footer="992" w:gutter="0"/>
              <w:pgNumType w:fmt="numberInDash" w:start="1"/>
              <w:cols w:space="425" w:num="1"/>
              <w:docGrid w:type="lines" w:linePitch="312" w:charSpace="0"/>
            </w:sectPr>
          </w:pPr>
        </w:p>
      </w:sdtContent>
    </w:sdt>
    <w:p>
      <w:pPr>
        <w:pStyle w:val="2"/>
        <w:ind w:left="0" w:leftChars="0" w:firstLine="0" w:firstLineChars="0"/>
      </w:pPr>
    </w:p>
    <w:p>
      <w:pPr>
        <w:pStyle w:val="3"/>
        <w:numPr>
          <w:ilvl w:val="0"/>
          <w:numId w:val="1"/>
        </w:numPr>
        <w:bidi w:val="0"/>
      </w:pPr>
      <w:bookmarkStart w:id="2" w:name="_Toc29217"/>
      <w:bookmarkStart w:id="3" w:name="_Toc41"/>
      <w:bookmarkStart w:id="4" w:name="_Toc1040"/>
      <w:bookmarkStart w:id="5" w:name="_Toc20824"/>
      <w:r>
        <w:t>基本职能及主要工作</w:t>
      </w:r>
      <w:bookmarkEnd w:id="2"/>
      <w:bookmarkEnd w:id="3"/>
      <w:bookmarkEnd w:id="4"/>
      <w:bookmarkEnd w:id="5"/>
    </w:p>
    <w:p>
      <w:pPr>
        <w:pStyle w:val="4"/>
        <w:numPr>
          <w:ilvl w:val="0"/>
          <w:numId w:val="2"/>
        </w:numPr>
        <w:bidi w:val="0"/>
      </w:pPr>
      <w:bookmarkStart w:id="6" w:name="_Toc1761"/>
      <w:bookmarkStart w:id="7" w:name="_Toc18703"/>
      <w:bookmarkStart w:id="8" w:name="_Toc2688"/>
      <w:bookmarkStart w:id="9" w:name="_Toc5321"/>
      <w:r>
        <w:t>职能简介</w:t>
      </w:r>
      <w:bookmarkEnd w:id="6"/>
      <w:bookmarkEnd w:id="7"/>
      <w:bookmarkEnd w:id="8"/>
      <w:bookmarkEnd w:id="9"/>
    </w:p>
    <w:p>
      <w:pPr>
        <w:bidi w:val="0"/>
        <w:rPr>
          <w:rFonts w:hint="eastAsia"/>
          <w:lang w:eastAsia="zh-CN"/>
        </w:rPr>
      </w:pPr>
      <w:r>
        <w:rPr>
          <w:rFonts w:hint="default"/>
          <w:lang w:val="en-US" w:eastAsia="zh-CN"/>
        </w:rPr>
        <w:t>1.</w:t>
      </w:r>
      <w:r>
        <w:rPr>
          <w:rFonts w:hint="default"/>
        </w:rPr>
        <w:t>完成上级下达的疾病预防控制任务，负责辖区内疾病预防控制具体工作的管理和落实；负责辖区内疫苗使用管理，组织实施免疫、消毒、控制病媒生物的危害；</w:t>
      </w:r>
    </w:p>
    <w:p>
      <w:pPr>
        <w:bidi w:val="0"/>
        <w:rPr>
          <w:rFonts w:hint="eastAsia"/>
          <w:lang w:eastAsia="zh-CN"/>
        </w:rPr>
      </w:pPr>
      <w:r>
        <w:rPr>
          <w:rFonts w:hint="default"/>
          <w:lang w:val="en-US" w:eastAsia="zh-CN"/>
        </w:rPr>
        <w:t>2.</w:t>
      </w:r>
      <w:r>
        <w:rPr>
          <w:rFonts w:hint="default"/>
        </w:rPr>
        <w:t>负责辖区内</w:t>
      </w:r>
      <w:r>
        <w:rPr>
          <w:rFonts w:hint="default"/>
        </w:rPr>
        <w:fldChar w:fldCharType="begin"/>
      </w:r>
      <w:r>
        <w:rPr>
          <w:rFonts w:hint="default"/>
        </w:rPr>
        <w:instrText xml:space="preserve"> HYPERLINK "http://www.so.com/s?q=%E7%AA%81%E5%8F%91%E5%85%AC%E5%85%B1%E5%8D%AB%E7%94%9F%E4%BA%8B%E4%BB%B6&amp;ie=utf-8&amp;src=internal_wenda_recommend_textn" \t "https://wenda.so.com/q/_blank" </w:instrText>
      </w:r>
      <w:r>
        <w:rPr>
          <w:rFonts w:hint="default"/>
        </w:rPr>
        <w:fldChar w:fldCharType="separate"/>
      </w:r>
      <w:r>
        <w:rPr>
          <w:rFonts w:hint="default"/>
        </w:rPr>
        <w:t>突发公共卫生事件</w:t>
      </w:r>
      <w:r>
        <w:rPr>
          <w:rFonts w:hint="default"/>
        </w:rPr>
        <w:fldChar w:fldCharType="end"/>
      </w:r>
      <w:r>
        <w:rPr>
          <w:rFonts w:hint="default"/>
        </w:rPr>
        <w:t>的监测调查与信息收集、报告，落实具体控制措施；</w:t>
      </w:r>
    </w:p>
    <w:p>
      <w:pPr>
        <w:bidi w:val="0"/>
        <w:rPr>
          <w:rFonts w:hint="eastAsia"/>
          <w:lang w:eastAsia="zh-CN"/>
        </w:rPr>
      </w:pPr>
      <w:r>
        <w:rPr>
          <w:rFonts w:hint="default"/>
          <w:lang w:val="en-US" w:eastAsia="zh-CN"/>
        </w:rPr>
        <w:t>3.</w:t>
      </w:r>
      <w:r>
        <w:rPr>
          <w:rFonts w:hint="default"/>
        </w:rPr>
        <w:t>开展</w:t>
      </w:r>
      <w:r>
        <w:rPr>
          <w:rFonts w:hint="default"/>
        </w:rPr>
        <w:fldChar w:fldCharType="begin"/>
      </w:r>
      <w:r>
        <w:rPr>
          <w:rFonts w:hint="default"/>
        </w:rPr>
        <w:instrText xml:space="preserve"> HYPERLINK "http://www.so.com/s?q=%E7%97%85%E5%8E%9F%E5%BE%AE%E7%94%9F%E7%89%A9&amp;ie=utf-8&amp;src=internal_wenda_recommend_textn" \t "https://wenda.so.com/q/_blank" </w:instrText>
      </w:r>
      <w:r>
        <w:rPr>
          <w:rFonts w:hint="default"/>
        </w:rPr>
        <w:fldChar w:fldCharType="separate"/>
      </w:r>
      <w:r>
        <w:rPr>
          <w:rFonts w:hint="default"/>
        </w:rPr>
        <w:t>病原微生物</w:t>
      </w:r>
      <w:r>
        <w:rPr>
          <w:rFonts w:hint="default"/>
        </w:rPr>
        <w:fldChar w:fldCharType="end"/>
      </w:r>
      <w:r>
        <w:rPr>
          <w:rFonts w:hint="default"/>
        </w:rPr>
        <w:t>常规检验和常见污染物的检验；</w:t>
      </w:r>
    </w:p>
    <w:p>
      <w:pPr>
        <w:bidi w:val="0"/>
        <w:rPr>
          <w:rFonts w:hint="eastAsia"/>
          <w:lang w:eastAsia="zh-CN"/>
        </w:rPr>
      </w:pPr>
      <w:r>
        <w:rPr>
          <w:rFonts w:hint="default"/>
          <w:lang w:val="en-US" w:eastAsia="zh-CN"/>
        </w:rPr>
        <w:t>4.</w:t>
      </w:r>
      <w:r>
        <w:rPr>
          <w:rFonts w:hint="default"/>
        </w:rPr>
        <w:t>承担卫生行政部门委托的与</w:t>
      </w:r>
      <w:r>
        <w:rPr>
          <w:rFonts w:hint="default"/>
        </w:rPr>
        <w:fldChar w:fldCharType="begin"/>
      </w:r>
      <w:r>
        <w:rPr>
          <w:rFonts w:hint="default"/>
        </w:rPr>
        <w:instrText xml:space="preserve"> HYPERLINK "http://www.so.com/s?q=%E5%8D%AB%E7%94%9F%E7%9B%91%E7%9D%A3&amp;ie=utf-8&amp;src=internal_wenda_recommend_textn" \t "https://wenda.so.com/q/_blank" </w:instrText>
      </w:r>
      <w:r>
        <w:rPr>
          <w:rFonts w:hint="default"/>
        </w:rPr>
        <w:fldChar w:fldCharType="separate"/>
      </w:r>
      <w:r>
        <w:rPr>
          <w:rFonts w:hint="default"/>
        </w:rPr>
        <w:t>卫生监督</w:t>
      </w:r>
      <w:r>
        <w:rPr>
          <w:rFonts w:hint="default"/>
        </w:rPr>
        <w:fldChar w:fldCharType="end"/>
      </w:r>
      <w:r>
        <w:rPr>
          <w:rFonts w:hint="default"/>
        </w:rPr>
        <w:t>执法相关的检验检测任务；</w:t>
      </w:r>
    </w:p>
    <w:p>
      <w:pPr>
        <w:bidi w:val="0"/>
        <w:rPr>
          <w:rFonts w:hint="eastAsia"/>
          <w:lang w:eastAsia="zh-CN"/>
        </w:rPr>
      </w:pPr>
      <w:r>
        <w:rPr>
          <w:rFonts w:hint="default"/>
          <w:lang w:val="en-US" w:eastAsia="zh-CN"/>
        </w:rPr>
        <w:t>5.</w:t>
      </w:r>
      <w:r>
        <w:rPr>
          <w:rFonts w:hint="default"/>
        </w:rPr>
        <w:t>指导辖区内医疗卫生机构、城市社区卫生组织和农村乡(镇)卫生院开展卫生防病工作，负责考核和评价，对从事疾病预防控制相关工作的人员进行培训；</w:t>
      </w:r>
    </w:p>
    <w:p>
      <w:pPr>
        <w:bidi w:val="0"/>
        <w:rPr>
          <w:rFonts w:hint="eastAsia"/>
          <w:lang w:eastAsia="zh-CN"/>
        </w:rPr>
      </w:pPr>
      <w:r>
        <w:rPr>
          <w:rFonts w:hint="default"/>
          <w:lang w:val="en-US" w:eastAsia="zh-CN"/>
        </w:rPr>
        <w:t>6.</w:t>
      </w:r>
      <w:r>
        <w:rPr>
          <w:rFonts w:hint="default"/>
        </w:rPr>
        <w:t>负责疫情和公共卫生健康危害因素监测、报告，指导乡、村和有关部门收集、报告疫情；</w:t>
      </w:r>
    </w:p>
    <w:p>
      <w:pPr>
        <w:bidi w:val="0"/>
      </w:pPr>
      <w:r>
        <w:rPr>
          <w:rFonts w:hint="default"/>
          <w:lang w:val="en-US" w:eastAsia="zh-CN"/>
        </w:rPr>
        <w:t>7.</w:t>
      </w:r>
      <w:r>
        <w:rPr>
          <w:rFonts w:hint="default"/>
        </w:rPr>
        <w:t>开</w:t>
      </w:r>
      <w:r>
        <w:rPr>
          <w:rFonts w:hint="eastAsia"/>
        </w:rPr>
        <w:t>展卫生宣传教育与</w:t>
      </w:r>
      <w:r>
        <w:fldChar w:fldCharType="begin"/>
      </w:r>
      <w:r>
        <w:instrText xml:space="preserve"> HYPERLINK "http://www.so.com/s?q=%E5%81%A5%E5%BA%B7%E4%BF%83%E8%BF%9B&amp;ie=utf-8&amp;src=internal_wenda_recommend_textn" \t "https://wenda.so.com/q/_blank" </w:instrText>
      </w:r>
      <w:r>
        <w:fldChar w:fldCharType="separate"/>
      </w:r>
      <w:r>
        <w:rPr>
          <w:rFonts w:hint="eastAsia"/>
        </w:rPr>
        <w:t>健康促进</w:t>
      </w:r>
      <w:r>
        <w:rPr>
          <w:rFonts w:hint="eastAsia"/>
        </w:rPr>
        <w:fldChar w:fldCharType="end"/>
      </w:r>
      <w:r>
        <w:rPr>
          <w:rFonts w:hint="eastAsia"/>
        </w:rPr>
        <w:t>活动，普及卫生防病知识。</w:t>
      </w:r>
    </w:p>
    <w:p>
      <w:pPr>
        <w:pStyle w:val="4"/>
        <w:numPr>
          <w:ilvl w:val="0"/>
          <w:numId w:val="2"/>
        </w:numPr>
        <w:bidi w:val="0"/>
      </w:pPr>
      <w:bookmarkStart w:id="10" w:name="_Toc11732"/>
      <w:bookmarkStart w:id="11" w:name="_Toc2992"/>
      <w:bookmarkStart w:id="12" w:name="_Toc18010"/>
      <w:bookmarkStart w:id="13" w:name="_Toc20684"/>
      <w:r>
        <w:t>2024年重点工作</w:t>
      </w:r>
      <w:bookmarkEnd w:id="10"/>
      <w:bookmarkEnd w:id="11"/>
      <w:bookmarkEnd w:id="12"/>
      <w:bookmarkEnd w:id="13"/>
    </w:p>
    <w:p>
      <w:pPr>
        <w:numPr>
          <w:ilvl w:val="0"/>
          <w:numId w:val="0"/>
        </w:numPr>
        <w:bidi w:val="0"/>
        <w:ind w:firstLine="643" w:firstLineChars="200"/>
        <w:rPr>
          <w:rFonts w:hint="eastAsia"/>
          <w:b w:val="0"/>
          <w:bCs w:val="0"/>
          <w:lang w:val="en-US" w:eastAsia="zh-CN"/>
        </w:rPr>
      </w:pPr>
      <w:r>
        <w:rPr>
          <w:rFonts w:hint="eastAsia"/>
          <w:b/>
          <w:bCs/>
          <w:lang w:val="en-US" w:eastAsia="zh-CN"/>
        </w:rPr>
        <w:t>1.认真贯彻落实疾控体系改革决策部署</w:t>
      </w:r>
      <w:r>
        <w:rPr>
          <w:rFonts w:hint="default"/>
          <w:b/>
          <w:bCs/>
          <w:lang w:val="en-US" w:eastAsia="zh-CN"/>
        </w:rPr>
        <w:t>。</w:t>
      </w:r>
      <w:r>
        <w:rPr>
          <w:rFonts w:hint="eastAsia"/>
          <w:lang w:val="en-US" w:eastAsia="zh-CN"/>
        </w:rPr>
        <w:t>认真落实国务院《关于</w:t>
      </w:r>
      <w:r>
        <w:rPr>
          <w:rFonts w:hint="eastAsia"/>
          <w:b w:val="0"/>
          <w:bCs w:val="0"/>
          <w:lang w:val="en-US" w:eastAsia="zh-CN"/>
        </w:rPr>
        <w:t>推动疾病预防控制事业高质量发展的指导意见</w:t>
      </w:r>
      <w:r>
        <w:rPr>
          <w:rFonts w:hint="eastAsia"/>
          <w:lang w:val="en-US" w:eastAsia="zh-CN"/>
        </w:rPr>
        <w:t>》</w:t>
      </w:r>
      <w:r>
        <w:rPr>
          <w:rFonts w:hint="eastAsia"/>
          <w:b w:val="0"/>
          <w:bCs w:val="0"/>
          <w:lang w:val="en-US" w:eastAsia="zh-CN"/>
        </w:rPr>
        <w:t>和四川省卫生健康委 四川省中医药管理局关于印发</w:t>
      </w:r>
      <w:r>
        <w:rPr>
          <w:rFonts w:hint="eastAsia"/>
          <w:lang w:val="en-US" w:eastAsia="zh-CN"/>
        </w:rPr>
        <w:t>《</w:t>
      </w:r>
      <w:r>
        <w:rPr>
          <w:rFonts w:hint="eastAsia"/>
          <w:b w:val="0"/>
          <w:bCs w:val="0"/>
          <w:lang w:val="en-US" w:eastAsia="zh-CN"/>
        </w:rPr>
        <w:t>四川省专业公共卫生机构对医疗机构公共卫生工作的责任清单（2023年版）</w:t>
      </w:r>
      <w:r>
        <w:rPr>
          <w:rFonts w:hint="eastAsia"/>
          <w:lang w:val="en-US" w:eastAsia="zh-CN"/>
        </w:rPr>
        <w:t>》</w:t>
      </w:r>
      <w:r>
        <w:rPr>
          <w:rFonts w:hint="eastAsia"/>
          <w:b w:val="0"/>
          <w:bCs w:val="0"/>
          <w:lang w:val="en-US" w:eastAsia="zh-CN"/>
        </w:rPr>
        <w:t>的文件精神，系统重塑疾控体系建设，强化疾控机构核心职能，创新医防协同、医防融合机制，夯实疾控工作基础，全面提升疾控服务能力。</w:t>
      </w:r>
    </w:p>
    <w:p>
      <w:pPr>
        <w:numPr>
          <w:ilvl w:val="0"/>
          <w:numId w:val="0"/>
        </w:numPr>
        <w:bidi w:val="0"/>
        <w:ind w:firstLine="643" w:firstLineChars="200"/>
        <w:rPr>
          <w:rFonts w:hint="eastAsia"/>
          <w:lang w:val="en-US" w:eastAsia="zh-CN"/>
        </w:rPr>
      </w:pPr>
      <w:r>
        <w:rPr>
          <w:rFonts w:hint="default"/>
          <w:b/>
          <w:bCs/>
          <w:lang w:val="en-US" w:eastAsia="zh-CN"/>
        </w:rPr>
        <w:t>2.</w:t>
      </w:r>
      <w:r>
        <w:rPr>
          <w:rFonts w:hint="eastAsia"/>
          <w:b/>
          <w:bCs/>
          <w:lang w:val="en-US" w:eastAsia="zh-CN"/>
        </w:rPr>
        <w:t>全面提升疾控专业能力</w:t>
      </w:r>
      <w:r>
        <w:rPr>
          <w:rFonts w:hint="default"/>
          <w:b/>
          <w:bCs/>
          <w:lang w:val="en-US" w:eastAsia="zh-CN"/>
        </w:rPr>
        <w:t>。</w:t>
      </w:r>
      <w:r>
        <w:rPr>
          <w:rFonts w:hint="eastAsia"/>
          <w:b/>
          <w:bCs/>
          <w:lang w:val="en-US" w:eastAsia="zh-CN"/>
        </w:rPr>
        <w:t>一是</w:t>
      </w:r>
      <w:r>
        <w:rPr>
          <w:rFonts w:hint="default"/>
          <w:lang w:eastAsia="zh-CN"/>
        </w:rPr>
        <w:t>提升</w:t>
      </w:r>
      <w:r>
        <w:rPr>
          <w:rFonts w:hint="eastAsia"/>
          <w:lang w:val="en-US" w:eastAsia="zh-CN"/>
        </w:rPr>
        <w:t>传染病监测预警和检验检测能力，在区卫生健康局的领导下逐步完善多点触发的传染病监测预警网络体系，加强疫情监测，规范疫情信息报告，提高流行病学现场调查和实验室检验检测的实效和质量。</w:t>
      </w:r>
      <w:r>
        <w:rPr>
          <w:rFonts w:hint="eastAsia"/>
          <w:b/>
          <w:bCs/>
          <w:lang w:val="en-US" w:eastAsia="zh-CN"/>
        </w:rPr>
        <w:t>二是</w:t>
      </w:r>
      <w:r>
        <w:rPr>
          <w:rFonts w:hint="eastAsia"/>
          <w:lang w:val="en-US" w:eastAsia="zh-CN"/>
        </w:rPr>
        <w:t>提升应急处置能力。强化专业技术能力储备和卫生应急装备配备，</w:t>
      </w:r>
      <w:r>
        <w:rPr>
          <w:rFonts w:hint="default"/>
          <w:lang w:eastAsia="zh-CN"/>
        </w:rPr>
        <w:t>加强对</w:t>
      </w:r>
      <w:r>
        <w:rPr>
          <w:rFonts w:hint="eastAsia"/>
          <w:lang w:val="en-US" w:eastAsia="zh-CN"/>
        </w:rPr>
        <w:t>区域内</w:t>
      </w:r>
      <w:r>
        <w:rPr>
          <w:rFonts w:hint="default"/>
          <w:lang w:eastAsia="zh-CN"/>
        </w:rPr>
        <w:t>专业技术人员的应急技术培训，定期开展传染病相关</w:t>
      </w:r>
      <w:r>
        <w:rPr>
          <w:rFonts w:hint="eastAsia"/>
          <w:lang w:val="en-US" w:eastAsia="zh-CN"/>
        </w:rPr>
        <w:t>应急</w:t>
      </w:r>
      <w:r>
        <w:rPr>
          <w:rFonts w:hint="default"/>
          <w:lang w:eastAsia="zh-CN"/>
        </w:rPr>
        <w:t>演练</w:t>
      </w:r>
      <w:r>
        <w:rPr>
          <w:rFonts w:hint="eastAsia"/>
          <w:lang w:val="en-US" w:eastAsia="zh-CN"/>
        </w:rPr>
        <w:t>和技术指导</w:t>
      </w:r>
      <w:r>
        <w:rPr>
          <w:rFonts w:hint="default"/>
          <w:lang w:eastAsia="zh-CN"/>
        </w:rPr>
        <w:t>，打造一支熟练掌握疾病预防和紧急应对突发公共卫生事件</w:t>
      </w:r>
      <w:r>
        <w:rPr>
          <w:rFonts w:hint="eastAsia"/>
          <w:lang w:val="en-US" w:eastAsia="zh-CN"/>
        </w:rPr>
        <w:t>处置</w:t>
      </w:r>
      <w:r>
        <w:rPr>
          <w:rFonts w:hint="default"/>
          <w:lang w:eastAsia="zh-CN"/>
        </w:rPr>
        <w:t>的高素质</w:t>
      </w:r>
      <w:r>
        <w:rPr>
          <w:rFonts w:hint="eastAsia"/>
          <w:lang w:val="en-US" w:eastAsia="zh-CN"/>
        </w:rPr>
        <w:t>专业</w:t>
      </w:r>
      <w:r>
        <w:rPr>
          <w:rFonts w:hint="default"/>
          <w:lang w:eastAsia="zh-CN"/>
        </w:rPr>
        <w:t>队伍</w:t>
      </w:r>
      <w:r>
        <w:rPr>
          <w:rFonts w:hint="eastAsia"/>
          <w:lang w:eastAsia="zh-CN"/>
        </w:rPr>
        <w:t>，</w:t>
      </w:r>
      <w:r>
        <w:rPr>
          <w:rFonts w:hint="eastAsia"/>
          <w:lang w:val="en-US" w:eastAsia="zh-CN"/>
        </w:rPr>
        <w:t>提升应急处置能力</w:t>
      </w:r>
      <w:r>
        <w:rPr>
          <w:rFonts w:hint="eastAsia"/>
          <w:lang w:eastAsia="zh-CN"/>
        </w:rPr>
        <w:t>。</w:t>
      </w:r>
      <w:r>
        <w:rPr>
          <w:rFonts w:hint="eastAsia"/>
          <w:lang w:val="en-US" w:eastAsia="zh-CN"/>
        </w:rPr>
        <w:t>三</w:t>
      </w:r>
      <w:r>
        <w:rPr>
          <w:rFonts w:hint="default"/>
          <w:b/>
          <w:bCs/>
          <w:lang w:eastAsia="zh-CN"/>
        </w:rPr>
        <w:t>是</w:t>
      </w:r>
      <w:r>
        <w:rPr>
          <w:rFonts w:hint="default"/>
          <w:lang w:eastAsia="zh-CN"/>
        </w:rPr>
        <w:t>积极</w:t>
      </w:r>
      <w:r>
        <w:rPr>
          <w:rFonts w:hint="eastAsia"/>
          <w:lang w:val="en-US" w:eastAsia="zh-CN"/>
        </w:rPr>
        <w:t>参与上级能力提升培训班</w:t>
      </w:r>
      <w:r>
        <w:rPr>
          <w:rFonts w:hint="default"/>
          <w:lang w:eastAsia="zh-CN"/>
        </w:rPr>
        <w:t>，</w:t>
      </w:r>
      <w:r>
        <w:rPr>
          <w:rFonts w:hint="eastAsia"/>
          <w:lang w:val="en-US" w:eastAsia="zh-CN"/>
        </w:rPr>
        <w:t>持续加强艾滋病、结核病、病毒性肝炎等重点传染病防控，巩固寄生虫病、地方病防治成果，强化疫苗预防接种，加强学校卫生、职业卫生、环境健康危害综合监测、食品安全风险监测、伤害监测、老年人健康危险因素监测及重点慢病早期筛查干预和分类管理，提升公共卫生干预能力</w:t>
      </w:r>
      <w:r>
        <w:rPr>
          <w:rFonts w:hint="default"/>
          <w:lang w:eastAsia="zh-CN"/>
        </w:rPr>
        <w:t>。</w:t>
      </w:r>
      <w:r>
        <w:rPr>
          <w:rFonts w:hint="eastAsia"/>
          <w:b/>
          <w:bCs/>
          <w:lang w:val="en-US" w:eastAsia="zh-CN"/>
        </w:rPr>
        <w:t>四是</w:t>
      </w:r>
      <w:r>
        <w:rPr>
          <w:rFonts w:hint="eastAsia"/>
          <w:lang w:val="en-US" w:eastAsia="zh-CN"/>
        </w:rPr>
        <w:t>巩固省级慢性病综合防控示范区创建成果，深化全国卫生与健康大会和《“健康中国2030”规划纲要》，坚持政府主导、部门联动、社会各界共同参与的宣传教育及防控机制，广泛宣传传染病、慢性病、健康促进、卫生应急等疾病防治知识，不断提高居民防病知识和自我预防能力。</w:t>
      </w:r>
    </w:p>
    <w:p>
      <w:pPr>
        <w:bidi w:val="0"/>
        <w:rPr>
          <w:rFonts w:hint="default"/>
          <w:lang w:val="en-US" w:eastAsia="zh-CN"/>
        </w:rPr>
      </w:pPr>
      <w:r>
        <w:rPr>
          <w:rFonts w:hint="default"/>
          <w:b/>
          <w:bCs/>
          <w:lang w:val="en-US" w:eastAsia="zh-CN"/>
        </w:rPr>
        <w:t>3.</w:t>
      </w:r>
      <w:r>
        <w:rPr>
          <w:rFonts w:hint="eastAsia"/>
          <w:b/>
          <w:bCs/>
          <w:lang w:val="en-US" w:eastAsia="zh-CN"/>
        </w:rPr>
        <w:t>进一步</w:t>
      </w:r>
      <w:r>
        <w:rPr>
          <w:rFonts w:hint="eastAsia"/>
          <w:b/>
          <w:bCs/>
          <w:lang w:eastAsia="zh-CN"/>
        </w:rPr>
        <w:t>加强</w:t>
      </w:r>
      <w:r>
        <w:rPr>
          <w:rFonts w:hint="eastAsia"/>
          <w:b/>
          <w:bCs/>
          <w:lang w:val="en-US" w:eastAsia="zh-CN"/>
        </w:rPr>
        <w:t>专业</w:t>
      </w:r>
      <w:r>
        <w:rPr>
          <w:rFonts w:hint="eastAsia"/>
          <w:b/>
          <w:bCs/>
          <w:lang w:eastAsia="zh-CN"/>
        </w:rPr>
        <w:t>人才队伍建设</w:t>
      </w:r>
      <w:r>
        <w:rPr>
          <w:rFonts w:hint="default"/>
          <w:b/>
          <w:bCs/>
          <w:lang w:val="en-US" w:eastAsia="zh-CN"/>
        </w:rPr>
        <w:t>。</w:t>
      </w:r>
      <w:r>
        <w:rPr>
          <w:rFonts w:hint="eastAsia"/>
          <w:b/>
          <w:bCs/>
          <w:lang w:val="en-US" w:eastAsia="zh-CN"/>
        </w:rPr>
        <w:t>一是</w:t>
      </w:r>
      <w:r>
        <w:rPr>
          <w:rFonts w:hint="default"/>
          <w:lang w:eastAsia="zh-CN"/>
        </w:rPr>
        <w:t>积极探索疾控自主优选人才机制，</w:t>
      </w:r>
      <w:r>
        <w:rPr>
          <w:rFonts w:hint="eastAsia"/>
          <w:lang w:val="en-US" w:eastAsia="zh-CN"/>
        </w:rPr>
        <w:t>加强卫生专业人才队伍建设，着力培养年轻专业人才。</w:t>
      </w:r>
      <w:r>
        <w:rPr>
          <w:rFonts w:hint="eastAsia"/>
          <w:b/>
          <w:bCs/>
          <w:lang w:val="en-US" w:eastAsia="zh-CN"/>
        </w:rPr>
        <w:t>二是</w:t>
      </w:r>
      <w:r>
        <w:rPr>
          <w:rFonts w:hint="eastAsia"/>
          <w:lang w:val="en-US" w:eastAsia="zh-CN"/>
        </w:rPr>
        <w:t>以高层次人才队伍建设为重点，加强人才培养和引进，</w:t>
      </w:r>
      <w:r>
        <w:rPr>
          <w:rFonts w:hint="default"/>
          <w:lang w:eastAsia="zh-CN"/>
        </w:rPr>
        <w:t>积极争取国家项目，以此为历练机会，不断提升中心专业技术人员</w:t>
      </w:r>
      <w:r>
        <w:rPr>
          <w:rFonts w:hint="eastAsia"/>
          <w:lang w:val="en-US" w:eastAsia="zh-CN"/>
        </w:rPr>
        <w:t>理论及</w:t>
      </w:r>
      <w:r>
        <w:rPr>
          <w:rFonts w:hint="default"/>
          <w:lang w:eastAsia="zh-CN"/>
        </w:rPr>
        <w:t>业务水平。</w:t>
      </w:r>
      <w:r>
        <w:rPr>
          <w:rFonts w:hint="eastAsia"/>
          <w:b/>
          <w:bCs/>
          <w:lang w:val="en-US" w:eastAsia="zh-CN"/>
        </w:rPr>
        <w:t>三是</w:t>
      </w:r>
      <w:r>
        <w:rPr>
          <w:rFonts w:hint="default"/>
          <w:lang w:eastAsia="zh-CN"/>
        </w:rPr>
        <w:t>通过多渠道、多形式的措施加快培养优秀的技术骨干，充分发挥科研带头及指导作用，</w:t>
      </w:r>
      <w:r>
        <w:rPr>
          <w:rFonts w:hint="eastAsia"/>
          <w:lang w:val="en-US" w:eastAsia="zh-CN"/>
        </w:rPr>
        <w:t>达到</w:t>
      </w:r>
      <w:bookmarkStart w:id="102" w:name="_GoBack"/>
      <w:bookmarkEnd w:id="102"/>
      <w:r>
        <w:rPr>
          <w:rFonts w:hint="default"/>
          <w:lang w:eastAsia="zh-CN"/>
        </w:rPr>
        <w:t>以点带面的良好效果。</w:t>
      </w:r>
      <w:r>
        <w:rPr>
          <w:rFonts w:hint="eastAsia"/>
          <w:b/>
          <w:bCs/>
          <w:lang w:val="en-US" w:eastAsia="zh-CN"/>
        </w:rPr>
        <w:t>四是</w:t>
      </w:r>
      <w:r>
        <w:rPr>
          <w:rFonts w:hint="eastAsia"/>
          <w:lang w:val="en-US" w:eastAsia="zh-CN"/>
        </w:rPr>
        <w:t>完善用人制度建设稳定人才队伍，在职务晋升、评定职称等方面给予适当优惠政策，积极探索科学的人才评价体系和奖励激励机制，确保疾控人才队伍稳定。</w:t>
      </w:r>
    </w:p>
    <w:p>
      <w:pPr>
        <w:bidi w:val="0"/>
        <w:rPr>
          <w:color w:val="auto"/>
        </w:rPr>
      </w:pPr>
      <w:r>
        <w:rPr>
          <w:rFonts w:hint="default"/>
          <w:b/>
          <w:bCs/>
          <w:color w:val="000000" w:themeColor="text1"/>
          <w:lang w:val="en-US" w:eastAsia="zh-CN"/>
          <w14:textFill>
            <w14:solidFill>
              <w14:schemeClr w14:val="tx1"/>
            </w14:solidFill>
          </w14:textFill>
        </w:rPr>
        <w:t>4.</w:t>
      </w:r>
      <w:r>
        <w:rPr>
          <w:rFonts w:hint="eastAsia"/>
          <w:b/>
          <w:bCs/>
          <w:lang w:val="en-US" w:eastAsia="zh-CN"/>
        </w:rPr>
        <w:t>着力强化财政资金保障力度</w:t>
      </w:r>
      <w:r>
        <w:rPr>
          <w:rFonts w:hint="default"/>
          <w:b/>
          <w:bCs/>
          <w:lang w:val="en-US" w:eastAsia="zh-CN"/>
        </w:rPr>
        <w:t>。</w:t>
      </w:r>
      <w:r>
        <w:rPr>
          <w:rFonts w:hint="eastAsia"/>
          <w:lang w:val="en-US" w:eastAsia="zh-CN"/>
        </w:rPr>
        <w:t>财政资金是政府履行职责和提供公共服务的物质基础，是经济社会发展的重要保障。积极向上争取上级专项资金，加大财政支持力度，加强对公共卫生事业的投入，确保公共卫生事业的资金来源得到及时保障，正常开展公共卫生服务项目，完成公共卫生工作目标，保障辖区百姓身心健康和人民福祉。</w:t>
      </w:r>
    </w:p>
    <w:p>
      <w:pPr>
        <w:pStyle w:val="3"/>
        <w:numPr>
          <w:ilvl w:val="0"/>
          <w:numId w:val="1"/>
        </w:numPr>
        <w:bidi w:val="0"/>
      </w:pPr>
      <w:bookmarkStart w:id="14" w:name="_Toc16678"/>
      <w:bookmarkStart w:id="15" w:name="_Toc21600"/>
      <w:bookmarkStart w:id="16" w:name="_Toc6181"/>
      <w:bookmarkStart w:id="17" w:name="_Toc19157"/>
      <w:r>
        <w:rPr>
          <w:rFonts w:hint="eastAsia"/>
        </w:rPr>
        <w:t>单位预算单位构成</w:t>
      </w:r>
      <w:bookmarkEnd w:id="14"/>
      <w:bookmarkEnd w:id="15"/>
      <w:bookmarkEnd w:id="16"/>
      <w:bookmarkEnd w:id="17"/>
    </w:p>
    <w:p>
      <w:pPr>
        <w:bidi w:val="0"/>
        <w:rPr>
          <w:rFonts w:hint="eastAsia"/>
          <w:lang w:val="en-US" w:eastAsia="zh-CN"/>
        </w:rPr>
      </w:pPr>
      <w:r>
        <w:rPr>
          <w:rFonts w:hint="eastAsia"/>
          <w:lang w:val="en-US" w:eastAsia="zh-CN"/>
        </w:rPr>
        <w:t>资阳市雁江区疾病预防控制中心</w:t>
      </w:r>
      <w:r>
        <w:rPr>
          <w:rFonts w:hint="eastAsia"/>
        </w:rPr>
        <w:t>属</w:t>
      </w:r>
      <w:r>
        <w:rPr>
          <w:rFonts w:hint="eastAsia"/>
          <w:lang w:val="en-US" w:eastAsia="zh-CN"/>
        </w:rPr>
        <w:t>一</w:t>
      </w:r>
      <w:r>
        <w:rPr>
          <w:rFonts w:hint="eastAsia"/>
        </w:rPr>
        <w:t>级预算单位</w:t>
      </w:r>
      <w:r>
        <w:t>，</w:t>
      </w:r>
      <w:r>
        <w:rPr>
          <w:rFonts w:hint="eastAsia"/>
        </w:rPr>
        <w:t>下设科室</w:t>
      </w:r>
      <w:r>
        <w:rPr>
          <w:rFonts w:hint="eastAsia"/>
          <w:lang w:val="en-US" w:eastAsia="zh-CN"/>
        </w:rPr>
        <w:t>10</w:t>
      </w:r>
      <w:r>
        <w:t>个</w:t>
      </w:r>
      <w:r>
        <w:rPr>
          <w:rFonts w:hint="eastAsia"/>
        </w:rPr>
        <w:t>，主要包</w:t>
      </w:r>
      <w:r>
        <w:rPr>
          <w:rFonts w:hint="eastAsia"/>
          <w:lang w:val="en-US" w:eastAsia="zh-CN"/>
        </w:rPr>
        <w:t>括</w:t>
      </w:r>
      <w:r>
        <w:rPr>
          <w:rFonts w:hint="default"/>
          <w:lang w:val="en-US" w:eastAsia="zh-CN"/>
        </w:rPr>
        <w:t>办公室、财务科、后勤科</w:t>
      </w:r>
      <w:r>
        <w:rPr>
          <w:rFonts w:hint="eastAsia"/>
          <w:lang w:val="en-US" w:eastAsia="zh-CN"/>
        </w:rPr>
        <w:t>、</w:t>
      </w:r>
      <w:r>
        <w:rPr>
          <w:rFonts w:hint="default"/>
          <w:lang w:val="en-US" w:eastAsia="zh-CN"/>
        </w:rPr>
        <w:t>传染病综合防控科、卫生监测科、艾滋病防制科、免疫规划科、慢性非传染性疾病防制科、卫生检验科</w:t>
      </w:r>
      <w:r>
        <w:rPr>
          <w:rFonts w:hint="eastAsia"/>
          <w:lang w:val="en-US" w:eastAsia="zh-CN"/>
        </w:rPr>
        <w:t>和</w:t>
      </w:r>
      <w:r>
        <w:rPr>
          <w:rFonts w:hint="default"/>
          <w:lang w:val="en-US" w:eastAsia="zh-CN"/>
        </w:rPr>
        <w:t>质控科</w:t>
      </w:r>
      <w:r>
        <w:rPr>
          <w:rFonts w:hint="eastAsia"/>
          <w:lang w:val="en-US" w:eastAsia="zh-CN"/>
        </w:rPr>
        <w:t>。</w:t>
      </w:r>
    </w:p>
    <w:p>
      <w:pPr>
        <w:pStyle w:val="3"/>
        <w:numPr>
          <w:ilvl w:val="0"/>
          <w:numId w:val="1"/>
        </w:numPr>
        <w:bidi w:val="0"/>
      </w:pPr>
      <w:bookmarkStart w:id="18" w:name="_Toc26719"/>
      <w:bookmarkStart w:id="19" w:name="_Toc25792"/>
      <w:bookmarkStart w:id="20" w:name="_Toc7357"/>
      <w:bookmarkStart w:id="21" w:name="_Toc13803"/>
      <w:r>
        <w:t>收支预算情况</w:t>
      </w:r>
      <w:r>
        <w:rPr>
          <w:rFonts w:hint="eastAsia"/>
        </w:rPr>
        <w:t>说明</w:t>
      </w:r>
      <w:bookmarkEnd w:id="18"/>
      <w:bookmarkEnd w:id="19"/>
      <w:bookmarkEnd w:id="20"/>
      <w:bookmarkEnd w:id="21"/>
    </w:p>
    <w:p>
      <w:pPr>
        <w:bidi w:val="0"/>
        <w:rPr>
          <w:rFonts w:hint="default"/>
          <w:lang w:val="en-US" w:eastAsia="zh-CN"/>
        </w:rPr>
      </w:pPr>
      <w:r>
        <w:rPr>
          <w:rFonts w:hint="eastAsia"/>
        </w:rPr>
        <w:t>按照综合预算的原则，</w:t>
      </w:r>
      <w:r>
        <w:rPr>
          <w:rFonts w:hint="eastAsia"/>
          <w:lang w:val="en-US" w:eastAsia="zh-CN"/>
        </w:rPr>
        <w:t>资阳市雁江区疾病预防控制中心</w:t>
      </w:r>
      <w:r>
        <w:rPr>
          <w:rFonts w:hint="eastAsia"/>
        </w:rPr>
        <w:t>所有收入和支出均纳入单位预算管理。收入包括：一般公共预算拨款收入</w:t>
      </w:r>
      <w:r>
        <w:rPr>
          <w:rFonts w:hint="eastAsia"/>
          <w:lang w:eastAsia="zh-CN"/>
        </w:rPr>
        <w:t>；</w:t>
      </w:r>
      <w:r>
        <w:rPr>
          <w:rFonts w:hint="eastAsia"/>
        </w:rPr>
        <w:t>支出包括：社会保障和就业支出、卫生健康支出</w:t>
      </w:r>
      <w:r>
        <w:rPr>
          <w:rFonts w:hint="eastAsia"/>
          <w:lang w:eastAsia="zh-CN"/>
        </w:rPr>
        <w:t>、住房保障支出</w:t>
      </w:r>
      <w:r>
        <w:rPr>
          <w:rFonts w:hint="eastAsia"/>
        </w:rPr>
        <w:t>。</w:t>
      </w:r>
      <w:r>
        <w:rPr>
          <w:rFonts w:hint="eastAsia"/>
          <w:lang w:val="en-US" w:eastAsia="zh-CN"/>
        </w:rPr>
        <w:t>资阳市雁江区疾病预防控制中心</w:t>
      </w:r>
      <w:r>
        <w:rPr>
          <w:rFonts w:hint="eastAsia"/>
        </w:rPr>
        <w:t>20</w:t>
      </w:r>
      <w:r>
        <w:t>24</w:t>
      </w:r>
      <w:r>
        <w:rPr>
          <w:rFonts w:hint="eastAsia"/>
        </w:rPr>
        <w:t>年收支总预算</w:t>
      </w:r>
      <w:r>
        <w:rPr>
          <w:rFonts w:hint="eastAsia"/>
          <w:lang w:val="en-US" w:eastAsia="zh-CN"/>
        </w:rPr>
        <w:t>3763.66</w:t>
      </w:r>
      <w:r>
        <w:rPr>
          <w:rFonts w:hint="eastAsia"/>
        </w:rPr>
        <w:t>万元，比202</w:t>
      </w:r>
      <w:r>
        <w:t>3</w:t>
      </w:r>
      <w:r>
        <w:rPr>
          <w:rFonts w:hint="eastAsia"/>
        </w:rPr>
        <w:t>年收支预算总数</w:t>
      </w:r>
      <w:r>
        <w:rPr>
          <w:rFonts w:hint="eastAsia"/>
          <w:lang w:val="en-US" w:eastAsia="zh-CN"/>
        </w:rPr>
        <w:t>减少了5746.98</w:t>
      </w:r>
      <w:r>
        <w:rPr>
          <w:rFonts w:hint="eastAsia"/>
        </w:rPr>
        <w:t>万元，主要原因是202</w:t>
      </w:r>
      <w:r>
        <w:t>3</w:t>
      </w:r>
      <w:r>
        <w:rPr>
          <w:rFonts w:hint="eastAsia"/>
        </w:rPr>
        <w:t>年将自费性疫苗采购纳入预算，自费性疫苗采购项目2</w:t>
      </w:r>
      <w:r>
        <w:t>023</w:t>
      </w:r>
      <w:r>
        <w:rPr>
          <w:rFonts w:hint="eastAsia"/>
        </w:rPr>
        <w:t>年收支总预算为6</w:t>
      </w:r>
      <w:r>
        <w:t>000</w:t>
      </w:r>
      <w:r>
        <w:rPr>
          <w:rFonts w:hint="eastAsia"/>
        </w:rPr>
        <w:t>万元</w:t>
      </w:r>
      <w:r>
        <w:rPr>
          <w:rFonts w:hint="eastAsia"/>
          <w:lang w:eastAsia="zh-CN"/>
        </w:rPr>
        <w:t>，</w:t>
      </w:r>
      <w:r>
        <w:rPr>
          <w:rFonts w:hint="eastAsia"/>
          <w:lang w:val="en-US" w:eastAsia="zh-CN"/>
        </w:rPr>
        <w:t>2024年无此预算项目。</w:t>
      </w:r>
    </w:p>
    <w:p>
      <w:pPr>
        <w:pStyle w:val="4"/>
        <w:numPr>
          <w:ilvl w:val="0"/>
          <w:numId w:val="3"/>
        </w:numPr>
        <w:bidi w:val="0"/>
        <w:rPr>
          <w:rFonts w:hint="eastAsia"/>
        </w:rPr>
      </w:pPr>
      <w:bookmarkStart w:id="22" w:name="_Toc16237"/>
      <w:bookmarkStart w:id="23" w:name="_Toc31124"/>
      <w:bookmarkStart w:id="24" w:name="_Toc2972"/>
      <w:bookmarkStart w:id="25" w:name="_Toc32568"/>
      <w:r>
        <w:rPr>
          <w:rFonts w:hint="eastAsia"/>
        </w:rPr>
        <w:t>收入预算情况</w:t>
      </w:r>
      <w:bookmarkEnd w:id="22"/>
      <w:bookmarkEnd w:id="23"/>
      <w:bookmarkEnd w:id="24"/>
      <w:bookmarkEnd w:id="25"/>
    </w:p>
    <w:p>
      <w:pPr>
        <w:bidi w:val="0"/>
      </w:pPr>
      <w:r>
        <w:rPr>
          <w:rFonts w:hint="eastAsia"/>
        </w:rPr>
        <w:t>资阳市雁江区疾病预防控制中心</w:t>
      </w:r>
      <w:r>
        <w:t>202</w:t>
      </w:r>
      <w:r>
        <w:rPr>
          <w:rFonts w:hint="eastAsia"/>
          <w:lang w:val="en-US" w:eastAsia="zh-CN"/>
        </w:rPr>
        <w:t>4</w:t>
      </w:r>
      <w:r>
        <w:t>年收入预算</w:t>
      </w:r>
      <w:r>
        <w:rPr>
          <w:rFonts w:hint="eastAsia"/>
          <w:lang w:val="en-US" w:eastAsia="zh-CN"/>
        </w:rPr>
        <w:t>1881.83</w:t>
      </w:r>
      <w:r>
        <w:t>万元，其中：</w:t>
      </w:r>
      <w:r>
        <w:rPr>
          <w:rFonts w:hint="eastAsia"/>
        </w:rPr>
        <w:t>一般公共预算</w:t>
      </w:r>
      <w:r>
        <w:t>拨款收入</w:t>
      </w:r>
      <w:r>
        <w:rPr>
          <w:rFonts w:hint="eastAsia"/>
        </w:rPr>
        <w:t>1881.83</w:t>
      </w:r>
      <w:r>
        <w:t>万元</w:t>
      </w:r>
      <w:r>
        <w:rPr>
          <w:rFonts w:hint="eastAsia"/>
        </w:rPr>
        <w:t>，占100%</w:t>
      </w:r>
      <w:r>
        <w:t>。</w:t>
      </w:r>
    </w:p>
    <w:p>
      <w:pPr>
        <w:pStyle w:val="4"/>
        <w:numPr>
          <w:ilvl w:val="0"/>
          <w:numId w:val="3"/>
        </w:numPr>
        <w:bidi w:val="0"/>
        <w:rPr>
          <w:rFonts w:hint="eastAsia"/>
        </w:rPr>
      </w:pPr>
      <w:bookmarkStart w:id="26" w:name="_Toc17234"/>
      <w:bookmarkStart w:id="27" w:name="_Toc14619"/>
      <w:bookmarkStart w:id="28" w:name="_Toc25688"/>
      <w:bookmarkStart w:id="29" w:name="_Toc18036"/>
      <w:r>
        <w:rPr>
          <w:rFonts w:hint="eastAsia"/>
        </w:rPr>
        <w:t>支出预算情况</w:t>
      </w:r>
      <w:bookmarkEnd w:id="26"/>
      <w:bookmarkEnd w:id="27"/>
      <w:bookmarkEnd w:id="28"/>
      <w:bookmarkEnd w:id="29"/>
    </w:p>
    <w:p>
      <w:pPr>
        <w:bidi w:val="0"/>
        <w:rPr>
          <w:rFonts w:hint="eastAsia"/>
        </w:rPr>
      </w:pPr>
      <w:r>
        <w:rPr>
          <w:rFonts w:hint="eastAsia"/>
        </w:rPr>
        <w:t>资阳市雁江区疾病预防控制中心</w:t>
      </w:r>
      <w:r>
        <w:t>202</w:t>
      </w:r>
      <w:r>
        <w:rPr>
          <w:rFonts w:hint="eastAsia"/>
          <w:lang w:val="en-US" w:eastAsia="zh-CN"/>
        </w:rPr>
        <w:t>4</w:t>
      </w:r>
      <w:r>
        <w:t>年支出预算</w:t>
      </w:r>
      <w:r>
        <w:rPr>
          <w:rFonts w:hint="eastAsia"/>
        </w:rPr>
        <w:t>1881.83</w:t>
      </w:r>
      <w:r>
        <w:t>万元，其中</w:t>
      </w:r>
      <w:r>
        <w:rPr>
          <w:rFonts w:hint="eastAsia"/>
        </w:rPr>
        <w:t>：基本支出1392.6</w:t>
      </w:r>
      <w:r>
        <w:rPr>
          <w:rFonts w:hint="eastAsia"/>
          <w:lang w:val="en-US" w:eastAsia="zh-CN"/>
        </w:rPr>
        <w:t>5</w:t>
      </w:r>
      <w:r>
        <w:rPr>
          <w:rFonts w:hint="eastAsia"/>
        </w:rPr>
        <w:t>万元，占</w:t>
      </w:r>
      <w:r>
        <w:rPr>
          <w:rFonts w:hint="eastAsia"/>
          <w:lang w:val="en-US" w:eastAsia="zh-CN"/>
        </w:rPr>
        <w:t>74</w:t>
      </w:r>
      <w:r>
        <w:rPr>
          <w:rFonts w:hint="eastAsia"/>
        </w:rPr>
        <w:t>%；项目支出489.18万元，占</w:t>
      </w:r>
      <w:r>
        <w:rPr>
          <w:rFonts w:hint="eastAsia"/>
          <w:lang w:val="en-US" w:eastAsia="zh-CN"/>
        </w:rPr>
        <w:t>26</w:t>
      </w:r>
      <w:r>
        <w:rPr>
          <w:rFonts w:hint="eastAsia"/>
        </w:rPr>
        <w:t>%。</w:t>
      </w:r>
    </w:p>
    <w:p>
      <w:pPr>
        <w:pStyle w:val="3"/>
        <w:numPr>
          <w:ilvl w:val="0"/>
          <w:numId w:val="1"/>
        </w:numPr>
        <w:bidi w:val="0"/>
        <w:rPr>
          <w:rFonts w:hint="eastAsia"/>
        </w:rPr>
      </w:pPr>
      <w:bookmarkStart w:id="30" w:name="_Toc7362"/>
      <w:bookmarkStart w:id="31" w:name="_Toc2712"/>
      <w:bookmarkStart w:id="32" w:name="_Toc31079"/>
      <w:bookmarkStart w:id="33" w:name="_Toc5606"/>
      <w:r>
        <w:rPr>
          <w:rFonts w:hint="eastAsia"/>
        </w:rPr>
        <w:t>财政拨款收支预算情况说明</w:t>
      </w:r>
      <w:bookmarkEnd w:id="30"/>
      <w:bookmarkEnd w:id="31"/>
      <w:bookmarkEnd w:id="32"/>
      <w:bookmarkEnd w:id="33"/>
    </w:p>
    <w:p>
      <w:pPr>
        <w:bidi w:val="0"/>
        <w:rPr>
          <w:rFonts w:hint="default"/>
          <w:lang w:val="en-US" w:eastAsia="zh-CN"/>
        </w:rPr>
      </w:pPr>
      <w:r>
        <w:rPr>
          <w:rFonts w:hint="eastAsia"/>
        </w:rPr>
        <w:t>资阳市雁江区疾病预防控制中心20</w:t>
      </w:r>
      <w:r>
        <w:t>24</w:t>
      </w:r>
      <w:r>
        <w:rPr>
          <w:rFonts w:hint="eastAsia"/>
        </w:rPr>
        <w:t>年收支总预算</w:t>
      </w:r>
      <w:r>
        <w:rPr>
          <w:rFonts w:hint="eastAsia"/>
          <w:lang w:val="en-US" w:eastAsia="zh-CN"/>
        </w:rPr>
        <w:t>3763.66</w:t>
      </w:r>
      <w:r>
        <w:rPr>
          <w:rFonts w:hint="eastAsia"/>
        </w:rPr>
        <w:t>万元，比202</w:t>
      </w:r>
      <w:r>
        <w:t>3</w:t>
      </w:r>
      <w:r>
        <w:rPr>
          <w:rFonts w:hint="eastAsia"/>
        </w:rPr>
        <w:t>年收支预算总数</w:t>
      </w:r>
      <w:r>
        <w:rPr>
          <w:rFonts w:hint="eastAsia"/>
          <w:lang w:val="en-US" w:eastAsia="zh-CN"/>
        </w:rPr>
        <w:t>减少了5746.98</w:t>
      </w:r>
      <w:r>
        <w:rPr>
          <w:rFonts w:hint="eastAsia"/>
        </w:rPr>
        <w:t>万元，主要原因是202</w:t>
      </w:r>
      <w:r>
        <w:t>3</w:t>
      </w:r>
      <w:r>
        <w:rPr>
          <w:rFonts w:hint="eastAsia"/>
        </w:rPr>
        <w:t>年将自费性疫苗采购纳入预算，自费性疫苗采购项目2</w:t>
      </w:r>
      <w:r>
        <w:t>023</w:t>
      </w:r>
      <w:r>
        <w:rPr>
          <w:rFonts w:hint="eastAsia"/>
        </w:rPr>
        <w:t>年收支总预算为6</w:t>
      </w:r>
      <w:r>
        <w:t>000</w:t>
      </w:r>
      <w:r>
        <w:rPr>
          <w:rFonts w:hint="eastAsia"/>
        </w:rPr>
        <w:t>万元</w:t>
      </w:r>
      <w:r>
        <w:rPr>
          <w:rFonts w:hint="eastAsia"/>
          <w:lang w:eastAsia="zh-CN"/>
        </w:rPr>
        <w:t>，</w:t>
      </w:r>
      <w:r>
        <w:rPr>
          <w:rFonts w:hint="eastAsia"/>
          <w:lang w:val="en-US" w:eastAsia="zh-CN"/>
        </w:rPr>
        <w:t>2024年无此预算项目。</w:t>
      </w:r>
    </w:p>
    <w:p>
      <w:pPr>
        <w:bidi w:val="0"/>
        <w:rPr>
          <w:rFonts w:hint="eastAsia"/>
        </w:rPr>
      </w:pPr>
      <w:r>
        <w:rPr>
          <w:rFonts w:hint="eastAsia"/>
        </w:rPr>
        <w:t>收入包括：本年一般公共预算拨款收入</w:t>
      </w:r>
      <w:r>
        <w:rPr>
          <w:rFonts w:hint="eastAsia"/>
          <w:lang w:val="en-US" w:eastAsia="zh-CN"/>
        </w:rPr>
        <w:t>1881.83</w:t>
      </w:r>
      <w:r>
        <w:rPr>
          <w:rFonts w:hint="eastAsia"/>
        </w:rPr>
        <w:t>万元；支出包括：社会保障和就业支出152.3</w:t>
      </w:r>
      <w:r>
        <w:rPr>
          <w:rFonts w:hint="eastAsia"/>
          <w:lang w:val="en-US" w:eastAsia="zh-CN"/>
        </w:rPr>
        <w:t>5</w:t>
      </w:r>
      <w:r>
        <w:rPr>
          <w:rFonts w:hint="eastAsia"/>
        </w:rPr>
        <w:t>万元，占</w:t>
      </w:r>
      <w:r>
        <w:rPr>
          <w:rFonts w:hint="eastAsia"/>
          <w:lang w:val="en-US" w:eastAsia="zh-CN"/>
        </w:rPr>
        <w:t>8.1</w:t>
      </w:r>
      <w:r>
        <w:t>%</w:t>
      </w:r>
      <w:r>
        <w:rPr>
          <w:rFonts w:hint="eastAsia"/>
        </w:rPr>
        <w:t>；卫生健康支出1608.</w:t>
      </w:r>
      <w:r>
        <w:rPr>
          <w:rFonts w:hint="eastAsia"/>
          <w:lang w:val="en-US" w:eastAsia="zh-CN"/>
        </w:rPr>
        <w:t>20</w:t>
      </w:r>
      <w:r>
        <w:rPr>
          <w:rFonts w:hint="eastAsia"/>
        </w:rPr>
        <w:t>万元，占</w:t>
      </w:r>
      <w:r>
        <w:rPr>
          <w:rFonts w:hint="eastAsia"/>
          <w:lang w:val="en-US" w:eastAsia="zh-CN"/>
        </w:rPr>
        <w:t>85.5</w:t>
      </w:r>
      <w:r>
        <w:rPr>
          <w:rFonts w:hint="eastAsia"/>
        </w:rPr>
        <w:t>%；住房保障支出121.28万元，占</w:t>
      </w:r>
      <w:r>
        <w:rPr>
          <w:rFonts w:hint="eastAsia"/>
          <w:lang w:val="en-US" w:eastAsia="zh-CN"/>
        </w:rPr>
        <w:t>6.4</w:t>
      </w:r>
      <w:r>
        <w:t>%</w:t>
      </w:r>
      <w:r>
        <w:rPr>
          <w:rFonts w:hint="eastAsia"/>
        </w:rPr>
        <w:t>。</w:t>
      </w:r>
    </w:p>
    <w:p>
      <w:pPr>
        <w:pStyle w:val="3"/>
        <w:numPr>
          <w:ilvl w:val="0"/>
          <w:numId w:val="1"/>
        </w:numPr>
        <w:bidi w:val="0"/>
        <w:rPr>
          <w:rFonts w:hint="eastAsia"/>
        </w:rPr>
      </w:pPr>
      <w:bookmarkStart w:id="34" w:name="_Toc2183"/>
      <w:bookmarkStart w:id="35" w:name="_Toc22294"/>
      <w:bookmarkStart w:id="36" w:name="_Toc31632"/>
      <w:bookmarkStart w:id="37" w:name="_Toc1957"/>
      <w:r>
        <w:rPr>
          <w:rFonts w:hint="eastAsia"/>
        </w:rPr>
        <w:t>一般公共预算当年拨款情况说明</w:t>
      </w:r>
      <w:bookmarkEnd w:id="34"/>
      <w:bookmarkEnd w:id="35"/>
      <w:bookmarkEnd w:id="36"/>
      <w:bookmarkEnd w:id="37"/>
    </w:p>
    <w:p>
      <w:pPr>
        <w:pStyle w:val="4"/>
        <w:numPr>
          <w:ilvl w:val="0"/>
          <w:numId w:val="4"/>
        </w:numPr>
        <w:bidi w:val="0"/>
        <w:rPr>
          <w:rFonts w:hint="eastAsia"/>
        </w:rPr>
      </w:pPr>
      <w:bookmarkStart w:id="38" w:name="_Toc23918"/>
      <w:bookmarkStart w:id="39" w:name="_Toc12404"/>
      <w:bookmarkStart w:id="40" w:name="_Toc32161"/>
      <w:bookmarkStart w:id="41" w:name="_Toc11695"/>
      <w:r>
        <w:rPr>
          <w:rFonts w:hint="eastAsia"/>
        </w:rPr>
        <w:t>一般公共预算当年拨款规模变化情况</w:t>
      </w:r>
      <w:bookmarkEnd w:id="38"/>
      <w:bookmarkEnd w:id="39"/>
      <w:bookmarkEnd w:id="40"/>
      <w:bookmarkEnd w:id="41"/>
    </w:p>
    <w:p>
      <w:pPr>
        <w:bidi w:val="0"/>
        <w:rPr>
          <w:rFonts w:hint="eastAsia"/>
        </w:rPr>
      </w:pPr>
      <w:r>
        <w:rPr>
          <w:rFonts w:hint="eastAsia"/>
        </w:rPr>
        <w:t>资阳市雁江区疾病预防控制中心20</w:t>
      </w:r>
      <w:r>
        <w:t>24</w:t>
      </w:r>
      <w:r>
        <w:rPr>
          <w:rFonts w:hint="eastAsia"/>
        </w:rPr>
        <w:t>年一般公共预算当年拨款</w:t>
      </w:r>
      <w:r>
        <w:rPr>
          <w:rFonts w:hint="eastAsia"/>
          <w:lang w:val="en-US" w:eastAsia="zh-CN"/>
        </w:rPr>
        <w:t>1881.83</w:t>
      </w:r>
      <w:r>
        <w:rPr>
          <w:rFonts w:hint="eastAsia"/>
        </w:rPr>
        <w:t>万元，比202</w:t>
      </w:r>
      <w:r>
        <w:t>3</w:t>
      </w:r>
      <w:r>
        <w:rPr>
          <w:rFonts w:hint="eastAsia"/>
        </w:rPr>
        <w:t>年预算数</w:t>
      </w:r>
      <w:r>
        <w:rPr>
          <w:rFonts w:hint="eastAsia"/>
          <w:lang w:val="en-US" w:eastAsia="zh-CN"/>
        </w:rPr>
        <w:t>减少2873.49</w:t>
      </w:r>
      <w:r>
        <w:rPr>
          <w:rFonts w:hint="eastAsia"/>
        </w:rPr>
        <w:t>万元。主要原因是202</w:t>
      </w:r>
      <w:r>
        <w:t>3</w:t>
      </w:r>
      <w:r>
        <w:rPr>
          <w:rFonts w:hint="eastAsia"/>
        </w:rPr>
        <w:t>年将自费性疫苗采购纳入预算，自费性疫苗采购项目2</w:t>
      </w:r>
      <w:r>
        <w:t>023</w:t>
      </w:r>
      <w:r>
        <w:rPr>
          <w:rFonts w:hint="eastAsia"/>
        </w:rPr>
        <w:t>年一般公共预算当年拨款为</w:t>
      </w:r>
      <w:r>
        <w:rPr>
          <w:rFonts w:hint="eastAsia"/>
          <w:lang w:val="en-US" w:eastAsia="zh-CN"/>
        </w:rPr>
        <w:t>3000</w:t>
      </w:r>
      <w:r>
        <w:rPr>
          <w:rFonts w:hint="eastAsia"/>
        </w:rPr>
        <w:t>万元</w:t>
      </w:r>
      <w:r>
        <w:rPr>
          <w:rFonts w:hint="eastAsia"/>
          <w:lang w:eastAsia="zh-CN"/>
        </w:rPr>
        <w:t>，</w:t>
      </w:r>
      <w:r>
        <w:rPr>
          <w:rFonts w:hint="eastAsia"/>
          <w:lang w:val="en-US" w:eastAsia="zh-CN"/>
        </w:rPr>
        <w:t>2024年无此预算项目</w:t>
      </w:r>
      <w:r>
        <w:rPr>
          <w:rFonts w:hint="eastAsia"/>
        </w:rPr>
        <w:t>。截至目前，202</w:t>
      </w:r>
      <w:r>
        <w:rPr>
          <w:rFonts w:hint="eastAsia"/>
          <w:lang w:val="en-US" w:eastAsia="zh-CN"/>
        </w:rPr>
        <w:t>4</w:t>
      </w:r>
      <w:r>
        <w:rPr>
          <w:rFonts w:hint="eastAsia"/>
        </w:rPr>
        <w:t>年尚未追加预算。</w:t>
      </w:r>
    </w:p>
    <w:p>
      <w:pPr>
        <w:pStyle w:val="4"/>
        <w:numPr>
          <w:ilvl w:val="0"/>
          <w:numId w:val="4"/>
        </w:numPr>
        <w:bidi w:val="0"/>
        <w:rPr>
          <w:rFonts w:hint="eastAsia"/>
          <w:lang w:val="en-US" w:eastAsia="zh-CN"/>
        </w:rPr>
      </w:pPr>
      <w:bookmarkStart w:id="42" w:name="_Toc8592"/>
      <w:bookmarkStart w:id="43" w:name="_Toc19605"/>
      <w:bookmarkStart w:id="44" w:name="_Toc10582"/>
      <w:bookmarkStart w:id="45" w:name="_Toc20278"/>
      <w:r>
        <w:rPr>
          <w:rFonts w:hint="eastAsia"/>
        </w:rPr>
        <w:t>一般公共预算当年拨款结构情况</w:t>
      </w:r>
      <w:bookmarkEnd w:id="42"/>
      <w:bookmarkEnd w:id="43"/>
      <w:bookmarkEnd w:id="44"/>
      <w:bookmarkEnd w:id="45"/>
    </w:p>
    <w:p>
      <w:pPr>
        <w:bidi w:val="0"/>
      </w:pPr>
      <w:r>
        <w:rPr>
          <w:rFonts w:hint="eastAsia"/>
        </w:rPr>
        <w:t>社会保障和就业支出152.3</w:t>
      </w:r>
      <w:r>
        <w:rPr>
          <w:rFonts w:hint="eastAsia"/>
          <w:lang w:val="en-US" w:eastAsia="zh-CN"/>
        </w:rPr>
        <w:t>5</w:t>
      </w:r>
      <w:r>
        <w:rPr>
          <w:rFonts w:hint="eastAsia"/>
        </w:rPr>
        <w:t>万元，占</w:t>
      </w:r>
      <w:r>
        <w:rPr>
          <w:rFonts w:hint="eastAsia"/>
          <w:lang w:val="en-US" w:eastAsia="zh-CN"/>
        </w:rPr>
        <w:t>8.1</w:t>
      </w:r>
      <w:r>
        <w:t>%</w:t>
      </w:r>
      <w:r>
        <w:rPr>
          <w:rFonts w:hint="eastAsia"/>
        </w:rPr>
        <w:t>；卫生健康支出1608.</w:t>
      </w:r>
      <w:r>
        <w:rPr>
          <w:rFonts w:hint="eastAsia"/>
          <w:lang w:val="en-US" w:eastAsia="zh-CN"/>
        </w:rPr>
        <w:t>20</w:t>
      </w:r>
      <w:r>
        <w:rPr>
          <w:rFonts w:hint="eastAsia"/>
        </w:rPr>
        <w:t>万元，占</w:t>
      </w:r>
      <w:r>
        <w:rPr>
          <w:rFonts w:hint="eastAsia"/>
          <w:lang w:val="en-US" w:eastAsia="zh-CN"/>
        </w:rPr>
        <w:t>85.5</w:t>
      </w:r>
      <w:r>
        <w:rPr>
          <w:rFonts w:hint="eastAsia"/>
        </w:rPr>
        <w:t>%；住房保障支出121.28万元，占</w:t>
      </w:r>
      <w:r>
        <w:rPr>
          <w:rFonts w:hint="eastAsia"/>
          <w:lang w:val="en-US" w:eastAsia="zh-CN"/>
        </w:rPr>
        <w:t>6.4</w:t>
      </w:r>
      <w:r>
        <w:t>%</w:t>
      </w:r>
      <w:r>
        <w:rPr>
          <w:rFonts w:hint="eastAsia"/>
        </w:rPr>
        <w:t>。</w:t>
      </w:r>
    </w:p>
    <w:p>
      <w:pPr>
        <w:pStyle w:val="4"/>
        <w:numPr>
          <w:ilvl w:val="0"/>
          <w:numId w:val="4"/>
        </w:numPr>
        <w:bidi w:val="0"/>
        <w:rPr>
          <w:rFonts w:hint="eastAsia"/>
        </w:rPr>
      </w:pPr>
      <w:bookmarkStart w:id="46" w:name="_Toc21458"/>
      <w:bookmarkStart w:id="47" w:name="_Toc3849"/>
      <w:bookmarkStart w:id="48" w:name="_Toc12658"/>
      <w:bookmarkStart w:id="49" w:name="_Toc29762"/>
      <w:r>
        <w:rPr>
          <w:rFonts w:hint="eastAsia"/>
        </w:rPr>
        <w:t>一般公共预算当年拨款具体使用情况</w:t>
      </w:r>
      <w:bookmarkEnd w:id="46"/>
      <w:bookmarkEnd w:id="47"/>
      <w:bookmarkEnd w:id="48"/>
      <w:bookmarkEnd w:id="49"/>
    </w:p>
    <w:p>
      <w:pPr>
        <w:bidi w:val="0"/>
      </w:pPr>
      <w:r>
        <w:t>1.</w:t>
      </w:r>
      <w:r>
        <w:rPr>
          <w:rFonts w:hint="eastAsia"/>
        </w:rPr>
        <w:t xml:space="preserve"> </w:t>
      </w:r>
      <w:r>
        <w:t>社会保障和就业（类）行政事业单位</w:t>
      </w:r>
      <w:r>
        <w:rPr>
          <w:rFonts w:hint="eastAsia"/>
        </w:rPr>
        <w:t>养老</w:t>
      </w:r>
      <w:r>
        <w:t>支出（款）</w:t>
      </w:r>
      <w:r>
        <w:rPr>
          <w:rFonts w:hint="eastAsia"/>
        </w:rPr>
        <w:t>机关事业单位基本养老保险缴费支出</w:t>
      </w:r>
      <w:r>
        <w:t>（项）202</w:t>
      </w:r>
      <w:r>
        <w:rPr>
          <w:rFonts w:hint="eastAsia"/>
          <w:lang w:val="en-US" w:eastAsia="zh-CN"/>
        </w:rPr>
        <w:t>4</w:t>
      </w:r>
      <w:r>
        <w:t>年预算数为</w:t>
      </w:r>
      <w:r>
        <w:rPr>
          <w:rFonts w:hint="eastAsia"/>
        </w:rPr>
        <w:t>145.3</w:t>
      </w:r>
      <w:r>
        <w:rPr>
          <w:rFonts w:hint="eastAsia"/>
          <w:lang w:val="en-US" w:eastAsia="zh-CN"/>
        </w:rPr>
        <w:t>3</w:t>
      </w:r>
      <w:r>
        <w:t>万元，</w:t>
      </w:r>
      <w:r>
        <w:rPr>
          <w:rFonts w:hint="eastAsia"/>
        </w:rPr>
        <w:t>用于单位缴纳的基本养老保险支出</w:t>
      </w:r>
      <w:r>
        <w:t>。</w:t>
      </w:r>
    </w:p>
    <w:p>
      <w:pPr>
        <w:bidi w:val="0"/>
      </w:pPr>
      <w:r>
        <w:rPr>
          <w:rFonts w:hint="eastAsia"/>
        </w:rPr>
        <w:t>2.</w:t>
      </w:r>
      <w:r>
        <w:t>社会保障和就业（类）</w:t>
      </w:r>
      <w:r>
        <w:rPr>
          <w:rFonts w:hint="eastAsia"/>
        </w:rPr>
        <w:t>其他社会保障和就业支出</w:t>
      </w:r>
      <w:r>
        <w:t>（款）</w:t>
      </w:r>
      <w:r>
        <w:rPr>
          <w:rFonts w:hint="eastAsia"/>
        </w:rPr>
        <w:t>其他社会保障缴费</w:t>
      </w:r>
      <w:r>
        <w:t>（项）202</w:t>
      </w:r>
      <w:r>
        <w:rPr>
          <w:rFonts w:hint="eastAsia"/>
          <w:lang w:val="en-US" w:eastAsia="zh-CN"/>
        </w:rPr>
        <w:t>4</w:t>
      </w:r>
      <w:r>
        <w:t>年预算数为</w:t>
      </w:r>
      <w:r>
        <w:rPr>
          <w:rFonts w:hint="eastAsia"/>
        </w:rPr>
        <w:t>7.02</w:t>
      </w:r>
      <w:r>
        <w:t>万元，</w:t>
      </w:r>
      <w:r>
        <w:rPr>
          <w:rFonts w:hint="eastAsia"/>
        </w:rPr>
        <w:t>用于单位缴纳的事业工伤保险和失业保险支出</w:t>
      </w:r>
      <w:r>
        <w:t>。</w:t>
      </w:r>
    </w:p>
    <w:p>
      <w:pPr>
        <w:bidi w:val="0"/>
      </w:pPr>
      <w:r>
        <w:rPr>
          <w:rFonts w:hint="eastAsia"/>
        </w:rPr>
        <w:t>3.卫生健康支出（类）行政事业单位医疗</w:t>
      </w:r>
      <w:r>
        <w:t>（款）</w:t>
      </w:r>
      <w:r>
        <w:rPr>
          <w:rFonts w:hint="eastAsia"/>
        </w:rPr>
        <w:t>事业单位医疗</w:t>
      </w:r>
      <w:r>
        <w:t>（项）202</w:t>
      </w:r>
      <w:r>
        <w:rPr>
          <w:rFonts w:hint="eastAsia"/>
          <w:lang w:val="en-US" w:eastAsia="zh-CN"/>
        </w:rPr>
        <w:t>4</w:t>
      </w:r>
      <w:r>
        <w:t>年预算数为</w:t>
      </w:r>
      <w:r>
        <w:rPr>
          <w:rFonts w:hint="eastAsia"/>
        </w:rPr>
        <w:t>51.3</w:t>
      </w:r>
      <w:r>
        <w:rPr>
          <w:rFonts w:hint="eastAsia"/>
          <w:lang w:val="en-US" w:eastAsia="zh-CN"/>
        </w:rPr>
        <w:t>8</w:t>
      </w:r>
      <w:r>
        <w:t>万元</w:t>
      </w:r>
      <w:r>
        <w:rPr>
          <w:rFonts w:hint="eastAsia"/>
        </w:rPr>
        <w:t>，用于单位缴纳的基本医疗保险支出。</w:t>
      </w:r>
    </w:p>
    <w:p>
      <w:pPr>
        <w:bidi w:val="0"/>
      </w:pPr>
      <w:r>
        <w:rPr>
          <w:rFonts w:hint="eastAsia"/>
          <w:lang w:val="en-US" w:eastAsia="zh-CN"/>
        </w:rPr>
        <w:t>4</w:t>
      </w:r>
      <w:r>
        <w:rPr>
          <w:rFonts w:hint="eastAsia"/>
        </w:rPr>
        <w:t>.卫生健康支出（类）行政事业单位医疗</w:t>
      </w:r>
      <w:r>
        <w:t>（款）</w:t>
      </w:r>
      <w:r>
        <w:rPr>
          <w:rFonts w:hint="eastAsia"/>
        </w:rPr>
        <w:t>公务员医疗补助（事业）</w:t>
      </w:r>
      <w:r>
        <w:t>（项）202</w:t>
      </w:r>
      <w:r>
        <w:rPr>
          <w:rFonts w:hint="eastAsia"/>
          <w:lang w:val="en-US" w:eastAsia="zh-CN"/>
        </w:rPr>
        <w:t>4</w:t>
      </w:r>
      <w:r>
        <w:t>年预算数为</w:t>
      </w:r>
      <w:r>
        <w:rPr>
          <w:rFonts w:hint="eastAsia"/>
          <w:lang w:val="en-US" w:eastAsia="zh-CN"/>
        </w:rPr>
        <w:t>12.29</w:t>
      </w:r>
      <w:r>
        <w:t>万元</w:t>
      </w:r>
      <w:r>
        <w:rPr>
          <w:rFonts w:hint="eastAsia"/>
        </w:rPr>
        <w:t>，用于单位缴纳的公务员医疗补助（事业）支出。</w:t>
      </w:r>
    </w:p>
    <w:p>
      <w:pPr>
        <w:bidi w:val="0"/>
      </w:pPr>
      <w:r>
        <w:rPr>
          <w:rFonts w:hint="eastAsia"/>
          <w:lang w:val="en-US" w:eastAsia="zh-CN"/>
        </w:rPr>
        <w:t>5</w:t>
      </w:r>
      <w:r>
        <w:rPr>
          <w:rFonts w:hint="eastAsia"/>
        </w:rPr>
        <w:t>.卫生健康支出（类）公共卫生</w:t>
      </w:r>
      <w:r>
        <w:t>（款）</w:t>
      </w:r>
      <w:r>
        <w:rPr>
          <w:rFonts w:hint="eastAsia"/>
        </w:rPr>
        <w:t>疾病预防控制机构</w:t>
      </w:r>
      <w:r>
        <w:t>（项）202</w:t>
      </w:r>
      <w:r>
        <w:rPr>
          <w:rFonts w:hint="eastAsia"/>
          <w:lang w:val="en-US" w:eastAsia="zh-CN"/>
        </w:rPr>
        <w:t>4</w:t>
      </w:r>
      <w:r>
        <w:t>年预算数为</w:t>
      </w:r>
      <w:r>
        <w:rPr>
          <w:rFonts w:hint="eastAsia"/>
          <w:lang w:val="en-US" w:eastAsia="zh-CN"/>
        </w:rPr>
        <w:t>1544.53</w:t>
      </w:r>
      <w:r>
        <w:t>万元</w:t>
      </w:r>
      <w:r>
        <w:rPr>
          <w:rFonts w:hint="eastAsia"/>
        </w:rPr>
        <w:t>，用于单位日常运行维护、突发公共卫生事件处理、疾病预防控制、艾滋病防治、预防接种服务及疫苗冷链运转、取消收费项目服务等支出。</w:t>
      </w:r>
    </w:p>
    <w:p>
      <w:pPr>
        <w:bidi w:val="0"/>
      </w:pPr>
      <w:r>
        <w:rPr>
          <w:rFonts w:hint="eastAsia"/>
          <w:lang w:val="en-US" w:eastAsia="zh-CN"/>
        </w:rPr>
        <w:t>6</w:t>
      </w:r>
      <w:r>
        <w:rPr>
          <w:rFonts w:hint="eastAsia"/>
        </w:rPr>
        <w:t>.</w:t>
      </w:r>
      <w:r>
        <w:t>住房保障（类）住房改革支出（款）住房公积金（项）</w:t>
      </w:r>
      <w:r>
        <w:rPr>
          <w:rFonts w:hint="eastAsia"/>
        </w:rPr>
        <w:t>：</w:t>
      </w:r>
      <w:r>
        <w:t>2023年预算数为</w:t>
      </w:r>
      <w:r>
        <w:rPr>
          <w:rFonts w:hint="eastAsia"/>
          <w:lang w:val="en-US" w:eastAsia="zh-CN"/>
        </w:rPr>
        <w:t>121.28</w:t>
      </w:r>
      <w:r>
        <w:t>万元，主要用于：</w:t>
      </w:r>
      <w:r>
        <w:rPr>
          <w:rFonts w:hint="eastAsia"/>
        </w:rPr>
        <w:t>单位</w:t>
      </w:r>
      <w:r>
        <w:t>按人力资源和社会保障部、财政部规定的基本工资和津贴补贴以及规定比例为职工缴纳的住房公积金支出。</w:t>
      </w:r>
    </w:p>
    <w:p>
      <w:pPr>
        <w:pStyle w:val="3"/>
        <w:numPr>
          <w:ilvl w:val="0"/>
          <w:numId w:val="1"/>
        </w:numPr>
        <w:bidi w:val="0"/>
        <w:rPr>
          <w:rFonts w:hint="eastAsia"/>
        </w:rPr>
      </w:pPr>
      <w:bookmarkStart w:id="50" w:name="_Toc27341"/>
      <w:bookmarkStart w:id="51" w:name="_Toc19835"/>
      <w:bookmarkStart w:id="52" w:name="_Toc1098"/>
      <w:bookmarkStart w:id="53" w:name="_Toc12950"/>
      <w:r>
        <w:rPr>
          <w:rFonts w:hint="eastAsia"/>
        </w:rPr>
        <w:t>一般公共预算基本支出情况说明</w:t>
      </w:r>
      <w:bookmarkEnd w:id="50"/>
      <w:bookmarkEnd w:id="51"/>
      <w:bookmarkEnd w:id="52"/>
      <w:bookmarkEnd w:id="53"/>
    </w:p>
    <w:p>
      <w:pPr>
        <w:bidi w:val="0"/>
      </w:pPr>
      <w:r>
        <w:rPr>
          <w:rFonts w:hint="eastAsia"/>
        </w:rPr>
        <w:t>资阳市雁江区疾病预防控制中心20</w:t>
      </w:r>
      <w:r>
        <w:t>2</w:t>
      </w:r>
      <w:r>
        <w:rPr>
          <w:rFonts w:hint="eastAsia"/>
          <w:lang w:val="en-US" w:eastAsia="zh-CN"/>
        </w:rPr>
        <w:t>4</w:t>
      </w:r>
      <w:r>
        <w:rPr>
          <w:rFonts w:hint="eastAsia"/>
        </w:rPr>
        <w:t>年一般公共预算基本支出</w:t>
      </w:r>
      <w:r>
        <w:rPr>
          <w:rFonts w:hint="eastAsia"/>
          <w:lang w:val="en-US" w:eastAsia="zh-CN"/>
        </w:rPr>
        <w:t>1395.65</w:t>
      </w:r>
      <w:r>
        <w:rPr>
          <w:rFonts w:hint="eastAsia"/>
        </w:rPr>
        <w:t>万元，其中：</w:t>
      </w:r>
    </w:p>
    <w:p>
      <w:pPr>
        <w:bidi w:val="0"/>
      </w:pPr>
      <w:r>
        <w:rPr>
          <w:rFonts w:hint="eastAsia"/>
        </w:rPr>
        <w:t>人员经费1246.43万元，主要包括：基本工资、津贴补贴、奖金、社会保险缴费等。</w:t>
      </w:r>
    </w:p>
    <w:p>
      <w:pPr>
        <w:bidi w:val="0"/>
        <w:rPr>
          <w:rFonts w:hint="eastAsia"/>
          <w:lang w:eastAsia="zh-CN"/>
        </w:rPr>
      </w:pPr>
      <w:r>
        <w:rPr>
          <w:rFonts w:hint="eastAsia"/>
        </w:rPr>
        <w:t>公用经费146.2</w:t>
      </w:r>
      <w:r>
        <w:rPr>
          <w:rFonts w:hint="eastAsia"/>
          <w:lang w:val="en-US" w:eastAsia="zh-CN"/>
        </w:rPr>
        <w:t>2</w:t>
      </w:r>
      <w:r>
        <w:rPr>
          <w:rFonts w:hint="eastAsia"/>
        </w:rPr>
        <w:t>万元，主要包括：办公费、水费、电费、</w:t>
      </w:r>
      <w:r>
        <w:rPr>
          <w:rFonts w:hint="eastAsia"/>
          <w:lang w:val="en-US" w:eastAsia="zh-CN"/>
        </w:rPr>
        <w:t>差旅</w:t>
      </w:r>
      <w:r>
        <w:rPr>
          <w:rFonts w:hint="eastAsia"/>
        </w:rPr>
        <w:t>费、</w:t>
      </w:r>
      <w:r>
        <w:rPr>
          <w:rFonts w:hint="eastAsia"/>
          <w:lang w:val="en-US" w:eastAsia="zh-CN"/>
        </w:rPr>
        <w:t>公务接待</w:t>
      </w:r>
      <w:r>
        <w:rPr>
          <w:rFonts w:hint="eastAsia"/>
        </w:rPr>
        <w:t>费、</w:t>
      </w:r>
      <w:r>
        <w:rPr>
          <w:rFonts w:hint="eastAsia"/>
          <w:lang w:val="en-US" w:eastAsia="zh-CN"/>
        </w:rPr>
        <w:t>工会经</w:t>
      </w:r>
      <w:r>
        <w:rPr>
          <w:rFonts w:hint="eastAsia"/>
        </w:rPr>
        <w:t>费、</w:t>
      </w:r>
      <w:r>
        <w:rPr>
          <w:rFonts w:hint="eastAsia"/>
          <w:lang w:val="en-US" w:eastAsia="zh-CN"/>
        </w:rPr>
        <w:t>福利</w:t>
      </w:r>
      <w:r>
        <w:rPr>
          <w:rFonts w:hint="eastAsia"/>
        </w:rPr>
        <w:t>费、</w:t>
      </w:r>
      <w:r>
        <w:rPr>
          <w:rFonts w:hint="eastAsia"/>
          <w:lang w:val="en-US" w:eastAsia="zh-CN"/>
        </w:rPr>
        <w:t>公务用车运行维护</w:t>
      </w:r>
      <w:r>
        <w:rPr>
          <w:rFonts w:hint="eastAsia"/>
        </w:rPr>
        <w:t>费等。</w:t>
      </w:r>
    </w:p>
    <w:p>
      <w:pPr>
        <w:pStyle w:val="3"/>
        <w:numPr>
          <w:ilvl w:val="0"/>
          <w:numId w:val="1"/>
        </w:numPr>
        <w:bidi w:val="0"/>
        <w:rPr>
          <w:rFonts w:hint="eastAsia"/>
        </w:rPr>
      </w:pPr>
      <w:bookmarkStart w:id="54" w:name="_Toc20232"/>
      <w:bookmarkStart w:id="55" w:name="_Toc3056"/>
      <w:bookmarkStart w:id="56" w:name="_Toc2986"/>
      <w:bookmarkStart w:id="57" w:name="_Toc3683"/>
      <w:r>
        <w:rPr>
          <w:rFonts w:hint="eastAsia"/>
        </w:rPr>
        <w:t>“</w:t>
      </w:r>
      <w:r>
        <w:t>三公</w:t>
      </w:r>
      <w:r>
        <w:rPr>
          <w:rFonts w:hint="eastAsia"/>
        </w:rPr>
        <w:t>”</w:t>
      </w:r>
      <w:r>
        <w:t>经费财政拨款预算安排情况</w:t>
      </w:r>
      <w:r>
        <w:rPr>
          <w:rFonts w:hint="eastAsia"/>
        </w:rPr>
        <w:t>说明</w:t>
      </w:r>
      <w:bookmarkEnd w:id="54"/>
      <w:bookmarkEnd w:id="55"/>
      <w:bookmarkEnd w:id="56"/>
      <w:bookmarkEnd w:id="57"/>
    </w:p>
    <w:p>
      <w:pPr>
        <w:bidi w:val="0"/>
      </w:pPr>
      <w:r>
        <w:rPr>
          <w:rFonts w:hint="eastAsia"/>
        </w:rPr>
        <w:t>资阳市雁江区疾病预防控制中心</w:t>
      </w:r>
      <w:r>
        <w:t>202</w:t>
      </w:r>
      <w:r>
        <w:rPr>
          <w:rFonts w:hint="eastAsia"/>
          <w:lang w:val="en-US" w:eastAsia="zh-CN"/>
        </w:rPr>
        <w:t>4</w:t>
      </w:r>
      <w:r>
        <w:t>年</w:t>
      </w:r>
      <w:r>
        <w:rPr>
          <w:rFonts w:hint="eastAsia"/>
        </w:rPr>
        <w:t>“</w:t>
      </w:r>
      <w:r>
        <w:t>三公</w:t>
      </w:r>
      <w:r>
        <w:rPr>
          <w:rFonts w:hint="eastAsia"/>
        </w:rPr>
        <w:t>”</w:t>
      </w:r>
      <w:r>
        <w:t>经费财政拨款预算数</w:t>
      </w:r>
      <w:r>
        <w:rPr>
          <w:rFonts w:hint="eastAsia"/>
        </w:rPr>
        <w:t>27.5</w:t>
      </w:r>
      <w:r>
        <w:t>万元，其中：因公出国（境）经费</w:t>
      </w:r>
      <w:r>
        <w:rPr>
          <w:rFonts w:hint="eastAsia"/>
        </w:rPr>
        <w:t>0</w:t>
      </w:r>
      <w:r>
        <w:t>万元，公务接待费</w:t>
      </w:r>
      <w:r>
        <w:rPr>
          <w:rFonts w:hint="eastAsia"/>
        </w:rPr>
        <w:t>3</w:t>
      </w:r>
      <w:r>
        <w:t>万元，公务用车购置及运行维护费</w:t>
      </w:r>
      <w:r>
        <w:rPr>
          <w:rFonts w:hint="eastAsia"/>
        </w:rPr>
        <w:t>24.5</w:t>
      </w:r>
      <w:r>
        <w:t>万元。</w:t>
      </w:r>
    </w:p>
    <w:p>
      <w:pPr>
        <w:pStyle w:val="4"/>
        <w:numPr>
          <w:ilvl w:val="0"/>
          <w:numId w:val="5"/>
        </w:numPr>
        <w:bidi w:val="0"/>
      </w:pPr>
      <w:bookmarkStart w:id="58" w:name="_Toc11777"/>
      <w:bookmarkStart w:id="59" w:name="_Toc31306"/>
      <w:bookmarkStart w:id="60" w:name="_Toc24111"/>
      <w:bookmarkStart w:id="61" w:name="_Toc21819"/>
      <w:r>
        <w:t>因公出国（境）经费</w:t>
      </w:r>
      <w:bookmarkEnd w:id="58"/>
      <w:bookmarkEnd w:id="59"/>
      <w:bookmarkEnd w:id="60"/>
      <w:bookmarkEnd w:id="61"/>
    </w:p>
    <w:p>
      <w:pPr>
        <w:bidi w:val="0"/>
      </w:pPr>
      <w:r>
        <w:t>因公出国（境）经费较20</w:t>
      </w:r>
      <w:r>
        <w:rPr>
          <w:rFonts w:hint="eastAsia"/>
        </w:rPr>
        <w:t>2</w:t>
      </w:r>
      <w:r>
        <w:t>3年预算持平</w:t>
      </w:r>
      <w:r>
        <w:rPr>
          <w:rFonts w:hint="eastAsia"/>
          <w:lang w:eastAsia="zh-CN"/>
        </w:rPr>
        <w:t>，</w:t>
      </w:r>
      <w:r>
        <w:t>主要原因是</w:t>
      </w:r>
      <w:r>
        <w:rPr>
          <w:rFonts w:hint="eastAsia"/>
          <w:lang w:val="en-US" w:eastAsia="zh-CN"/>
        </w:rPr>
        <w:t>2024年</w:t>
      </w:r>
      <w:r>
        <w:rPr>
          <w:rFonts w:hint="eastAsia"/>
        </w:rPr>
        <w:t>无因公出国（境）计划</w:t>
      </w:r>
      <w:r>
        <w:t>。</w:t>
      </w:r>
    </w:p>
    <w:p>
      <w:pPr>
        <w:pStyle w:val="4"/>
        <w:numPr>
          <w:ilvl w:val="0"/>
          <w:numId w:val="5"/>
        </w:numPr>
        <w:bidi w:val="0"/>
      </w:pPr>
      <w:bookmarkStart w:id="62" w:name="_Toc12326"/>
      <w:bookmarkStart w:id="63" w:name="_Toc29388"/>
      <w:bookmarkStart w:id="64" w:name="_Toc7561"/>
      <w:bookmarkStart w:id="65" w:name="_Toc3731"/>
      <w:r>
        <w:rPr>
          <w:rFonts w:hint="eastAsia"/>
        </w:rPr>
        <w:t>公</w:t>
      </w:r>
      <w:r>
        <w:t>务接待费</w:t>
      </w:r>
      <w:bookmarkEnd w:id="62"/>
      <w:bookmarkEnd w:id="63"/>
      <w:bookmarkEnd w:id="64"/>
      <w:bookmarkEnd w:id="65"/>
    </w:p>
    <w:p>
      <w:pPr>
        <w:bidi w:val="0"/>
      </w:pPr>
      <w:r>
        <w:rPr>
          <w:rFonts w:hint="eastAsia"/>
        </w:rPr>
        <w:t>公</w:t>
      </w:r>
      <w:r>
        <w:t>务接待费较20</w:t>
      </w:r>
      <w:r>
        <w:rPr>
          <w:rFonts w:hint="eastAsia"/>
        </w:rPr>
        <w:t>2</w:t>
      </w:r>
      <w:r>
        <w:t>3年预算持平</w:t>
      </w:r>
      <w:r>
        <w:rPr>
          <w:rFonts w:hint="eastAsia"/>
          <w:lang w:eastAsia="zh-CN"/>
        </w:rPr>
        <w:t>，</w:t>
      </w:r>
      <w:r>
        <w:t>主要原因是</w:t>
      </w:r>
      <w:r>
        <w:rPr>
          <w:rFonts w:hint="eastAsia"/>
        </w:rPr>
        <w:t>从严控制公务接待费用</w:t>
      </w:r>
      <w:r>
        <w:t>。202</w:t>
      </w:r>
      <w:r>
        <w:rPr>
          <w:rFonts w:hint="eastAsia"/>
          <w:lang w:val="en-US" w:eastAsia="zh-CN"/>
        </w:rPr>
        <w:t>4</w:t>
      </w:r>
      <w:r>
        <w:t>年公务接待费计划用于</w:t>
      </w:r>
      <w:r>
        <w:rPr>
          <w:rFonts w:hint="eastAsia"/>
        </w:rPr>
        <w:t>迎接单位检查</w:t>
      </w:r>
      <w:r>
        <w:rPr>
          <w:rFonts w:hint="eastAsia"/>
          <w:lang w:eastAsia="zh-CN"/>
        </w:rPr>
        <w:t>、</w:t>
      </w:r>
      <w:r>
        <w:rPr>
          <w:rFonts w:hint="eastAsia"/>
          <w:lang w:val="en-US" w:eastAsia="zh-CN"/>
        </w:rPr>
        <w:t>调研等</w:t>
      </w:r>
      <w:r>
        <w:rPr>
          <w:rFonts w:hint="eastAsia"/>
        </w:rPr>
        <w:t>接待</w:t>
      </w:r>
      <w:r>
        <w:rPr>
          <w:rFonts w:hint="eastAsia"/>
          <w:lang w:val="en-US" w:eastAsia="zh-CN"/>
        </w:rPr>
        <w:t>工作</w:t>
      </w:r>
      <w:r>
        <w:t>。</w:t>
      </w:r>
    </w:p>
    <w:p>
      <w:pPr>
        <w:pStyle w:val="4"/>
        <w:numPr>
          <w:ilvl w:val="0"/>
          <w:numId w:val="5"/>
        </w:numPr>
        <w:bidi w:val="0"/>
      </w:pPr>
      <w:bookmarkStart w:id="66" w:name="_Toc22683"/>
      <w:bookmarkStart w:id="67" w:name="_Toc18780"/>
      <w:bookmarkStart w:id="68" w:name="_Toc28604"/>
      <w:bookmarkStart w:id="69" w:name="_Toc15440"/>
      <w:r>
        <w:rPr>
          <w:rFonts w:hint="eastAsia"/>
        </w:rPr>
        <w:t>公务用车购置及运行维护费</w:t>
      </w:r>
      <w:bookmarkEnd w:id="66"/>
      <w:bookmarkEnd w:id="67"/>
      <w:bookmarkEnd w:id="68"/>
      <w:bookmarkEnd w:id="69"/>
    </w:p>
    <w:p>
      <w:pPr>
        <w:bidi w:val="0"/>
      </w:pPr>
      <w:r>
        <w:t>单位现有公务用车</w:t>
      </w:r>
      <w:r>
        <w:rPr>
          <w:rFonts w:hint="eastAsia"/>
          <w:lang w:val="en-US" w:eastAsia="zh-CN"/>
        </w:rPr>
        <w:t>7</w:t>
      </w:r>
      <w:r>
        <w:t>辆，其中：轿车</w:t>
      </w:r>
      <w:r>
        <w:rPr>
          <w:rFonts w:hint="eastAsia"/>
          <w:lang w:val="en-US" w:eastAsia="zh-CN"/>
        </w:rPr>
        <w:t>3</w:t>
      </w:r>
      <w:r>
        <w:t>辆，多功能乘用车</w:t>
      </w:r>
      <w:r>
        <w:rPr>
          <w:rFonts w:hint="eastAsia"/>
          <w:lang w:val="en-US" w:eastAsia="zh-CN"/>
        </w:rPr>
        <w:t>1</w:t>
      </w:r>
      <w:r>
        <w:t>辆</w:t>
      </w:r>
      <w:r>
        <w:rPr>
          <w:rFonts w:hint="eastAsia"/>
          <w:lang w:eastAsia="zh-CN"/>
        </w:rPr>
        <w:t>，水质监测车</w:t>
      </w:r>
      <w:r>
        <w:rPr>
          <w:rFonts w:hint="eastAsia"/>
          <w:lang w:val="en-US" w:eastAsia="zh-CN"/>
        </w:rPr>
        <w:t>1辆，疫苗冷链车1辆，核酸采样检测车1辆</w:t>
      </w:r>
      <w:r>
        <w:t>。</w:t>
      </w:r>
    </w:p>
    <w:p>
      <w:pPr>
        <w:bidi w:val="0"/>
      </w:pPr>
      <w:r>
        <w:t>公务用车购置费</w:t>
      </w:r>
      <w:r>
        <w:rPr>
          <w:rFonts w:hint="eastAsia"/>
        </w:rPr>
        <w:t>0</w:t>
      </w:r>
      <w:r>
        <w:t>万元，较20</w:t>
      </w:r>
      <w:r>
        <w:rPr>
          <w:rFonts w:hint="eastAsia"/>
        </w:rPr>
        <w:t>2</w:t>
      </w:r>
      <w:r>
        <w:rPr>
          <w:rFonts w:hint="eastAsia"/>
          <w:lang w:val="en-US" w:eastAsia="zh-CN"/>
        </w:rPr>
        <w:t>3</w:t>
      </w:r>
      <w:r>
        <w:t>年预算</w:t>
      </w:r>
      <w:r>
        <w:rPr>
          <w:rFonts w:hint="eastAsia"/>
        </w:rPr>
        <w:t>持平</w:t>
      </w:r>
      <w:r>
        <w:t>，</w:t>
      </w:r>
      <w:r>
        <w:rPr>
          <w:rFonts w:hint="eastAsia"/>
        </w:rPr>
        <w:t>主要原因是202</w:t>
      </w:r>
      <w:r>
        <w:rPr>
          <w:rFonts w:hint="eastAsia"/>
          <w:lang w:val="en-US" w:eastAsia="zh-CN"/>
        </w:rPr>
        <w:t>4</w:t>
      </w:r>
      <w:r>
        <w:rPr>
          <w:rFonts w:hint="eastAsia"/>
        </w:rPr>
        <w:t>年尚无</w:t>
      </w:r>
      <w:r>
        <w:t>公务用车购置</w:t>
      </w:r>
      <w:r>
        <w:rPr>
          <w:rFonts w:hint="eastAsia"/>
        </w:rPr>
        <w:t>计划</w:t>
      </w:r>
      <w:r>
        <w:t>。</w:t>
      </w:r>
    </w:p>
    <w:p>
      <w:pPr>
        <w:bidi w:val="0"/>
      </w:pPr>
      <w:r>
        <w:t>公务用车运行维护费</w:t>
      </w:r>
      <w:r>
        <w:rPr>
          <w:rFonts w:hint="eastAsia"/>
          <w:lang w:val="en-US" w:eastAsia="zh-CN"/>
        </w:rPr>
        <w:t>24.5</w:t>
      </w:r>
      <w:r>
        <w:t>万元，较20</w:t>
      </w:r>
      <w:r>
        <w:rPr>
          <w:rFonts w:hint="eastAsia"/>
        </w:rPr>
        <w:t>2</w:t>
      </w:r>
      <w:r>
        <w:rPr>
          <w:rFonts w:hint="eastAsia"/>
          <w:lang w:val="en-US" w:eastAsia="zh-CN"/>
        </w:rPr>
        <w:t>3</w:t>
      </w:r>
      <w:r>
        <w:t>年</w:t>
      </w:r>
      <w:r>
        <w:rPr>
          <w:rFonts w:hint="eastAsia"/>
          <w:lang w:val="en-US" w:eastAsia="zh-CN"/>
        </w:rPr>
        <w:t>增长250%，主要原因是完成2023年预算工作时仅预算2辆公务用车的费用，2024年已将所有公务用车费用纳入公务用车运行维护费预算</w:t>
      </w:r>
      <w:r>
        <w:t>。用于</w:t>
      </w:r>
      <w:r>
        <w:rPr>
          <w:rFonts w:hint="eastAsia"/>
          <w:lang w:val="en-US" w:eastAsia="zh-CN"/>
        </w:rPr>
        <w:t>7</w:t>
      </w:r>
      <w:r>
        <w:t>辆公务用车燃油、维修、保险等方面支出。</w:t>
      </w:r>
    </w:p>
    <w:p>
      <w:pPr>
        <w:pStyle w:val="3"/>
        <w:numPr>
          <w:ilvl w:val="0"/>
          <w:numId w:val="1"/>
        </w:numPr>
        <w:bidi w:val="0"/>
        <w:rPr>
          <w:rFonts w:hint="eastAsia"/>
        </w:rPr>
      </w:pPr>
      <w:bookmarkStart w:id="70" w:name="_Toc16431"/>
      <w:bookmarkStart w:id="71" w:name="_Toc1560"/>
      <w:bookmarkStart w:id="72" w:name="_Toc14175"/>
      <w:bookmarkStart w:id="73" w:name="_Toc23230"/>
      <w:r>
        <w:rPr>
          <w:rFonts w:hint="eastAsia"/>
        </w:rPr>
        <w:t>政府性基金预算支出情况说明</w:t>
      </w:r>
      <w:bookmarkEnd w:id="70"/>
      <w:bookmarkEnd w:id="71"/>
      <w:bookmarkEnd w:id="72"/>
      <w:bookmarkEnd w:id="73"/>
    </w:p>
    <w:p>
      <w:pPr>
        <w:bidi w:val="0"/>
      </w:pPr>
      <w:r>
        <w:rPr>
          <w:rFonts w:hint="eastAsia"/>
        </w:rPr>
        <w:t>资阳市雁江区疾病预防控制中心202</w:t>
      </w:r>
      <w:r>
        <w:rPr>
          <w:rFonts w:hint="eastAsia"/>
          <w:lang w:val="en-US" w:eastAsia="zh-CN"/>
        </w:rPr>
        <w:t>4</w:t>
      </w:r>
      <w:r>
        <w:rPr>
          <w:rFonts w:hint="eastAsia"/>
        </w:rPr>
        <w:t>年无使用政府性基金预算拨款安排的支出。</w:t>
      </w:r>
    </w:p>
    <w:p>
      <w:pPr>
        <w:pStyle w:val="3"/>
        <w:numPr>
          <w:ilvl w:val="0"/>
          <w:numId w:val="1"/>
        </w:numPr>
        <w:bidi w:val="0"/>
        <w:rPr>
          <w:rFonts w:hint="eastAsia"/>
        </w:rPr>
      </w:pPr>
      <w:bookmarkStart w:id="74" w:name="_Toc21053"/>
      <w:bookmarkStart w:id="75" w:name="_Toc2364"/>
      <w:bookmarkStart w:id="76" w:name="_Toc14195"/>
      <w:bookmarkStart w:id="77" w:name="_Toc22995"/>
      <w:r>
        <w:rPr>
          <w:rFonts w:hint="eastAsia"/>
        </w:rPr>
        <w:t>国有资本经营预算支出情况说明</w:t>
      </w:r>
      <w:bookmarkEnd w:id="74"/>
      <w:bookmarkEnd w:id="75"/>
      <w:bookmarkEnd w:id="76"/>
      <w:bookmarkEnd w:id="77"/>
    </w:p>
    <w:p>
      <w:pPr>
        <w:bidi w:val="0"/>
      </w:pPr>
      <w:r>
        <w:rPr>
          <w:rFonts w:hint="eastAsia"/>
        </w:rPr>
        <w:t>资阳市雁江区疾病预防控制中心20</w:t>
      </w:r>
      <w:r>
        <w:t>2</w:t>
      </w:r>
      <w:r>
        <w:rPr>
          <w:rFonts w:hint="eastAsia"/>
          <w:lang w:val="en-US" w:eastAsia="zh-CN"/>
        </w:rPr>
        <w:t>4</w:t>
      </w:r>
      <w:r>
        <w:rPr>
          <w:rFonts w:hint="eastAsia"/>
        </w:rPr>
        <w:t>年无使用国有资本经营预算拨款安排的支出。</w:t>
      </w:r>
    </w:p>
    <w:p>
      <w:pPr>
        <w:pStyle w:val="3"/>
        <w:numPr>
          <w:ilvl w:val="0"/>
          <w:numId w:val="1"/>
        </w:numPr>
        <w:bidi w:val="0"/>
        <w:rPr>
          <w:rFonts w:hint="eastAsia"/>
        </w:rPr>
      </w:pPr>
      <w:bookmarkStart w:id="78" w:name="_Toc13393"/>
      <w:bookmarkStart w:id="79" w:name="_Toc10430"/>
      <w:bookmarkStart w:id="80" w:name="_Toc12860"/>
      <w:bookmarkStart w:id="81" w:name="_Toc10797"/>
      <w:r>
        <w:rPr>
          <w:rFonts w:hint="eastAsia"/>
        </w:rPr>
        <w:t>其他重要事项的情况说明</w:t>
      </w:r>
      <w:bookmarkEnd w:id="78"/>
      <w:bookmarkEnd w:id="79"/>
      <w:bookmarkEnd w:id="80"/>
      <w:bookmarkEnd w:id="81"/>
    </w:p>
    <w:p>
      <w:pPr>
        <w:pStyle w:val="4"/>
        <w:numPr>
          <w:ilvl w:val="0"/>
          <w:numId w:val="6"/>
        </w:numPr>
        <w:bidi w:val="0"/>
        <w:rPr>
          <w:rFonts w:hint="eastAsia"/>
        </w:rPr>
      </w:pPr>
      <w:bookmarkStart w:id="82" w:name="_Toc23145"/>
      <w:bookmarkStart w:id="83" w:name="_Toc9347"/>
      <w:bookmarkStart w:id="84" w:name="_Toc11318"/>
      <w:bookmarkStart w:id="85" w:name="_Toc7691"/>
      <w:r>
        <w:rPr>
          <w:rFonts w:hint="eastAsia"/>
        </w:rPr>
        <w:t>机关运行经费</w:t>
      </w:r>
      <w:bookmarkEnd w:id="82"/>
      <w:bookmarkEnd w:id="83"/>
      <w:bookmarkEnd w:id="84"/>
      <w:bookmarkEnd w:id="85"/>
    </w:p>
    <w:p>
      <w:pPr>
        <w:bidi w:val="0"/>
      </w:pPr>
      <w:r>
        <w:rPr>
          <w:rFonts w:hint="eastAsia"/>
        </w:rPr>
        <w:t>资阳市雁江区疾病预防控制中心</w:t>
      </w:r>
      <w:r>
        <w:t>202</w:t>
      </w:r>
      <w:r>
        <w:rPr>
          <w:rFonts w:hint="eastAsia"/>
          <w:lang w:val="en-US" w:eastAsia="zh-CN"/>
        </w:rPr>
        <w:t>4</w:t>
      </w:r>
      <w:r>
        <w:t>年机关运行经费财政拨款预算为</w:t>
      </w:r>
      <w:r>
        <w:rPr>
          <w:rFonts w:hint="eastAsia"/>
        </w:rPr>
        <w:t>146.22</w:t>
      </w:r>
      <w:r>
        <w:t>万元，比20</w:t>
      </w:r>
      <w:r>
        <w:rPr>
          <w:rFonts w:hint="eastAsia"/>
        </w:rPr>
        <w:t>2</w:t>
      </w:r>
      <w:r>
        <w:rPr>
          <w:rFonts w:hint="eastAsia"/>
          <w:lang w:val="en-US" w:eastAsia="zh-CN"/>
        </w:rPr>
        <w:t>3</w:t>
      </w:r>
      <w:r>
        <w:t>年预算</w:t>
      </w:r>
      <w:r>
        <w:rPr>
          <w:rFonts w:hint="eastAsia"/>
          <w:lang w:val="en-US" w:eastAsia="zh-CN"/>
        </w:rPr>
        <w:t>增加25.68</w:t>
      </w:r>
      <w:r>
        <w:t>万元，</w:t>
      </w:r>
      <w:r>
        <w:rPr>
          <w:rFonts w:hint="eastAsia"/>
          <w:lang w:val="en-US" w:eastAsia="zh-CN"/>
        </w:rPr>
        <w:t>增加21.3</w:t>
      </w:r>
      <w:r>
        <w:t>%</w:t>
      </w:r>
      <w:r>
        <w:rPr>
          <w:rFonts w:hint="eastAsia"/>
        </w:rPr>
        <w:t>，</w:t>
      </w:r>
      <w:r>
        <w:rPr>
          <w:rFonts w:hint="eastAsia"/>
          <w:lang w:val="en-US" w:eastAsia="zh-CN"/>
        </w:rPr>
        <w:t>增加主要</w:t>
      </w:r>
      <w:r>
        <w:rPr>
          <w:rFonts w:hint="eastAsia"/>
        </w:rPr>
        <w:t>原因是：</w:t>
      </w:r>
      <w:r>
        <w:rPr>
          <w:rFonts w:hint="eastAsia"/>
          <w:lang w:val="en-US" w:eastAsia="zh-CN"/>
        </w:rPr>
        <w:t>2023年预算工作时仅预算2辆公务用车的费用，2024年已将所有公务用车费用纳入公务用车运行维护费预算</w:t>
      </w:r>
      <w:r>
        <w:rPr>
          <w:rFonts w:hint="eastAsia"/>
        </w:rPr>
        <w:t>。</w:t>
      </w:r>
    </w:p>
    <w:p>
      <w:pPr>
        <w:pStyle w:val="4"/>
        <w:numPr>
          <w:ilvl w:val="0"/>
          <w:numId w:val="6"/>
        </w:numPr>
        <w:bidi w:val="0"/>
        <w:rPr>
          <w:rFonts w:hint="eastAsia"/>
        </w:rPr>
      </w:pPr>
      <w:bookmarkStart w:id="86" w:name="_Toc14394"/>
      <w:bookmarkStart w:id="87" w:name="_Toc19592"/>
      <w:bookmarkStart w:id="88" w:name="_Toc26351"/>
      <w:bookmarkStart w:id="89" w:name="_Toc4874"/>
      <w:r>
        <w:rPr>
          <w:rFonts w:hint="eastAsia"/>
        </w:rPr>
        <w:t>政府采购情况</w:t>
      </w:r>
      <w:bookmarkEnd w:id="86"/>
      <w:bookmarkEnd w:id="87"/>
      <w:bookmarkEnd w:id="88"/>
      <w:bookmarkEnd w:id="89"/>
    </w:p>
    <w:p>
      <w:pPr>
        <w:bidi w:val="0"/>
        <w:rPr>
          <w:rFonts w:hint="eastAsia"/>
        </w:rPr>
      </w:pPr>
      <w:r>
        <w:t>2024年，</w:t>
      </w:r>
      <w:r>
        <w:rPr>
          <w:rFonts w:hint="eastAsia"/>
        </w:rPr>
        <w:t>资阳市雁江区疾病预防控制中心</w:t>
      </w:r>
      <w:r>
        <w:rPr>
          <w:rFonts w:hint="eastAsia"/>
          <w:lang w:val="en-US" w:eastAsia="zh-CN"/>
        </w:rPr>
        <w:t>预计</w:t>
      </w:r>
      <w:r>
        <w:t>安排政府采购预算</w:t>
      </w:r>
      <w:r>
        <w:rPr>
          <w:rFonts w:hint="eastAsia"/>
          <w:lang w:val="en-US" w:eastAsia="zh-CN"/>
        </w:rPr>
        <w:t>50</w:t>
      </w:r>
      <w:r>
        <w:rPr>
          <w:rFonts w:hint="eastAsia"/>
        </w:rPr>
        <w:t>万元，主要用于采购</w:t>
      </w:r>
      <w:r>
        <w:rPr>
          <w:rFonts w:hint="eastAsia"/>
          <w:lang w:val="en-US" w:eastAsia="zh-CN"/>
        </w:rPr>
        <w:t>病毒载量检测设备</w:t>
      </w:r>
      <w:r>
        <w:rPr>
          <w:rFonts w:hint="eastAsia"/>
        </w:rPr>
        <w:t>等。</w:t>
      </w:r>
    </w:p>
    <w:p>
      <w:pPr>
        <w:pStyle w:val="4"/>
        <w:numPr>
          <w:ilvl w:val="0"/>
          <w:numId w:val="6"/>
        </w:numPr>
        <w:bidi w:val="0"/>
        <w:rPr>
          <w:rFonts w:hint="eastAsia"/>
        </w:rPr>
      </w:pPr>
      <w:bookmarkStart w:id="90" w:name="_Toc6205"/>
      <w:bookmarkStart w:id="91" w:name="_Toc17957"/>
      <w:bookmarkStart w:id="92" w:name="_Toc31140"/>
      <w:bookmarkStart w:id="93" w:name="_Toc1355"/>
      <w:r>
        <w:rPr>
          <w:rFonts w:hint="eastAsia"/>
        </w:rPr>
        <w:t>国有资产占有使用情况</w:t>
      </w:r>
      <w:bookmarkEnd w:id="90"/>
      <w:bookmarkEnd w:id="91"/>
      <w:bookmarkEnd w:id="92"/>
      <w:bookmarkEnd w:id="93"/>
    </w:p>
    <w:p>
      <w:pPr>
        <w:bidi w:val="0"/>
      </w:pPr>
      <w:r>
        <w:rPr>
          <w:rFonts w:hint="eastAsia"/>
        </w:rPr>
        <w:t>截至202</w:t>
      </w:r>
      <w:r>
        <w:rPr>
          <w:rFonts w:hint="eastAsia"/>
          <w:lang w:val="en-US" w:eastAsia="zh-CN"/>
        </w:rPr>
        <w:t>3</w:t>
      </w:r>
      <w:r>
        <w:rPr>
          <w:rFonts w:hint="eastAsia"/>
        </w:rPr>
        <w:t>年底，资阳市雁江区疾病预防控制中心共有车辆</w:t>
      </w:r>
      <w:r>
        <w:t>7</w:t>
      </w:r>
      <w:r>
        <w:rPr>
          <w:rFonts w:hint="eastAsia"/>
        </w:rPr>
        <w:t>辆，其中，领导干部用车0辆、定向保障用车</w:t>
      </w:r>
      <w:r>
        <w:t>7</w:t>
      </w:r>
      <w:r>
        <w:rPr>
          <w:rFonts w:hint="eastAsia"/>
        </w:rPr>
        <w:t>辆、执法执勤用车0辆。单位价值100万元以上大型设备0台（套）。</w:t>
      </w:r>
    </w:p>
    <w:p>
      <w:pPr>
        <w:bidi w:val="0"/>
        <w:rPr>
          <w:rFonts w:hint="eastAsia"/>
        </w:rPr>
      </w:pPr>
      <w:r>
        <w:rPr>
          <w:rFonts w:hint="eastAsia"/>
        </w:rPr>
        <w:t>20</w:t>
      </w:r>
      <w:r>
        <w:t>2</w:t>
      </w:r>
      <w:r>
        <w:rPr>
          <w:rFonts w:hint="eastAsia"/>
          <w:lang w:val="en-US" w:eastAsia="zh-CN"/>
        </w:rPr>
        <w:t>4</w:t>
      </w:r>
      <w:r>
        <w:rPr>
          <w:rFonts w:hint="eastAsia"/>
        </w:rPr>
        <w:t>年单位预算未安排购置车辆及单位价值100万元以上大型设备。</w:t>
      </w:r>
    </w:p>
    <w:p>
      <w:pPr>
        <w:pStyle w:val="4"/>
        <w:numPr>
          <w:ilvl w:val="0"/>
          <w:numId w:val="6"/>
        </w:numPr>
        <w:bidi w:val="0"/>
        <w:rPr>
          <w:rFonts w:hint="eastAsia"/>
        </w:rPr>
      </w:pPr>
      <w:bookmarkStart w:id="94" w:name="_Toc26401"/>
      <w:bookmarkStart w:id="95" w:name="_Toc17875"/>
      <w:bookmarkStart w:id="96" w:name="_Toc1044"/>
      <w:bookmarkStart w:id="97" w:name="_Toc2818"/>
      <w:r>
        <w:rPr>
          <w:rFonts w:hint="eastAsia"/>
        </w:rPr>
        <w:t>绩效目标设置情况</w:t>
      </w:r>
      <w:bookmarkEnd w:id="94"/>
      <w:bookmarkEnd w:id="95"/>
      <w:bookmarkEnd w:id="96"/>
      <w:bookmarkEnd w:id="97"/>
    </w:p>
    <w:p>
      <w:pPr>
        <w:bidi w:val="0"/>
        <w:rPr>
          <w:rFonts w:hint="eastAsia"/>
        </w:rPr>
      </w:pPr>
      <w:r>
        <w:rPr>
          <w:rFonts w:hint="eastAsia"/>
        </w:rPr>
        <w:t>绩效目标是预算编制的前提和基础，按照“费随事定”的原则，20</w:t>
      </w:r>
      <w:r>
        <w:t>2</w:t>
      </w:r>
      <w:r>
        <w:rPr>
          <w:rFonts w:hint="eastAsia"/>
          <w:lang w:val="en-US" w:eastAsia="zh-CN"/>
        </w:rPr>
        <w:t>4</w:t>
      </w:r>
      <w:r>
        <w:rPr>
          <w:rFonts w:hint="eastAsia"/>
        </w:rPr>
        <w:t>年资阳市雁江区疾病预防控制中心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3"/>
        <w:numPr>
          <w:ilvl w:val="0"/>
          <w:numId w:val="1"/>
        </w:numPr>
        <w:bidi w:val="0"/>
        <w:rPr>
          <w:rFonts w:hint="eastAsia"/>
        </w:rPr>
      </w:pPr>
      <w:bookmarkStart w:id="98" w:name="_Toc6888"/>
      <w:bookmarkStart w:id="99" w:name="_Toc12891"/>
      <w:bookmarkStart w:id="100" w:name="_Toc29219"/>
      <w:bookmarkStart w:id="101" w:name="_Toc2113"/>
      <w:r>
        <w:rPr>
          <w:rFonts w:hint="eastAsia"/>
        </w:rPr>
        <w:t>名词解释</w:t>
      </w:r>
      <w:bookmarkEnd w:id="98"/>
      <w:bookmarkEnd w:id="99"/>
      <w:bookmarkEnd w:id="100"/>
      <w:bookmarkEnd w:id="101"/>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pStyle w:val="2"/>
      </w:pPr>
    </w:p>
    <w:p>
      <w:pPr>
        <w:adjustRightInd w:val="0"/>
        <w:snapToGrid w:val="0"/>
        <w:spacing w:before="93" w:beforeLines="30" w:line="600" w:lineRule="exact"/>
        <w:ind w:firstLine="640" w:firstLineChars="200"/>
        <w:rPr>
          <w:rFonts w:eastAsia="仿宋_GB2312"/>
          <w:bCs/>
          <w:color w:val="FF0000"/>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年单位预算公开表</w:t>
      </w:r>
    </w:p>
    <w:p>
      <w:pPr>
        <w:rPr>
          <w:rFonts w:hint="eastAsia"/>
        </w:rPr>
      </w:pPr>
    </w:p>
    <w:sectPr>
      <w:footerReference r:id="rId6" w:type="default"/>
      <w:pgSz w:w="11906" w:h="16838"/>
      <w:pgMar w:top="1440" w:right="1588" w:bottom="1440" w:left="1588"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B2276"/>
    <w:multiLevelType w:val="singleLevel"/>
    <w:tmpl w:val="9A8B2276"/>
    <w:lvl w:ilvl="0" w:tentative="0">
      <w:start w:val="1"/>
      <w:numFmt w:val="chineseCounting"/>
      <w:suff w:val="nothing"/>
      <w:lvlText w:val="%1、"/>
      <w:lvlJc w:val="left"/>
      <w:pPr>
        <w:ind w:left="0" w:firstLine="420"/>
      </w:pPr>
      <w:rPr>
        <w:rFonts w:hint="eastAsia" w:ascii="方正黑体简体" w:hAnsi="方正黑体简体" w:eastAsia="方正黑体简体" w:cs="方正黑体简体"/>
        <w:b/>
        <w:bCs/>
        <w:color w:val="000000" w:themeColor="text1"/>
        <w:sz w:val="28"/>
        <w:szCs w:val="28"/>
        <w14:textFill>
          <w14:solidFill>
            <w14:schemeClr w14:val="tx1"/>
          </w14:solidFill>
        </w14:textFill>
      </w:rPr>
    </w:lvl>
  </w:abstractNum>
  <w:abstractNum w:abstractNumId="1">
    <w:nsid w:val="9E243F16"/>
    <w:multiLevelType w:val="singleLevel"/>
    <w:tmpl w:val="9E243F16"/>
    <w:lvl w:ilvl="0" w:tentative="0">
      <w:start w:val="1"/>
      <w:numFmt w:val="chineseCounting"/>
      <w:suff w:val="nothing"/>
      <w:lvlText w:val="（%1）"/>
      <w:lvlJc w:val="left"/>
      <w:pPr>
        <w:ind w:left="0" w:firstLine="420"/>
      </w:pPr>
      <w:rPr>
        <w:rFonts w:hint="eastAsia"/>
      </w:rPr>
    </w:lvl>
  </w:abstractNum>
  <w:abstractNum w:abstractNumId="2">
    <w:nsid w:val="E8639949"/>
    <w:multiLevelType w:val="singleLevel"/>
    <w:tmpl w:val="E8639949"/>
    <w:lvl w:ilvl="0" w:tentative="0">
      <w:start w:val="1"/>
      <w:numFmt w:val="chineseCounting"/>
      <w:suff w:val="nothing"/>
      <w:lvlText w:val="（%1）"/>
      <w:lvlJc w:val="left"/>
      <w:pPr>
        <w:ind w:left="0" w:firstLine="420"/>
      </w:pPr>
      <w:rPr>
        <w:rFonts w:hint="eastAsia"/>
        <w:b/>
      </w:rPr>
    </w:lvl>
  </w:abstractNum>
  <w:abstractNum w:abstractNumId="3">
    <w:nsid w:val="3DD7573F"/>
    <w:multiLevelType w:val="singleLevel"/>
    <w:tmpl w:val="3DD7573F"/>
    <w:lvl w:ilvl="0" w:tentative="0">
      <w:start w:val="1"/>
      <w:numFmt w:val="chineseCounting"/>
      <w:suff w:val="nothing"/>
      <w:lvlText w:val="（%1）"/>
      <w:lvlJc w:val="left"/>
      <w:pPr>
        <w:ind w:left="0" w:firstLine="420"/>
      </w:pPr>
      <w:rPr>
        <w:rFonts w:hint="eastAsia"/>
      </w:rPr>
    </w:lvl>
  </w:abstractNum>
  <w:abstractNum w:abstractNumId="4">
    <w:nsid w:val="57D6FB9B"/>
    <w:multiLevelType w:val="singleLevel"/>
    <w:tmpl w:val="57D6FB9B"/>
    <w:lvl w:ilvl="0" w:tentative="0">
      <w:start w:val="1"/>
      <w:numFmt w:val="chineseCounting"/>
      <w:suff w:val="nothing"/>
      <w:lvlText w:val="（%1）"/>
      <w:lvlJc w:val="left"/>
      <w:pPr>
        <w:ind w:left="0" w:firstLine="420"/>
      </w:pPr>
      <w:rPr>
        <w:rFonts w:hint="eastAsia"/>
        <w:b/>
        <w:bCs/>
        <w:sz w:val="32"/>
        <w:szCs w:val="32"/>
      </w:rPr>
    </w:lvl>
  </w:abstractNum>
  <w:abstractNum w:abstractNumId="5">
    <w:nsid w:val="610FD2DD"/>
    <w:multiLevelType w:val="singleLevel"/>
    <w:tmpl w:val="610FD2DD"/>
    <w:lvl w:ilvl="0" w:tentative="0">
      <w:start w:val="1"/>
      <w:numFmt w:val="chineseCounting"/>
      <w:suff w:val="nothing"/>
      <w:lvlText w:val="（%1）"/>
      <w:lvlJc w:val="left"/>
      <w:pPr>
        <w:ind w:left="0" w:firstLine="420"/>
      </w:pPr>
      <w:rPr>
        <w:rFonts w:hint="eastAsia"/>
        <w:b/>
        <w:bCs/>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MjI4NWIzOTcwODRhNGUxZWVkOThjNDMyM2ZkNzYifQ=="/>
  </w:docVars>
  <w:rsids>
    <w:rsidRoot w:val="41E5691C"/>
    <w:rsid w:val="055F29CD"/>
    <w:rsid w:val="07FD4830"/>
    <w:rsid w:val="0D136CF4"/>
    <w:rsid w:val="0DF23C46"/>
    <w:rsid w:val="12C61991"/>
    <w:rsid w:val="13B054C9"/>
    <w:rsid w:val="18564D60"/>
    <w:rsid w:val="1D882867"/>
    <w:rsid w:val="1E9A5117"/>
    <w:rsid w:val="1F374CC1"/>
    <w:rsid w:val="2D174A72"/>
    <w:rsid w:val="2D287BC3"/>
    <w:rsid w:val="2F2F5238"/>
    <w:rsid w:val="30FE302C"/>
    <w:rsid w:val="33F61315"/>
    <w:rsid w:val="3547178A"/>
    <w:rsid w:val="354F72C2"/>
    <w:rsid w:val="3FB928FC"/>
    <w:rsid w:val="41E5691C"/>
    <w:rsid w:val="47F8339A"/>
    <w:rsid w:val="4B6574B6"/>
    <w:rsid w:val="4BE62CCB"/>
    <w:rsid w:val="4D3267FC"/>
    <w:rsid w:val="4F737FE7"/>
    <w:rsid w:val="53513120"/>
    <w:rsid w:val="538C5F06"/>
    <w:rsid w:val="54BA746C"/>
    <w:rsid w:val="56FC7665"/>
    <w:rsid w:val="58955CEA"/>
    <w:rsid w:val="5CB62246"/>
    <w:rsid w:val="652776DF"/>
    <w:rsid w:val="659E194C"/>
    <w:rsid w:val="65F613DF"/>
    <w:rsid w:val="6C506213"/>
    <w:rsid w:val="6F7B55EE"/>
    <w:rsid w:val="6FF005A6"/>
    <w:rsid w:val="732A0ADC"/>
    <w:rsid w:val="73EB05CF"/>
    <w:rsid w:val="75C779C2"/>
    <w:rsid w:val="761D0437"/>
    <w:rsid w:val="770B3462"/>
    <w:rsid w:val="78DB0780"/>
    <w:rsid w:val="7A730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880" w:firstLineChars="200"/>
      <w:jc w:val="both"/>
    </w:pPr>
    <w:rPr>
      <w:rFonts w:ascii="Times New Roman" w:hAnsi="Times New Roman" w:eastAsia="方正仿宋简体"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880" w:firstLineChars="200"/>
      <w:outlineLvl w:val="0"/>
    </w:pPr>
    <w:rPr>
      <w:rFonts w:eastAsia="黑体"/>
      <w:b/>
      <w:kern w:val="44"/>
    </w:rPr>
  </w:style>
  <w:style w:type="paragraph" w:styleId="4">
    <w:name w:val="heading 2"/>
    <w:basedOn w:val="1"/>
    <w:next w:val="1"/>
    <w:autoRedefine/>
    <w:unhideWhenUsed/>
    <w:qFormat/>
    <w:uiPriority w:val="0"/>
    <w:pPr>
      <w:keepNext/>
      <w:keepLines/>
      <w:spacing w:beforeLines="0" w:beforeAutospacing="0" w:afterLines="0" w:afterAutospacing="0" w:line="600" w:lineRule="exact"/>
      <w:outlineLvl w:val="1"/>
    </w:pPr>
    <w:rPr>
      <w:rFonts w:ascii="Arial" w:hAnsi="Arial" w:eastAsia="方正楷体简体"/>
      <w:b/>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link w:val="13"/>
    <w:qFormat/>
    <w:uiPriority w:val="0"/>
    <w:pPr>
      <w:ind w:firstLine="0" w:firstLineChars="0"/>
    </w:pPr>
    <w:rPr>
      <w:rFonts w:eastAsia="方正黑体简体"/>
      <w:sz w:val="32"/>
    </w:rPr>
  </w:style>
  <w:style w:type="paragraph" w:styleId="8">
    <w:name w:val="toc 2"/>
    <w:basedOn w:val="1"/>
    <w:next w:val="1"/>
    <w:uiPriority w:val="0"/>
    <w:pPr>
      <w:ind w:left="0" w:leftChars="0" w:firstLine="0" w:firstLineChars="0"/>
    </w:pPr>
    <w:rPr>
      <w:b/>
    </w:rPr>
  </w:style>
  <w:style w:type="paragraph" w:customStyle="1" w:styleId="11">
    <w:name w:val="WPSOffice手动目录 1"/>
    <w:uiPriority w:val="0"/>
    <w:pPr>
      <w:ind w:leftChars="0"/>
    </w:pPr>
    <w:rPr>
      <w:rFonts w:ascii="Times New Roman" w:hAnsi="Times New Roman" w:eastAsia="宋体" w:cs="Times New Roman"/>
      <w:sz w:val="20"/>
      <w:szCs w:val="20"/>
    </w:rPr>
  </w:style>
  <w:style w:type="paragraph" w:customStyle="1" w:styleId="12">
    <w:name w:val="WPSOffice手动目录 2"/>
    <w:uiPriority w:val="0"/>
    <w:pPr>
      <w:ind w:leftChars="200"/>
    </w:pPr>
    <w:rPr>
      <w:rFonts w:ascii="Times New Roman" w:hAnsi="Times New Roman" w:eastAsia="宋体" w:cs="Times New Roman"/>
      <w:sz w:val="20"/>
      <w:szCs w:val="20"/>
    </w:rPr>
  </w:style>
  <w:style w:type="character" w:customStyle="1" w:styleId="13">
    <w:name w:val="目录 1 Char"/>
    <w:link w:val="7"/>
    <w:autoRedefine/>
    <w:uiPriority w:val="0"/>
    <w:rPr>
      <w:rFonts w:eastAsia="方正黑体简体"/>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刘雨</cp:lastModifiedBy>
  <cp:lastPrinted>2024-01-31T03:03:00Z</cp:lastPrinted>
  <dcterms:modified xsi:type="dcterms:W3CDTF">2024-01-31T08:13:00Z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3885DD3E3E304EF69F07FD6D12528805_13</vt:lpwstr>
  </property>
</Properties>
</file>