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spacing w:line="540" w:lineRule="exact"/>
        <w:ind w:firstLine="420" w:firstLineChars="0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资阳市雁江区举借政府债务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的情况说明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60" w:firstLineChars="200"/>
        <w:rPr>
          <w:rFonts w:hint="default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b w:val="0"/>
          <w:bCs w:val="0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 xml:space="preserve">2022年底，全区政府债务余额965024万元（其中一般债务319120万元，专项债务645904万元），2023年举借政府债务189706万元（其中121906万元为到期债务再融资，15600万元为新增一般债券，52200万元为新增专项债券），偿还政府债务132606万元，2023年末政府债务余额为1022124万元（其中一般债务334720万元，专项债务687404万元）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86C38"/>
    <w:rsid w:val="1D8F4DAF"/>
    <w:rsid w:val="338A6086"/>
    <w:rsid w:val="35063EFC"/>
    <w:rsid w:val="38E20C9B"/>
    <w:rsid w:val="3B536163"/>
    <w:rsid w:val="3EC6712A"/>
    <w:rsid w:val="469246E9"/>
    <w:rsid w:val="528353B7"/>
    <w:rsid w:val="7FF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莫雯</cp:lastModifiedBy>
  <cp:lastPrinted>2024-02-01T02:29:39Z</cp:lastPrinted>
  <dcterms:modified xsi:type="dcterms:W3CDTF">2024-02-01T02:35:47Z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553D2E80292F63059EE7B06503B8E03D</vt:lpwstr>
  </property>
  <property fmtid="{D5CDD505-2E9C-101B-9397-08002B2CF9AE}" pid="4" name="KSOSaveFontToCloudKey">
    <vt:lpwstr>908999676_btnclosed</vt:lpwstr>
  </property>
</Properties>
</file>