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雁江区城乡居民养老保险局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rPr>
        <w:t>2年部门预算编制说明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17" w:firstLineChars="192"/>
        <w:rPr>
          <w:rFonts w:eastAsia="方正楷体简体"/>
          <w:b/>
          <w:sz w:val="32"/>
          <w:szCs w:val="32"/>
        </w:rPr>
      </w:pPr>
      <w:r>
        <w:rPr>
          <w:rFonts w:eastAsia="方正楷体简体"/>
          <w:b/>
          <w:sz w:val="32"/>
          <w:szCs w:val="32"/>
        </w:rPr>
        <w:t>（一）职能简介</w:t>
      </w:r>
    </w:p>
    <w:p>
      <w:pPr>
        <w:spacing w:line="600" w:lineRule="exact"/>
        <w:ind w:firstLine="614" w:firstLineChars="192"/>
        <w:rPr>
          <w:rFonts w:eastAsia="方正仿宋简体"/>
          <w:sz w:val="32"/>
          <w:szCs w:val="32"/>
        </w:rPr>
      </w:pPr>
      <w:r>
        <w:rPr>
          <w:rFonts w:hint="eastAsia" w:ascii="仿宋" w:hAnsi="仿宋" w:eastAsia="仿宋" w:cs="仿宋"/>
          <w:sz w:val="32"/>
          <w:szCs w:val="32"/>
        </w:rPr>
        <w:t>资阳市雁江区城乡居民养老保险局隶属于资阳市雁江区人力资源和社会保障局管理的参公事业单位，负责做好国家、省、市、区颁布的城乡居民养老保险政策的宣传、贯彻、执行等工作。</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rPr>
        <w:t>2</w:t>
      </w:r>
      <w:r>
        <w:rPr>
          <w:rFonts w:eastAsia="方正楷体简体"/>
          <w:b/>
          <w:sz w:val="32"/>
          <w:szCs w:val="32"/>
        </w:rPr>
        <w:t>年重点工作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突出工作重点，切实抓好参保扩面工作。采取多种方式加大政策宣传力度，引导群众积极参保续保。常态化推进“全民参保计划”，强化参保扩面工作力度，加强对镇（街道）的业务指导及工作督查，确保“应保尽保”。</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（二）认真做好养老金待遇的发放工作。推进灵活便民的待遇领取人员资格认证方式，落实好死亡报告制度，及时终止死亡人员、服刑人员待遇；严格待遇审批程序，每月按时足额发放养老金，做到不重不漏。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进一步加强基金管理。持续开展社保基金管理风险问题整治工作，进一步规范待遇审核、待遇支付、基金财务、稽核监督等业务环节的操作流程。深入扎实推进违规领取养老金追缴工作，建立全方位多渠道养老金防控体系，围堵漏洞，构筑基金安全防护网。</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进一步促进经办服务提质。拓展业务办理渠道，持续推行线上自主待遇领取资格认证，努力推进养老保险线上转移，提高保险关系转移的便利化和智能化。加强干部职工政治理论学习，提高宗旨意识。强化业务技能培训，坚持以“简化手续、优化流程、缩短时间、方便群众”的原则，不断提升经办服务水平。</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sz w:val="32"/>
          <w:szCs w:val="32"/>
        </w:rPr>
        <w:t>我局隶属于雁江区人力资源和社会保障局管理的参公事业单位，我局下属二级单位0个，下设六股一室，分别为办公室、财务股、征集股、退管股、政策法规股、稽核股、信息股。</w:t>
      </w:r>
      <w:bookmarkStart w:id="0" w:name="_GoBack"/>
      <w:bookmarkEnd w:id="0"/>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40" w:firstLineChars="200"/>
        <w:rPr>
          <w:rFonts w:hint="eastAsia" w:eastAsia="方正楷体简体"/>
          <w:b/>
          <w:sz w:val="32"/>
          <w:szCs w:val="32"/>
        </w:rPr>
      </w:pPr>
      <w:r>
        <w:rPr>
          <w:rFonts w:hint="eastAsia" w:ascii="仿宋" w:hAnsi="仿宋" w:eastAsia="仿宋" w:cs="仿宋"/>
          <w:color w:val="000000" w:themeColor="text1"/>
          <w:sz w:val="32"/>
          <w:szCs w:val="32"/>
          <w14:textFill>
            <w14:solidFill>
              <w14:schemeClr w14:val="tx1"/>
            </w14:solidFill>
          </w14:textFill>
        </w:rPr>
        <w:t>按照综合预算的原则，</w:t>
      </w: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所有收入和支出均纳入部门预算管理。收入包括：一般公共预算拨款收入；支出包括：</w:t>
      </w:r>
      <w:r>
        <w:rPr>
          <w:rFonts w:hint="eastAsia" w:ascii="仿宋" w:hAnsi="仿宋" w:eastAsia="仿宋" w:cs="仿宋"/>
          <w:color w:val="000000" w:themeColor="text1"/>
          <w:sz w:val="32"/>
          <w:szCs w:val="32"/>
          <w:lang w:eastAsia="zh-CN"/>
          <w14:textFill>
            <w14:solidFill>
              <w14:schemeClr w14:val="tx1"/>
            </w14:solidFill>
          </w14:textFill>
        </w:rPr>
        <w:t>农林水支出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社会保障和就业</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eastAsia="zh-CN"/>
          <w14:textFill>
            <w14:solidFill>
              <w14:schemeClr w14:val="tx1"/>
            </w14:solidFill>
          </w14:textFill>
        </w:rPr>
        <w:t>卫生健康</w:t>
      </w:r>
      <w:r>
        <w:rPr>
          <w:rFonts w:hint="eastAsia" w:ascii="仿宋" w:hAnsi="仿宋" w:eastAsia="仿宋" w:cs="仿宋"/>
          <w:color w:val="000000" w:themeColor="text1"/>
          <w:sz w:val="32"/>
          <w:szCs w:val="32"/>
          <w14:textFill>
            <w14:solidFill>
              <w14:schemeClr w14:val="tx1"/>
            </w14:solidFill>
          </w14:textFill>
        </w:rPr>
        <w:t>支出、住房保障支出。</w:t>
      </w: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2022年收支总预算</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万元，比2021年收支预算总数增加</w:t>
      </w:r>
      <w:r>
        <w:rPr>
          <w:rFonts w:hint="eastAsia" w:ascii="仿宋" w:hAnsi="仿宋" w:eastAsia="仿宋" w:cs="仿宋"/>
          <w:color w:val="000000" w:themeColor="text1"/>
          <w:sz w:val="32"/>
          <w:szCs w:val="32"/>
          <w:lang w:val="en-US" w:eastAsia="zh-CN"/>
          <w14:textFill>
            <w14:solidFill>
              <w14:schemeClr w14:val="tx1"/>
            </w14:solidFill>
          </w14:textFill>
        </w:rPr>
        <w:t>99.77</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eastAsia="方正楷体简体"/>
          <w:b/>
          <w:sz w:val="32"/>
          <w:szCs w:val="32"/>
        </w:rPr>
        <w:t>（一）收入预算情况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2022年收入预算</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万元，其中：一般公共预算拨款收入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2022年支出预算</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万元，其中：基本支出</w:t>
      </w:r>
      <w:r>
        <w:rPr>
          <w:rFonts w:hint="eastAsia" w:ascii="仿宋" w:hAnsi="仿宋" w:eastAsia="仿宋" w:cs="仿宋"/>
          <w:color w:val="000000" w:themeColor="text1"/>
          <w:sz w:val="32"/>
          <w:szCs w:val="32"/>
          <w:lang w:val="en-US" w:eastAsia="zh-CN"/>
          <w14:textFill>
            <w14:solidFill>
              <w14:schemeClr w14:val="tx1"/>
            </w14:solidFill>
          </w14:textFill>
        </w:rPr>
        <w:t>156.52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10.83</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1288.22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89.17</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2022年财政拨款收支总预算</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万元，比2021年财政拨款收支总预算增加</w:t>
      </w:r>
      <w:r>
        <w:rPr>
          <w:rFonts w:hint="eastAsia" w:ascii="仿宋" w:hAnsi="仿宋" w:eastAsia="仿宋" w:cs="仿宋"/>
          <w:color w:val="000000" w:themeColor="text1"/>
          <w:sz w:val="32"/>
          <w:szCs w:val="32"/>
          <w:lang w:val="en-US" w:eastAsia="zh-CN"/>
          <w14:textFill>
            <w14:solidFill>
              <w14:schemeClr w14:val="tx1"/>
            </w14:solidFill>
          </w14:textFill>
        </w:rPr>
        <w:t>99.77</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收入包括：本年一般公共预算拨款收入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万元、上年结转一般公共预算拨款收入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万元；支出包括：</w:t>
      </w:r>
      <w:r>
        <w:rPr>
          <w:rFonts w:hint="eastAsia" w:ascii="仿宋" w:hAnsi="仿宋" w:eastAsia="仿宋" w:cs="仿宋"/>
          <w:color w:val="000000" w:themeColor="text1"/>
          <w:sz w:val="32"/>
          <w:szCs w:val="32"/>
          <w:lang w:eastAsia="zh-CN"/>
          <w14:textFill>
            <w14:solidFill>
              <w14:schemeClr w14:val="tx1"/>
            </w14:solidFill>
          </w14:textFill>
        </w:rPr>
        <w:t>农林水支出</w:t>
      </w:r>
      <w:r>
        <w:rPr>
          <w:rFonts w:hint="eastAsia" w:ascii="仿宋" w:hAnsi="仿宋" w:eastAsia="仿宋" w:cs="仿宋"/>
          <w:color w:val="000000" w:themeColor="text1"/>
          <w:sz w:val="32"/>
          <w:szCs w:val="32"/>
          <w:lang w:val="en-US" w:eastAsia="zh-CN"/>
          <w14:textFill>
            <w14:solidFill>
              <w14:schemeClr w14:val="tx1"/>
            </w14:solidFill>
          </w14:textFill>
        </w:rPr>
        <w:t>103.5</w:t>
      </w:r>
      <w:r>
        <w:rPr>
          <w:rFonts w:hint="eastAsia" w:ascii="仿宋" w:hAnsi="仿宋" w:eastAsia="仿宋" w:cs="仿宋"/>
          <w:color w:val="000000" w:themeColor="text1"/>
          <w:sz w:val="32"/>
          <w:szCs w:val="32"/>
          <w14:textFill>
            <w14:solidFill>
              <w14:schemeClr w14:val="tx1"/>
            </w14:solidFill>
          </w14:textFill>
        </w:rPr>
        <w:t>万元、社会保障和就业支出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1322.36</w:t>
      </w:r>
      <w:r>
        <w:rPr>
          <w:rFonts w:hint="eastAsia" w:ascii="仿宋" w:hAnsi="仿宋" w:eastAsia="仿宋" w:cs="仿宋"/>
          <w:color w:val="000000" w:themeColor="text1"/>
          <w:sz w:val="32"/>
          <w:szCs w:val="32"/>
          <w14:textFill>
            <w14:solidFill>
              <w14:schemeClr w14:val="tx1"/>
            </w14:solidFill>
          </w14:textFill>
        </w:rPr>
        <w:t>万元、卫生健康支出</w:t>
      </w:r>
      <w:r>
        <w:rPr>
          <w:rFonts w:hint="eastAsia" w:ascii="仿宋" w:hAnsi="仿宋" w:eastAsia="仿宋" w:cs="仿宋"/>
          <w:color w:val="000000" w:themeColor="text1"/>
          <w:sz w:val="32"/>
          <w:szCs w:val="32"/>
          <w:lang w:val="en-US" w:eastAsia="zh-CN"/>
          <w14:textFill>
            <w14:solidFill>
              <w14:schemeClr w14:val="tx1"/>
            </w14:solidFill>
          </w14:textFill>
        </w:rPr>
        <w:t>7.91</w:t>
      </w:r>
      <w:r>
        <w:rPr>
          <w:rFonts w:hint="eastAsia" w:ascii="仿宋" w:hAnsi="仿宋" w:eastAsia="仿宋" w:cs="仿宋"/>
          <w:color w:val="000000" w:themeColor="text1"/>
          <w:sz w:val="32"/>
          <w:szCs w:val="32"/>
          <w14:textFill>
            <w14:solidFill>
              <w14:schemeClr w14:val="tx1"/>
            </w14:solidFill>
          </w14:textFill>
        </w:rPr>
        <w:t>万元、住房保障支出</w:t>
      </w:r>
      <w:r>
        <w:rPr>
          <w:rFonts w:hint="eastAsia" w:ascii="仿宋" w:hAnsi="仿宋" w:eastAsia="仿宋" w:cs="仿宋"/>
          <w:color w:val="000000" w:themeColor="text1"/>
          <w:sz w:val="32"/>
          <w:szCs w:val="32"/>
          <w:lang w:val="en-US" w:eastAsia="zh-CN"/>
          <w14:textFill>
            <w14:solidFill>
              <w14:schemeClr w14:val="tx1"/>
            </w14:solidFill>
          </w14:textFill>
        </w:rPr>
        <w:t>10.96</w:t>
      </w:r>
      <w:r>
        <w:rPr>
          <w:rFonts w:hint="eastAsia" w:ascii="仿宋" w:hAnsi="仿宋" w:eastAsia="仿宋" w:cs="仿宋"/>
          <w:color w:val="000000" w:themeColor="text1"/>
          <w:sz w:val="32"/>
          <w:szCs w:val="32"/>
          <w14:textFill>
            <w14:solidFill>
              <w14:schemeClr w14:val="tx1"/>
            </w14:solidFill>
          </w14:textFill>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2022年一般公共预算当年拨款</w:t>
      </w:r>
      <w:r>
        <w:rPr>
          <w:rFonts w:hint="eastAsia" w:ascii="仿宋" w:hAnsi="仿宋" w:eastAsia="仿宋" w:cs="仿宋"/>
          <w:color w:val="000000" w:themeColor="text1"/>
          <w:sz w:val="32"/>
          <w:szCs w:val="32"/>
          <w:lang w:val="en-US" w:eastAsia="zh-CN"/>
          <w14:textFill>
            <w14:solidFill>
              <w14:schemeClr w14:val="tx1"/>
            </w14:solidFill>
          </w14:textFill>
        </w:rPr>
        <w:t>1444.74</w:t>
      </w:r>
      <w:r>
        <w:rPr>
          <w:rFonts w:hint="eastAsia" w:ascii="仿宋" w:hAnsi="仿宋" w:eastAsia="仿宋" w:cs="仿宋"/>
          <w:color w:val="000000" w:themeColor="text1"/>
          <w:sz w:val="32"/>
          <w:szCs w:val="32"/>
          <w14:textFill>
            <w14:solidFill>
              <w14:schemeClr w14:val="tx1"/>
            </w14:solidFill>
          </w14:textFill>
        </w:rPr>
        <w:t>万元，比2021年预算数增加</w:t>
      </w:r>
      <w:r>
        <w:rPr>
          <w:rFonts w:hint="eastAsia" w:ascii="仿宋" w:hAnsi="仿宋" w:eastAsia="仿宋" w:cs="仿宋"/>
          <w:color w:val="000000" w:themeColor="text1"/>
          <w:sz w:val="32"/>
          <w:szCs w:val="32"/>
          <w:lang w:val="en-US" w:eastAsia="zh-CN"/>
          <w14:textFill>
            <w14:solidFill>
              <w14:schemeClr w14:val="tx1"/>
            </w14:solidFill>
          </w14:textFill>
        </w:rPr>
        <w:t>99.77</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农林水</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103.5</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7.2</w:t>
      </w:r>
      <w:r>
        <w:rPr>
          <w:rFonts w:hint="eastAsia" w:ascii="仿宋" w:hAnsi="仿宋" w:eastAsia="仿宋" w:cs="仿宋"/>
          <w:color w:val="000000" w:themeColor="text1"/>
          <w:sz w:val="32"/>
          <w:szCs w:val="32"/>
          <w14:textFill>
            <w14:solidFill>
              <w14:schemeClr w14:val="tx1"/>
            </w14:solidFill>
          </w14:textFill>
        </w:rPr>
        <w:t>%；社会保障和就业支出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1322.36</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91.5</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卫生健康</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7.91</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0.5</w:t>
      </w:r>
      <w:r>
        <w:rPr>
          <w:rFonts w:hint="eastAsia" w:ascii="仿宋" w:hAnsi="仿宋" w:eastAsia="仿宋" w:cs="仿宋"/>
          <w:color w:val="000000" w:themeColor="text1"/>
          <w:sz w:val="32"/>
          <w:szCs w:val="32"/>
          <w14:textFill>
            <w14:solidFill>
              <w14:schemeClr w14:val="tx1"/>
            </w14:solidFill>
          </w14:textFill>
        </w:rPr>
        <w:t>%；住房保障支出</w:t>
      </w:r>
      <w:r>
        <w:rPr>
          <w:rFonts w:hint="eastAsia" w:ascii="仿宋" w:hAnsi="仿宋" w:eastAsia="仿宋" w:cs="仿宋"/>
          <w:color w:val="000000" w:themeColor="text1"/>
          <w:sz w:val="32"/>
          <w:szCs w:val="32"/>
          <w:lang w:val="en-US" w:eastAsia="zh-CN"/>
          <w14:textFill>
            <w14:solidFill>
              <w14:schemeClr w14:val="tx1"/>
            </w14:solidFill>
          </w14:textFill>
        </w:rPr>
        <w:t>10.96</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0.8</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rPr>
          <w:rFonts w:hint="eastAsia" w:ascii="仿宋" w:hAnsi="仿宋" w:eastAsia="仿宋" w:cs="仿宋"/>
          <w:sz w:val="32"/>
          <w:szCs w:val="32"/>
        </w:rPr>
      </w:pPr>
      <w:r>
        <w:rPr>
          <w:rFonts w:hint="eastAsia" w:ascii="仿宋_GB2312" w:hAnsi="仿宋_GB2312" w:eastAsia="仿宋_GB2312" w:cs="仿宋_GB2312"/>
          <w:sz w:val="33"/>
          <w:szCs w:val="33"/>
        </w:rPr>
        <w:t>　</w:t>
      </w:r>
      <w:r>
        <w:rPr>
          <w:rFonts w:hint="eastAsia" w:ascii="仿宋_GB2312" w:hAnsi="仿宋_GB2312" w:eastAsia="仿宋_GB2312" w:cs="仿宋_GB2312"/>
          <w:sz w:val="33"/>
          <w:szCs w:val="33"/>
          <w:lang w:val="en-US" w:eastAsia="zh-CN"/>
        </w:rPr>
        <w:t xml:space="preserve"> </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年部门预算支出按支出功能分类主要用于以下方面：</w:t>
      </w:r>
    </w:p>
    <w:p>
      <w:pPr>
        <w:spacing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（一）社会保障和就业支出（类）人力资源和社会保障管理事务（款）行政运行（项）：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122.8</w:t>
      </w:r>
      <w:r>
        <w:rPr>
          <w:rFonts w:hint="eastAsia" w:ascii="仿宋" w:hAnsi="仿宋" w:eastAsia="仿宋" w:cs="仿宋"/>
          <w:sz w:val="32"/>
          <w:szCs w:val="32"/>
        </w:rPr>
        <w:t>万元，主要用于：单位正常运转的基本支出，包括基本工资、津贴补贴等人员经费以及办公费、印刷费、水电费等日常公用经费。</w:t>
      </w:r>
    </w:p>
    <w:p>
      <w:pPr>
        <w:spacing w:line="600" w:lineRule="exact"/>
        <w:rPr>
          <w:rFonts w:hint="eastAsia" w:ascii="仿宋" w:hAnsi="仿宋" w:eastAsia="仿宋" w:cs="仿宋"/>
          <w:sz w:val="32"/>
          <w:szCs w:val="32"/>
        </w:rPr>
      </w:pPr>
      <w:r>
        <w:rPr>
          <w:rFonts w:hint="eastAsia" w:ascii="仿宋" w:hAnsi="仿宋" w:eastAsia="仿宋" w:cs="仿宋"/>
          <w:sz w:val="32"/>
          <w:szCs w:val="32"/>
        </w:rPr>
        <w:t>　　（二）社会保障和就业支出（类）人力资源和社会保障管理事务（款）社会保险经办机构（项）：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74.17</w:t>
      </w:r>
      <w:r>
        <w:rPr>
          <w:rFonts w:hint="eastAsia" w:ascii="仿宋" w:hAnsi="仿宋" w:eastAsia="仿宋" w:cs="仿宋"/>
          <w:sz w:val="32"/>
          <w:szCs w:val="32"/>
        </w:rPr>
        <w:t>万元，主要用于：保障城乡居民养老保险的管理、征缴和发放等相关工作支出。</w:t>
      </w:r>
    </w:p>
    <w:p>
      <w:pPr>
        <w:spacing w:line="600" w:lineRule="exact"/>
        <w:rPr>
          <w:rFonts w:hint="eastAsia" w:ascii="仿宋" w:hAnsi="仿宋" w:eastAsia="仿宋" w:cs="仿宋"/>
          <w:sz w:val="32"/>
          <w:szCs w:val="32"/>
        </w:rPr>
      </w:pPr>
      <w:r>
        <w:rPr>
          <w:rFonts w:hint="eastAsia" w:ascii="仿宋" w:hAnsi="仿宋" w:eastAsia="仿宋" w:cs="仿宋"/>
          <w:sz w:val="32"/>
          <w:szCs w:val="32"/>
        </w:rPr>
        <w:t>　　（三）社会保障和就业支出（类）财政对基本养老保险基金的补助（款）财政对城乡居民养老保险基金的补助（项）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1110.54</w:t>
      </w:r>
      <w:r>
        <w:rPr>
          <w:rFonts w:hint="eastAsia" w:ascii="仿宋" w:hAnsi="仿宋" w:eastAsia="仿宋" w:cs="仿宋"/>
          <w:sz w:val="32"/>
          <w:szCs w:val="32"/>
        </w:rPr>
        <w:t>万元，主要用于：城乡居民养老保险区级缴费补贴</w:t>
      </w:r>
      <w:r>
        <w:rPr>
          <w:rFonts w:hint="eastAsia" w:ascii="仿宋" w:hAnsi="仿宋" w:eastAsia="仿宋" w:cs="仿宋"/>
          <w:sz w:val="32"/>
          <w:szCs w:val="32"/>
          <w:lang w:eastAsia="zh-CN"/>
        </w:rPr>
        <w:t>，城</w:t>
      </w:r>
      <w:r>
        <w:rPr>
          <w:rFonts w:hint="eastAsia" w:ascii="仿宋" w:hAnsi="仿宋" w:eastAsia="仿宋" w:cs="仿宋"/>
          <w:sz w:val="32"/>
          <w:szCs w:val="32"/>
        </w:rPr>
        <w:t>乡居民养老保险</w:t>
      </w:r>
      <w:r>
        <w:rPr>
          <w:rFonts w:hint="eastAsia" w:ascii="仿宋" w:hAnsi="仿宋" w:eastAsia="仿宋" w:cs="仿宋"/>
          <w:sz w:val="32"/>
          <w:szCs w:val="32"/>
          <w:lang w:eastAsia="zh-CN"/>
        </w:rPr>
        <w:t>基础养老金调待</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rPr>
        <w:t>　　（四）社会保障和就业（类）行政事业单位离退休（款）机关事业单位基本养老保险缴费支出（项）：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14.62</w:t>
      </w:r>
      <w:r>
        <w:rPr>
          <w:rFonts w:hint="eastAsia" w:ascii="仿宋" w:hAnsi="仿宋" w:eastAsia="仿宋" w:cs="仿宋"/>
          <w:sz w:val="32"/>
          <w:szCs w:val="32"/>
        </w:rPr>
        <w:t>万元，主要用于：保障局单位人员基本养老保险缴费支出。</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rPr>
        <w:t>（五）社会保障和就业支出（类）其他社会保障和就业支出（款）其他社会保障和就业支出（项）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年预算数为0.</w:t>
      </w:r>
      <w:r>
        <w:rPr>
          <w:rFonts w:hint="eastAsia" w:ascii="仿宋" w:hAnsi="仿宋" w:eastAsia="仿宋" w:cs="仿宋"/>
          <w:sz w:val="32"/>
          <w:szCs w:val="32"/>
          <w:lang w:val="en-US" w:eastAsia="zh-CN"/>
        </w:rPr>
        <w:t>23</w:t>
      </w:r>
      <w:r>
        <w:rPr>
          <w:rFonts w:hint="eastAsia" w:ascii="仿宋" w:hAnsi="仿宋" w:eastAsia="仿宋" w:cs="仿宋"/>
          <w:sz w:val="32"/>
          <w:szCs w:val="32"/>
        </w:rPr>
        <w:t>万元，主要用于：保障局单位人员工伤、生育保险支出。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（六）卫生健康支出（类）行政事业单位医疗（款）</w:t>
      </w:r>
      <w:r>
        <w:rPr>
          <w:rFonts w:hint="eastAsia" w:ascii="仿宋" w:hAnsi="仿宋" w:eastAsia="仿宋" w:cs="仿宋"/>
          <w:sz w:val="32"/>
          <w:szCs w:val="32"/>
          <w:lang w:eastAsia="zh-CN"/>
        </w:rPr>
        <w:t>行政</w:t>
      </w:r>
      <w:r>
        <w:rPr>
          <w:rFonts w:hint="eastAsia" w:ascii="仿宋" w:hAnsi="仿宋" w:eastAsia="仿宋" w:cs="仿宋"/>
          <w:sz w:val="32"/>
          <w:szCs w:val="32"/>
        </w:rPr>
        <w:t>单位医疗（项）：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6.85</w:t>
      </w:r>
      <w:r>
        <w:rPr>
          <w:rFonts w:hint="eastAsia" w:ascii="仿宋" w:hAnsi="仿宋" w:eastAsia="仿宋" w:cs="仿宋"/>
          <w:sz w:val="32"/>
          <w:szCs w:val="32"/>
        </w:rPr>
        <w:t>万元，主要用于：单位基本医疗保险缴费支出。</w:t>
      </w:r>
    </w:p>
    <w:p>
      <w:pPr>
        <w:spacing w:line="600" w:lineRule="exact"/>
        <w:rPr>
          <w:rFonts w:hint="eastAsia" w:ascii="仿宋" w:hAnsi="仿宋" w:eastAsia="仿宋" w:cs="仿宋"/>
          <w:sz w:val="32"/>
          <w:szCs w:val="32"/>
        </w:rPr>
      </w:pPr>
      <w:r>
        <w:rPr>
          <w:rFonts w:hint="eastAsia" w:ascii="仿宋" w:hAnsi="仿宋" w:eastAsia="仿宋" w:cs="仿宋"/>
          <w:sz w:val="32"/>
          <w:szCs w:val="32"/>
        </w:rPr>
        <w:t>　  （七）卫生健康支出（类）行政事业单位医疗（款）公务员医疗补助（项）：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预算数为</w:t>
      </w:r>
      <w:r>
        <w:rPr>
          <w:rFonts w:hint="eastAsia" w:ascii="仿宋" w:hAnsi="仿宋" w:eastAsia="仿宋" w:cs="仿宋"/>
          <w:sz w:val="32"/>
          <w:szCs w:val="32"/>
          <w:lang w:val="en-US" w:eastAsia="zh-CN"/>
        </w:rPr>
        <w:t>1.06</w:t>
      </w:r>
      <w:r>
        <w:rPr>
          <w:rFonts w:hint="eastAsia" w:ascii="仿宋" w:hAnsi="仿宋" w:eastAsia="仿宋" w:cs="仿宋"/>
          <w:sz w:val="32"/>
          <w:szCs w:val="32"/>
        </w:rPr>
        <w:t>万元，主要用于：财政部门安排的公务员医疗补助支出。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（八）住房保障（类）住房改革支出（款）住房公积金（项）：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10.96</w:t>
      </w:r>
      <w:r>
        <w:rPr>
          <w:rFonts w:hint="eastAsia" w:ascii="仿宋" w:hAnsi="仿宋" w:eastAsia="仿宋" w:cs="仿宋"/>
          <w:sz w:val="32"/>
          <w:szCs w:val="32"/>
        </w:rPr>
        <w:t>万元，主要用于：按人力资源和社会保障部、财政部规定的基本工资和津贴补贴以及规定比例为职工缴纳的住房公积金支出。</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eastAsia="zh-CN"/>
        </w:rPr>
        <w:t>农林水</w:t>
      </w:r>
      <w:r>
        <w:rPr>
          <w:rFonts w:hint="eastAsia" w:ascii="仿宋" w:hAnsi="仿宋" w:eastAsia="仿宋" w:cs="仿宋"/>
          <w:sz w:val="32"/>
          <w:szCs w:val="32"/>
        </w:rPr>
        <w:t>（类）支出</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社会发展</w:t>
      </w:r>
      <w:r>
        <w:rPr>
          <w:rFonts w:hint="eastAsia" w:ascii="仿宋" w:hAnsi="仿宋" w:eastAsia="仿宋" w:cs="仿宋"/>
          <w:sz w:val="32"/>
          <w:szCs w:val="32"/>
        </w:rPr>
        <w:t>（项）：</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103.5</w:t>
      </w:r>
      <w:r>
        <w:rPr>
          <w:rFonts w:hint="eastAsia" w:ascii="仿宋" w:hAnsi="仿宋" w:eastAsia="仿宋" w:cs="仿宋"/>
          <w:sz w:val="32"/>
          <w:szCs w:val="32"/>
        </w:rPr>
        <w:t>万元，主要用于：</w:t>
      </w:r>
      <w:r>
        <w:rPr>
          <w:rFonts w:hint="eastAsia" w:ascii="仿宋" w:hAnsi="仿宋" w:eastAsia="仿宋" w:cs="仿宋"/>
          <w:sz w:val="32"/>
          <w:szCs w:val="32"/>
          <w:lang w:eastAsia="zh-CN"/>
        </w:rPr>
        <w:t>困难群众城乡居民养老保险个人缴费代缴。</w:t>
      </w:r>
    </w:p>
    <w:p>
      <w:pPr>
        <w:spacing w:line="600" w:lineRule="exact"/>
        <w:ind w:left="147" w:leftChars="70" w:firstLine="480" w:firstLineChars="15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2022年一般公共预算基本支出</w:t>
      </w:r>
      <w:r>
        <w:rPr>
          <w:rFonts w:hint="eastAsia" w:ascii="仿宋" w:hAnsi="仿宋" w:eastAsia="仿宋" w:cs="仿宋"/>
          <w:color w:val="000000" w:themeColor="text1"/>
          <w:sz w:val="32"/>
          <w:szCs w:val="32"/>
          <w:lang w:val="en-US" w:eastAsia="zh-CN"/>
          <w14:textFill>
            <w14:solidFill>
              <w14:schemeClr w14:val="tx1"/>
            </w14:solidFill>
          </w14:textFill>
        </w:rPr>
        <w:t>156.52</w:t>
      </w:r>
      <w:r>
        <w:rPr>
          <w:rFonts w:hint="eastAsia" w:ascii="仿宋" w:hAnsi="仿宋" w:eastAsia="仿宋" w:cs="仿宋"/>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人员经费</w:t>
      </w:r>
      <w:r>
        <w:rPr>
          <w:rFonts w:hint="eastAsia" w:ascii="仿宋" w:hAnsi="仿宋" w:eastAsia="仿宋" w:cs="仿宋"/>
          <w:color w:val="000000" w:themeColor="text1"/>
          <w:sz w:val="32"/>
          <w:szCs w:val="32"/>
          <w:lang w:val="en-US" w:eastAsia="zh-CN"/>
          <w14:textFill>
            <w14:solidFill>
              <w14:schemeClr w14:val="tx1"/>
            </w14:solidFill>
          </w14:textFill>
        </w:rPr>
        <w:t>125.13</w:t>
      </w:r>
      <w:r>
        <w:rPr>
          <w:rFonts w:hint="eastAsia" w:ascii="仿宋" w:hAnsi="仿宋" w:eastAsia="仿宋" w:cs="仿宋"/>
          <w:color w:val="000000" w:themeColor="text1"/>
          <w:sz w:val="32"/>
          <w:szCs w:val="32"/>
          <w14:textFill>
            <w14:solidFill>
              <w14:schemeClr w14:val="tx1"/>
            </w14:solidFill>
          </w14:textFill>
        </w:rPr>
        <w:t>万元，主要包括：基本工资、津贴补贴、奖金、社会保险缴费等。</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公用经费</w:t>
      </w:r>
      <w:r>
        <w:rPr>
          <w:rFonts w:hint="eastAsia" w:ascii="仿宋" w:hAnsi="仿宋" w:eastAsia="仿宋" w:cs="仿宋"/>
          <w:color w:val="000000" w:themeColor="text1"/>
          <w:sz w:val="32"/>
          <w:szCs w:val="32"/>
          <w:lang w:val="en-US" w:eastAsia="zh-CN"/>
          <w14:textFill>
            <w14:solidFill>
              <w14:schemeClr w14:val="tx1"/>
            </w14:solidFill>
          </w14:textFill>
        </w:rPr>
        <w:t>31.39</w:t>
      </w:r>
      <w:r>
        <w:rPr>
          <w:rFonts w:hint="eastAsia" w:ascii="仿宋" w:hAnsi="仿宋" w:eastAsia="仿宋" w:cs="仿宋"/>
          <w:color w:val="000000" w:themeColor="text1"/>
          <w:sz w:val="32"/>
          <w:szCs w:val="32"/>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2022年“三公”经费财政拨款预算数</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万元，其中：因公出国（境）经费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万元，公务接待费</w:t>
      </w:r>
      <w:r>
        <w:rPr>
          <w:rFonts w:hint="eastAsia" w:ascii="仿宋" w:hAnsi="仿宋" w:eastAsia="仿宋" w:cs="仿宋"/>
          <w:color w:val="000000" w:themeColor="text1"/>
          <w:sz w:val="32"/>
          <w:szCs w:val="32"/>
          <w:lang w:val="en-US" w:eastAsia="zh-CN"/>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万元，公务用车购置及运行维护费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spacing w:line="600" w:lineRule="exact"/>
        <w:ind w:left="147" w:leftChars="70" w:firstLine="482" w:firstLineChars="150"/>
        <w:rPr>
          <w:rFonts w:hint="eastAsia" w:eastAsia="方正仿宋简体"/>
          <w:sz w:val="32"/>
          <w:szCs w:val="32"/>
        </w:rPr>
      </w:pPr>
      <w:r>
        <w:rPr>
          <w:rFonts w:eastAsia="方正楷体简体"/>
          <w:b/>
          <w:sz w:val="32"/>
          <w:szCs w:val="32"/>
        </w:rPr>
        <w:t>（一）因公出国（境）经费较20</w:t>
      </w:r>
      <w:r>
        <w:rPr>
          <w:rFonts w:hint="eastAsia" w:eastAsia="方正楷体简体"/>
          <w:b/>
          <w:sz w:val="32"/>
          <w:szCs w:val="32"/>
        </w:rPr>
        <w:t>21</w:t>
      </w:r>
      <w:r>
        <w:rPr>
          <w:rFonts w:eastAsia="方正楷体简体"/>
          <w:b/>
          <w:sz w:val="32"/>
          <w:szCs w:val="32"/>
        </w:rPr>
        <w:t>年预算持平。</w:t>
      </w:r>
    </w:p>
    <w:p>
      <w:pPr>
        <w:spacing w:line="600" w:lineRule="exact"/>
        <w:ind w:left="147" w:leftChars="70" w:firstLine="480" w:firstLineChars="150"/>
        <w:rPr>
          <w:rFonts w:eastAsia="方正仿宋简体"/>
          <w:b/>
          <w:sz w:val="32"/>
          <w:szCs w:val="32"/>
        </w:rPr>
      </w:pPr>
      <w:r>
        <w:rPr>
          <w:rFonts w:hint="eastAsia" w:ascii="仿宋" w:hAnsi="仿宋" w:eastAsia="仿宋" w:cs="仿宋"/>
          <w:color w:val="000000" w:themeColor="text1"/>
          <w:sz w:val="32"/>
          <w:szCs w:val="32"/>
          <w14:textFill>
            <w14:solidFill>
              <w14:schemeClr w14:val="tx1"/>
            </w14:solidFill>
          </w14:textFill>
        </w:rPr>
        <w:t>本年度拟安排出国（境）</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人次</w:t>
      </w:r>
      <w:r>
        <w:rPr>
          <w:rFonts w:eastAsia="方正仿宋简体"/>
          <w:sz w:val="32"/>
          <w:szCs w:val="32"/>
        </w:rPr>
        <w:t>。</w:t>
      </w:r>
    </w:p>
    <w:p>
      <w:pPr>
        <w:spacing w:line="600" w:lineRule="exact"/>
        <w:ind w:left="147" w:leftChars="70" w:firstLine="482" w:firstLineChars="150"/>
        <w:rPr>
          <w:rFonts w:hint="eastAsia" w:ascii="仿宋" w:hAnsi="仿宋" w:eastAsia="仿宋" w:cs="仿宋"/>
          <w:color w:val="000000" w:themeColor="text1"/>
          <w:sz w:val="32"/>
          <w:szCs w:val="32"/>
          <w14:textFill>
            <w14:solidFill>
              <w14:schemeClr w14:val="tx1"/>
            </w14:solidFill>
          </w14:textFill>
        </w:rPr>
      </w:pPr>
      <w:r>
        <w:rPr>
          <w:rFonts w:eastAsia="方正楷体简体"/>
          <w:b/>
          <w:sz w:val="32"/>
          <w:szCs w:val="32"/>
        </w:rPr>
        <w:t>（二）公务接待费较20</w:t>
      </w:r>
      <w:r>
        <w:rPr>
          <w:rFonts w:hint="eastAsia" w:eastAsia="方正楷体简体"/>
          <w:b/>
          <w:sz w:val="32"/>
          <w:szCs w:val="32"/>
        </w:rPr>
        <w:t>21</w:t>
      </w:r>
      <w:r>
        <w:rPr>
          <w:rFonts w:eastAsia="方正楷体简体"/>
          <w:b/>
          <w:sz w:val="32"/>
          <w:szCs w:val="32"/>
        </w:rPr>
        <w:t>年预算</w:t>
      </w:r>
      <w:r>
        <w:rPr>
          <w:rFonts w:hint="eastAsia" w:eastAsia="方正楷体简体"/>
          <w:b/>
          <w:sz w:val="32"/>
          <w:szCs w:val="32"/>
          <w:lang w:eastAsia="zh-CN"/>
        </w:rPr>
        <w:t>增长</w:t>
      </w:r>
      <w:r>
        <w:rPr>
          <w:rFonts w:hint="eastAsia" w:eastAsia="方正楷体简体"/>
          <w:b/>
          <w:sz w:val="32"/>
          <w:szCs w:val="32"/>
          <w:lang w:val="en-US" w:eastAsia="zh-CN"/>
        </w:rPr>
        <w:t>19%</w:t>
      </w:r>
      <w:r>
        <w:rPr>
          <w:rFonts w:eastAsia="方正楷体简体"/>
          <w:b/>
          <w:sz w:val="32"/>
          <w:szCs w:val="32"/>
        </w:rPr>
        <w:t>。</w:t>
      </w:r>
      <w:r>
        <w:rPr>
          <w:rFonts w:hint="eastAsia" w:ascii="仿宋" w:hAnsi="仿宋" w:eastAsia="仿宋" w:cs="仿宋"/>
          <w:color w:val="000000" w:themeColor="text1"/>
          <w:sz w:val="32"/>
          <w:szCs w:val="32"/>
          <w14:textFill>
            <w14:solidFill>
              <w14:schemeClr w14:val="tx1"/>
            </w14:solidFill>
          </w14:textFill>
        </w:rPr>
        <w:t>主要原因是</w:t>
      </w:r>
      <w:r>
        <w:rPr>
          <w:rFonts w:hint="eastAsia" w:ascii="仿宋" w:hAnsi="仿宋" w:eastAsia="仿宋" w:cs="仿宋"/>
          <w:color w:val="000000" w:themeColor="text1"/>
          <w:sz w:val="32"/>
          <w:szCs w:val="32"/>
          <w:lang w:eastAsia="zh-CN"/>
          <w14:textFill>
            <w14:solidFill>
              <w14:schemeClr w14:val="tx1"/>
            </w14:solidFill>
          </w14:textFill>
        </w:rPr>
        <w:t>社保基金监督检查增加</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left="147" w:leftChars="70" w:firstLine="800" w:firstLineChars="250"/>
        <w:rPr>
          <w:rFonts w:eastAsia="方正仿宋简体"/>
          <w:sz w:val="32"/>
          <w:szCs w:val="32"/>
        </w:rPr>
      </w:pPr>
      <w:r>
        <w:rPr>
          <w:rFonts w:hint="eastAsia" w:ascii="仿宋" w:hAnsi="仿宋" w:eastAsia="仿宋" w:cs="仿宋"/>
          <w:color w:val="000000" w:themeColor="text1"/>
          <w:sz w:val="32"/>
          <w:szCs w:val="32"/>
          <w14:textFill>
            <w14:solidFill>
              <w14:schemeClr w14:val="tx1"/>
            </w14:solidFill>
          </w14:textFill>
        </w:rPr>
        <w:t>2022年公务接待费计划用于</w:t>
      </w:r>
      <w:r>
        <w:rPr>
          <w:rFonts w:hint="eastAsia" w:ascii="仿宋" w:hAnsi="仿宋" w:eastAsia="仿宋" w:cs="仿宋"/>
          <w:color w:val="000000" w:themeColor="text1"/>
          <w:sz w:val="32"/>
          <w:szCs w:val="32"/>
          <w:lang w:eastAsia="zh-CN"/>
          <w14:textFill>
            <w14:solidFill>
              <w14:schemeClr w14:val="tx1"/>
            </w14:solidFill>
          </w14:textFill>
        </w:rPr>
        <w:t>国内公务接待</w:t>
      </w:r>
      <w:r>
        <w:rPr>
          <w:rFonts w:hint="eastAsia" w:ascii="仿宋" w:hAnsi="仿宋" w:eastAsia="仿宋" w:cs="仿宋"/>
          <w:color w:val="000000" w:themeColor="text1"/>
          <w:sz w:val="32"/>
          <w:szCs w:val="32"/>
          <w14:textFill>
            <w14:solidFill>
              <w14:schemeClr w14:val="tx1"/>
            </w14:solidFill>
          </w14:textFill>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公务用车购置及运行维护费较2021年预算</w:t>
      </w:r>
      <w:r>
        <w:rPr>
          <w:rFonts w:hint="eastAsia" w:eastAsia="方正楷体简体"/>
          <w:b/>
          <w:sz w:val="32"/>
          <w:szCs w:val="32"/>
          <w:lang w:eastAsia="zh-CN"/>
        </w:rPr>
        <w:t>持平</w:t>
      </w:r>
      <w:r>
        <w:rPr>
          <w:rFonts w:hint="eastAsia" w:eastAsia="方正楷体简体"/>
          <w:b/>
          <w:sz w:val="32"/>
          <w:szCs w:val="32"/>
        </w:rPr>
        <w:t>。</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现有公务用车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公务用车购置费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万元，较2021年预算</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公务用车运行维护费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万元，较2021年预算</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2022年没有使用政府性基金预算拨款安排的支出。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eastAsia="方正仿宋简体"/>
          <w:color w:val="FF0000"/>
          <w:sz w:val="32"/>
          <w:szCs w:val="32"/>
        </w:rPr>
      </w:pP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2022年没有使用国有资本经营预算拨款安排的支出</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2022年机关运行经费财政拨款预算为</w:t>
      </w:r>
      <w:r>
        <w:rPr>
          <w:rFonts w:hint="eastAsia" w:ascii="仿宋" w:hAnsi="仿宋" w:eastAsia="仿宋" w:cs="仿宋"/>
          <w:color w:val="auto"/>
          <w:sz w:val="32"/>
          <w:szCs w:val="32"/>
          <w:lang w:val="en-US" w:eastAsia="zh-CN"/>
        </w:rPr>
        <w:t>31.39</w:t>
      </w:r>
      <w:r>
        <w:rPr>
          <w:rFonts w:hint="eastAsia" w:ascii="仿宋" w:hAnsi="仿宋" w:eastAsia="仿宋" w:cs="仿宋"/>
          <w:color w:val="auto"/>
          <w:sz w:val="32"/>
          <w:szCs w:val="32"/>
        </w:rPr>
        <w:t>万元，比2021年预算增加</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8.3</w:t>
      </w:r>
      <w:r>
        <w:rPr>
          <w:rFonts w:hint="eastAsia" w:ascii="仿宋" w:hAnsi="仿宋" w:eastAsia="仿宋" w:cs="仿宋"/>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2022年，</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安排政府采购预算</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万元，主要用于采购办公设备。</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截至2021年底，</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辆。单位价值100万元以上大型设备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600" w:lineRule="exact"/>
        <w:ind w:firstLine="640" w:firstLineChars="200"/>
        <w:rPr>
          <w:rFonts w:eastAsia="方正仿宋简体"/>
          <w:sz w:val="32"/>
          <w:szCs w:val="32"/>
        </w:rPr>
      </w:pPr>
      <w:r>
        <w:rPr>
          <w:rFonts w:hint="eastAsia" w:ascii="仿宋" w:hAnsi="仿宋" w:eastAsia="仿宋" w:cs="仿宋"/>
          <w:color w:val="auto"/>
          <w:sz w:val="32"/>
          <w:szCs w:val="32"/>
        </w:rPr>
        <w:t>2022年部门预算未安排购置车辆及单位价值100万元以上大型设备</w:t>
      </w:r>
      <w:r>
        <w:rPr>
          <w:rFonts w:hint="eastAsia" w:eastAsia="方正仿宋简体"/>
          <w:sz w:val="32"/>
          <w:szCs w:val="32"/>
        </w:rPr>
        <w:t>。</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绩效目标是预算编制的前提和基础，按照“费随事定”的原则，2022年</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ascii="仿宋" w:hAnsi="仿宋" w:eastAsia="仿宋" w:cs="仿宋"/>
          <w:color w:val="auto"/>
          <w:sz w:val="32"/>
          <w:szCs w:val="32"/>
        </w:rPr>
        <w:t>。（绩效目标具体情况详见公开表中的绩效目标表）。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（一）一般公共预算拨款收入：指区级财政当年拨付的资金。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（二）上年结转：指以前年度尚未完成，结转到本年仍按原规定用途继续使用的资金。</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社会保障和就业类：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社会保障和就业（类）人力资源和社会保险管理事务（款）行政运行（项）:指行政单位（包括实行公务员管理的事业单位）的基本支出。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社会保障和就业（类）人力资源和社会保险管理事务（款）社会保险经办机构（项）:指社会保险经办机构开展业务工作的支出。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社会保障和就业（类）财政对社会保险基金的补助（款）财政对城乡居民基本养老保险基金的补助（项）:指财政对城乡居民基本养老保险基金的补助支出。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社会保障和就业（类）其他社会保障和就业支出（款）其他社会保障和就业支出（项）:指其他用于社会保障和就业方面的支出。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社会保障和就业（类）行政事业单位离退休（款）机关事业单位基本养老保险缴费支出（项）:指机关事业单位实施养老保险制度由单位缴纳的基本养老保险费支出。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卫生健康支出（类）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卫生健康支出（类）行政事业单位医疗（款）</w:t>
      </w:r>
      <w:r>
        <w:rPr>
          <w:rFonts w:hint="eastAsia" w:ascii="仿宋" w:hAnsi="仿宋" w:eastAsia="仿宋" w:cs="仿宋"/>
          <w:sz w:val="32"/>
          <w:szCs w:val="32"/>
          <w:lang w:eastAsia="zh-CN"/>
        </w:rPr>
        <w:t>行政</w:t>
      </w:r>
      <w:r>
        <w:rPr>
          <w:rFonts w:hint="eastAsia" w:ascii="仿宋" w:hAnsi="仿宋" w:eastAsia="仿宋" w:cs="仿宋"/>
          <w:sz w:val="32"/>
          <w:szCs w:val="32"/>
        </w:rPr>
        <w:t>单位医疗（项）:指财政部门集中安排的</w:t>
      </w:r>
      <w:r>
        <w:rPr>
          <w:rFonts w:hint="eastAsia" w:ascii="仿宋" w:hAnsi="仿宋" w:eastAsia="仿宋" w:cs="仿宋"/>
          <w:sz w:val="32"/>
          <w:szCs w:val="32"/>
          <w:lang w:eastAsia="zh-CN"/>
        </w:rPr>
        <w:t>行政</w:t>
      </w:r>
      <w:r>
        <w:rPr>
          <w:rFonts w:hint="eastAsia" w:ascii="仿宋" w:hAnsi="仿宋" w:eastAsia="仿宋" w:cs="仿宋"/>
          <w:sz w:val="32"/>
          <w:szCs w:val="32"/>
        </w:rPr>
        <w:t>单位基本医疗保险缴费经费，未参加医疗保险的</w:t>
      </w:r>
      <w:r>
        <w:rPr>
          <w:rFonts w:hint="eastAsia" w:ascii="仿宋" w:hAnsi="仿宋" w:eastAsia="仿宋" w:cs="仿宋"/>
          <w:sz w:val="32"/>
          <w:szCs w:val="32"/>
          <w:lang w:eastAsia="zh-CN"/>
        </w:rPr>
        <w:t>行政</w:t>
      </w:r>
      <w:r>
        <w:rPr>
          <w:rFonts w:hint="eastAsia" w:ascii="仿宋" w:hAnsi="仿宋" w:eastAsia="仿宋" w:cs="仿宋"/>
          <w:sz w:val="32"/>
          <w:szCs w:val="32"/>
        </w:rPr>
        <w:t>单位的公费医疗经费，按国家规定享受离休人员待遇的医疗经费。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卫生健康支出（类）行政事业单位医疗（款）公务员医疗补助（项）:指财政部门集中安排的公务员医疗补助经费。</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农林水</w:t>
      </w:r>
      <w:r>
        <w:rPr>
          <w:rFonts w:hint="eastAsia" w:ascii="仿宋" w:hAnsi="仿宋" w:eastAsia="仿宋" w:cs="仿宋"/>
          <w:sz w:val="32"/>
          <w:szCs w:val="32"/>
        </w:rPr>
        <w:t>支出（类</w:t>
      </w:r>
      <w:r>
        <w:rPr>
          <w:rFonts w:hint="eastAsia" w:ascii="仿宋" w:hAnsi="仿宋" w:eastAsia="仿宋" w:cs="仿宋"/>
          <w:sz w:val="32"/>
          <w:szCs w:val="32"/>
          <w:lang w:eastAsia="zh-CN"/>
        </w:rPr>
        <w:t>）</w:t>
      </w:r>
    </w:p>
    <w:p>
      <w:pPr>
        <w:spacing w:line="600" w:lineRule="exact"/>
        <w:ind w:firstLine="320" w:firstLineChars="100"/>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sz w:val="32"/>
          <w:szCs w:val="32"/>
          <w:lang w:eastAsia="zh-CN"/>
        </w:rPr>
        <w:t>农林水</w:t>
      </w:r>
      <w:r>
        <w:rPr>
          <w:rFonts w:hint="eastAsia" w:ascii="仿宋" w:hAnsi="仿宋" w:eastAsia="仿宋" w:cs="仿宋"/>
          <w:sz w:val="32"/>
          <w:szCs w:val="32"/>
        </w:rPr>
        <w:t>（类）支出</w:t>
      </w:r>
      <w:r>
        <w:rPr>
          <w:rFonts w:hint="eastAsia" w:ascii="仿宋" w:hAnsi="仿宋" w:eastAsia="仿宋" w:cs="仿宋"/>
          <w:sz w:val="32"/>
          <w:szCs w:val="32"/>
          <w:lang w:eastAsia="zh-CN"/>
        </w:rPr>
        <w:t>扶贫</w:t>
      </w:r>
      <w:r>
        <w:rPr>
          <w:rFonts w:hint="eastAsia" w:ascii="仿宋" w:hAnsi="仿宋" w:eastAsia="仿宋" w:cs="仿宋"/>
          <w:sz w:val="32"/>
          <w:szCs w:val="32"/>
        </w:rPr>
        <w:t>（款）</w:t>
      </w:r>
      <w:r>
        <w:rPr>
          <w:rFonts w:hint="eastAsia" w:ascii="仿宋" w:hAnsi="仿宋" w:eastAsia="仿宋" w:cs="仿宋"/>
          <w:sz w:val="32"/>
          <w:szCs w:val="32"/>
          <w:lang w:eastAsia="zh-CN"/>
        </w:rPr>
        <w:t>社会发展</w:t>
      </w:r>
      <w:r>
        <w:rPr>
          <w:rFonts w:hint="eastAsia" w:ascii="仿宋" w:hAnsi="仿宋" w:eastAsia="仿宋" w:cs="仿宋"/>
          <w:sz w:val="32"/>
          <w:szCs w:val="32"/>
        </w:rPr>
        <w:t>（项）：</w:t>
      </w:r>
      <w:r>
        <w:rPr>
          <w:rFonts w:hint="eastAsia" w:ascii="仿宋" w:hAnsi="仿宋" w:eastAsia="仿宋" w:cs="仿宋"/>
          <w:sz w:val="32"/>
          <w:szCs w:val="32"/>
          <w:lang w:eastAsia="zh-CN"/>
        </w:rPr>
        <w:t>指用于农村贫困地区中小学教育、文化、广播、电视、医疗、卫生等方面的项目支出。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基本支出：指为保障机构正常运转、完成日常工作任务而发生的人员支出和公用支出。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 xml:space="preserve">项目支出：指在基本支出之外为完成特定行政任务和事业发展目标所发生的支出。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numPr>
          <w:ilvl w:val="0"/>
          <w:numId w:val="0"/>
        </w:numPr>
        <w:spacing w:line="600" w:lineRule="exact"/>
        <w:ind w:leftChars="145"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（十一）</w:t>
      </w:r>
      <w:r>
        <w:rPr>
          <w:rFonts w:hint="eastAsia" w:ascii="仿宋" w:hAnsi="仿宋" w:eastAsia="仿宋" w:cs="仿宋"/>
          <w:sz w:val="32"/>
          <w:szCs w:val="32"/>
        </w:rPr>
        <w:t>绩效目标：指给评估者和被评估者提供所需要的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"http://www.so.com/s?q=%E8%AF%84%E4%BB%B7%E6%A0%87%E5%87%86&amp;ie=utf-8&amp;src=internal_wenda_recommend_textn"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评价标准</w:t>
      </w:r>
      <w:r>
        <w:rPr>
          <w:rFonts w:hint="eastAsia" w:ascii="仿宋" w:hAnsi="仿宋" w:eastAsia="仿宋" w:cs="仿宋"/>
          <w:sz w:val="32"/>
          <w:szCs w:val="32"/>
        </w:rPr>
        <w:fldChar w:fldCharType="end"/>
      </w:r>
      <w:r>
        <w:rPr>
          <w:rFonts w:hint="eastAsia" w:ascii="仿宋" w:hAnsi="仿宋" w:eastAsia="仿宋" w:cs="仿宋"/>
          <w:sz w:val="32"/>
          <w:szCs w:val="32"/>
        </w:rPr>
        <w:t>，以便客观地讨论、监督、衡量</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"http://www.so.com/s?q=%E7%BB%A9%E6%95%88&amp;ie=utf-8&amp;src=internal_wenda_recommend_textn"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绩效</w:t>
      </w:r>
      <w:r>
        <w:rPr>
          <w:rFonts w:hint="eastAsia" w:ascii="仿宋" w:hAnsi="仿宋" w:eastAsia="仿宋" w:cs="仿宋"/>
          <w:sz w:val="32"/>
          <w:szCs w:val="32"/>
        </w:rPr>
        <w:fldChar w:fldCharType="end"/>
      </w:r>
      <w:r>
        <w:rPr>
          <w:rFonts w:hint="eastAsia" w:ascii="仿宋" w:hAnsi="仿宋" w:eastAsia="仿宋" w:cs="仿宋"/>
          <w:sz w:val="32"/>
          <w:szCs w:val="32"/>
        </w:rPr>
        <w:t>。</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2年部门预算公开表</w:t>
      </w:r>
    </w:p>
    <w:p>
      <w:pPr>
        <w:spacing w:line="600" w:lineRule="exact"/>
        <w:ind w:firstLine="1600" w:firstLineChars="500"/>
        <w:rPr>
          <w:rFonts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楷体简体">
    <w:altName w:val="楷体_GB2312"/>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NjgyYTAwMGIyZmI3YjY3NGRhMWM3MDlhYmQ2NzQifQ=="/>
  </w:docVars>
  <w:rsids>
    <w:rsidRoot w:val="3E2B482E"/>
    <w:rsid w:val="00276E33"/>
    <w:rsid w:val="0098204F"/>
    <w:rsid w:val="009F2E6D"/>
    <w:rsid w:val="011E1FE4"/>
    <w:rsid w:val="014B08FF"/>
    <w:rsid w:val="017E6F26"/>
    <w:rsid w:val="018643D5"/>
    <w:rsid w:val="01A87AFF"/>
    <w:rsid w:val="023F0464"/>
    <w:rsid w:val="024B6E08"/>
    <w:rsid w:val="0274274B"/>
    <w:rsid w:val="02C866AB"/>
    <w:rsid w:val="02DD1A2B"/>
    <w:rsid w:val="02F72AEC"/>
    <w:rsid w:val="0336174A"/>
    <w:rsid w:val="036068E4"/>
    <w:rsid w:val="03802AE2"/>
    <w:rsid w:val="03FB660C"/>
    <w:rsid w:val="04FF3EDA"/>
    <w:rsid w:val="05031C1C"/>
    <w:rsid w:val="05353DA0"/>
    <w:rsid w:val="05834B0B"/>
    <w:rsid w:val="06222576"/>
    <w:rsid w:val="06250595"/>
    <w:rsid w:val="062A31D9"/>
    <w:rsid w:val="06606BFB"/>
    <w:rsid w:val="067508F8"/>
    <w:rsid w:val="06A116ED"/>
    <w:rsid w:val="071A324D"/>
    <w:rsid w:val="079E79DA"/>
    <w:rsid w:val="07B45450"/>
    <w:rsid w:val="07B92A66"/>
    <w:rsid w:val="07DC0503"/>
    <w:rsid w:val="08F739C6"/>
    <w:rsid w:val="098470A4"/>
    <w:rsid w:val="09905A49"/>
    <w:rsid w:val="09A17C56"/>
    <w:rsid w:val="09C120A6"/>
    <w:rsid w:val="09C556F2"/>
    <w:rsid w:val="0A0879C8"/>
    <w:rsid w:val="0A717628"/>
    <w:rsid w:val="0B383678"/>
    <w:rsid w:val="0B446AEB"/>
    <w:rsid w:val="0B7F5D75"/>
    <w:rsid w:val="0B9A495D"/>
    <w:rsid w:val="0BC639A4"/>
    <w:rsid w:val="0BC65752"/>
    <w:rsid w:val="0CB70557"/>
    <w:rsid w:val="0CDB522D"/>
    <w:rsid w:val="0DB55A7E"/>
    <w:rsid w:val="0DB717F6"/>
    <w:rsid w:val="0E2055ED"/>
    <w:rsid w:val="0E252C04"/>
    <w:rsid w:val="0E4A08BC"/>
    <w:rsid w:val="0E813BB2"/>
    <w:rsid w:val="0EA855E3"/>
    <w:rsid w:val="0EC0292C"/>
    <w:rsid w:val="0F0C791F"/>
    <w:rsid w:val="0F707EAE"/>
    <w:rsid w:val="0F9022FF"/>
    <w:rsid w:val="0F9A4F2B"/>
    <w:rsid w:val="0FA43FFC"/>
    <w:rsid w:val="0FCE2E27"/>
    <w:rsid w:val="0FFF1232"/>
    <w:rsid w:val="10120F66"/>
    <w:rsid w:val="106519DD"/>
    <w:rsid w:val="107C2883"/>
    <w:rsid w:val="10AC13BA"/>
    <w:rsid w:val="10C81F6C"/>
    <w:rsid w:val="1109680C"/>
    <w:rsid w:val="118C621E"/>
    <w:rsid w:val="1191235E"/>
    <w:rsid w:val="11A66C9A"/>
    <w:rsid w:val="11D02E86"/>
    <w:rsid w:val="121E0096"/>
    <w:rsid w:val="122136E2"/>
    <w:rsid w:val="13737F6D"/>
    <w:rsid w:val="13F54E26"/>
    <w:rsid w:val="14373691"/>
    <w:rsid w:val="14535FF1"/>
    <w:rsid w:val="14733F9D"/>
    <w:rsid w:val="147C10A3"/>
    <w:rsid w:val="148461AA"/>
    <w:rsid w:val="14F50E56"/>
    <w:rsid w:val="15842905"/>
    <w:rsid w:val="165E3157"/>
    <w:rsid w:val="16C3745D"/>
    <w:rsid w:val="17125CEF"/>
    <w:rsid w:val="175400B6"/>
    <w:rsid w:val="17B648CC"/>
    <w:rsid w:val="17C65383"/>
    <w:rsid w:val="17C76AD9"/>
    <w:rsid w:val="18C179CD"/>
    <w:rsid w:val="18D94D16"/>
    <w:rsid w:val="19322678"/>
    <w:rsid w:val="19434886"/>
    <w:rsid w:val="19C5529B"/>
    <w:rsid w:val="19E5593D"/>
    <w:rsid w:val="1AB570BD"/>
    <w:rsid w:val="1AED2CFB"/>
    <w:rsid w:val="1C2A7637"/>
    <w:rsid w:val="1CC94D45"/>
    <w:rsid w:val="1D1207F7"/>
    <w:rsid w:val="1DEC729A"/>
    <w:rsid w:val="1DF779ED"/>
    <w:rsid w:val="1E004AF3"/>
    <w:rsid w:val="1EA71413"/>
    <w:rsid w:val="1EA72C55"/>
    <w:rsid w:val="1ED04EA3"/>
    <w:rsid w:val="1F7D1D21"/>
    <w:rsid w:val="1F9000F9"/>
    <w:rsid w:val="1FB45B95"/>
    <w:rsid w:val="1FF561AE"/>
    <w:rsid w:val="20B02985"/>
    <w:rsid w:val="21333432"/>
    <w:rsid w:val="22E91FFA"/>
    <w:rsid w:val="23072480"/>
    <w:rsid w:val="23614286"/>
    <w:rsid w:val="23E10133"/>
    <w:rsid w:val="24101808"/>
    <w:rsid w:val="25513E86"/>
    <w:rsid w:val="25537BFE"/>
    <w:rsid w:val="25695674"/>
    <w:rsid w:val="26A12BEB"/>
    <w:rsid w:val="26CF59AB"/>
    <w:rsid w:val="27AB3D22"/>
    <w:rsid w:val="27C86044"/>
    <w:rsid w:val="27EE3C0E"/>
    <w:rsid w:val="28D252DE"/>
    <w:rsid w:val="28DE1ED5"/>
    <w:rsid w:val="29824F56"/>
    <w:rsid w:val="29FC6AB7"/>
    <w:rsid w:val="2AA61B2B"/>
    <w:rsid w:val="2ACB6489"/>
    <w:rsid w:val="2B1716CE"/>
    <w:rsid w:val="2B5B780D"/>
    <w:rsid w:val="2BFD3E16"/>
    <w:rsid w:val="2C931228"/>
    <w:rsid w:val="2CE81574"/>
    <w:rsid w:val="2CFA3055"/>
    <w:rsid w:val="2D572256"/>
    <w:rsid w:val="2D915768"/>
    <w:rsid w:val="2DB66F7C"/>
    <w:rsid w:val="2E19750B"/>
    <w:rsid w:val="2E2E1209"/>
    <w:rsid w:val="2E3A2215"/>
    <w:rsid w:val="2E5F7614"/>
    <w:rsid w:val="2EBB1CE1"/>
    <w:rsid w:val="2F022293"/>
    <w:rsid w:val="2F0A1F67"/>
    <w:rsid w:val="2F1F0B51"/>
    <w:rsid w:val="2F252C88"/>
    <w:rsid w:val="2F326AD7"/>
    <w:rsid w:val="2F3E36CD"/>
    <w:rsid w:val="2FED29FE"/>
    <w:rsid w:val="2FF344B8"/>
    <w:rsid w:val="30204B81"/>
    <w:rsid w:val="30B71989"/>
    <w:rsid w:val="30BB2AFC"/>
    <w:rsid w:val="310444A3"/>
    <w:rsid w:val="32270449"/>
    <w:rsid w:val="32472899"/>
    <w:rsid w:val="32560D2E"/>
    <w:rsid w:val="32A55811"/>
    <w:rsid w:val="333D5A4A"/>
    <w:rsid w:val="33631954"/>
    <w:rsid w:val="33E02FA5"/>
    <w:rsid w:val="341449FD"/>
    <w:rsid w:val="347D6A46"/>
    <w:rsid w:val="34F36D08"/>
    <w:rsid w:val="35F44AE6"/>
    <w:rsid w:val="3651018A"/>
    <w:rsid w:val="368C2F70"/>
    <w:rsid w:val="3699743B"/>
    <w:rsid w:val="36A24542"/>
    <w:rsid w:val="37737C8C"/>
    <w:rsid w:val="37FE7E9E"/>
    <w:rsid w:val="38B642D4"/>
    <w:rsid w:val="3905700A"/>
    <w:rsid w:val="39475874"/>
    <w:rsid w:val="394A0EC1"/>
    <w:rsid w:val="39700927"/>
    <w:rsid w:val="3A190FBF"/>
    <w:rsid w:val="3A443B42"/>
    <w:rsid w:val="3A563FC1"/>
    <w:rsid w:val="3A612966"/>
    <w:rsid w:val="3AA701EC"/>
    <w:rsid w:val="3B1E43B3"/>
    <w:rsid w:val="3B2F036E"/>
    <w:rsid w:val="3BAC7C11"/>
    <w:rsid w:val="3BED2703"/>
    <w:rsid w:val="3C3B1445"/>
    <w:rsid w:val="3CD70CBD"/>
    <w:rsid w:val="3D1B504E"/>
    <w:rsid w:val="3D532A3A"/>
    <w:rsid w:val="3D785FFC"/>
    <w:rsid w:val="3D7D3613"/>
    <w:rsid w:val="3D90447A"/>
    <w:rsid w:val="3D98044D"/>
    <w:rsid w:val="3E2B482E"/>
    <w:rsid w:val="3E6622F9"/>
    <w:rsid w:val="3E693B97"/>
    <w:rsid w:val="3EBC016B"/>
    <w:rsid w:val="3F6D76B7"/>
    <w:rsid w:val="3FD140EA"/>
    <w:rsid w:val="3FEE6A4A"/>
    <w:rsid w:val="40095597"/>
    <w:rsid w:val="401364B0"/>
    <w:rsid w:val="403501D5"/>
    <w:rsid w:val="40A91D82"/>
    <w:rsid w:val="40C357E1"/>
    <w:rsid w:val="40DA0D7C"/>
    <w:rsid w:val="40FC5196"/>
    <w:rsid w:val="41686388"/>
    <w:rsid w:val="41780CC1"/>
    <w:rsid w:val="417C1E33"/>
    <w:rsid w:val="41B33AA7"/>
    <w:rsid w:val="41C9151C"/>
    <w:rsid w:val="41D13F2D"/>
    <w:rsid w:val="41F67E38"/>
    <w:rsid w:val="428C42F8"/>
    <w:rsid w:val="428E0070"/>
    <w:rsid w:val="43A9776A"/>
    <w:rsid w:val="44202F4A"/>
    <w:rsid w:val="44501A81"/>
    <w:rsid w:val="447339C1"/>
    <w:rsid w:val="462E5DF2"/>
    <w:rsid w:val="463351B6"/>
    <w:rsid w:val="467852BF"/>
    <w:rsid w:val="46DD3374"/>
    <w:rsid w:val="48164D90"/>
    <w:rsid w:val="487877F8"/>
    <w:rsid w:val="487F2935"/>
    <w:rsid w:val="48AC1250"/>
    <w:rsid w:val="48B819A3"/>
    <w:rsid w:val="48E94252"/>
    <w:rsid w:val="49184B37"/>
    <w:rsid w:val="49697141"/>
    <w:rsid w:val="4A266DE0"/>
    <w:rsid w:val="4A8561FD"/>
    <w:rsid w:val="4ACD36E9"/>
    <w:rsid w:val="4B0B04B0"/>
    <w:rsid w:val="4B1D01E3"/>
    <w:rsid w:val="4B5C51AF"/>
    <w:rsid w:val="4BCB40E3"/>
    <w:rsid w:val="4C9E35A6"/>
    <w:rsid w:val="4DD21759"/>
    <w:rsid w:val="4E2B0E69"/>
    <w:rsid w:val="4E3C6BD2"/>
    <w:rsid w:val="4E473EF5"/>
    <w:rsid w:val="4EB66985"/>
    <w:rsid w:val="4FE87012"/>
    <w:rsid w:val="50200C79"/>
    <w:rsid w:val="508A00C9"/>
    <w:rsid w:val="50C25AB5"/>
    <w:rsid w:val="512C73D2"/>
    <w:rsid w:val="515E50B1"/>
    <w:rsid w:val="51823496"/>
    <w:rsid w:val="51F36142"/>
    <w:rsid w:val="523A78CD"/>
    <w:rsid w:val="523D116B"/>
    <w:rsid w:val="527821A3"/>
    <w:rsid w:val="532F4F57"/>
    <w:rsid w:val="534E1882"/>
    <w:rsid w:val="537B1F4B"/>
    <w:rsid w:val="53EE096F"/>
    <w:rsid w:val="541859EC"/>
    <w:rsid w:val="54996B2C"/>
    <w:rsid w:val="550146D2"/>
    <w:rsid w:val="550D12C8"/>
    <w:rsid w:val="559A4984"/>
    <w:rsid w:val="55B47996"/>
    <w:rsid w:val="55D87B28"/>
    <w:rsid w:val="55FA184D"/>
    <w:rsid w:val="56101070"/>
    <w:rsid w:val="563B3C13"/>
    <w:rsid w:val="564B02FA"/>
    <w:rsid w:val="566118CC"/>
    <w:rsid w:val="568B06F7"/>
    <w:rsid w:val="574D3BFE"/>
    <w:rsid w:val="575C02E5"/>
    <w:rsid w:val="57EF1159"/>
    <w:rsid w:val="58692CBA"/>
    <w:rsid w:val="58825446"/>
    <w:rsid w:val="5895585D"/>
    <w:rsid w:val="58CA7BFC"/>
    <w:rsid w:val="5943350B"/>
    <w:rsid w:val="59FA62BF"/>
    <w:rsid w:val="5ADE798F"/>
    <w:rsid w:val="5B9E0ECC"/>
    <w:rsid w:val="5BE2700B"/>
    <w:rsid w:val="5BEA4111"/>
    <w:rsid w:val="5BF1724E"/>
    <w:rsid w:val="5C0A0310"/>
    <w:rsid w:val="5C451348"/>
    <w:rsid w:val="5CDB3A5A"/>
    <w:rsid w:val="5CFF2BFB"/>
    <w:rsid w:val="5DAD4C86"/>
    <w:rsid w:val="5E391380"/>
    <w:rsid w:val="5E394EDC"/>
    <w:rsid w:val="5E6F6B50"/>
    <w:rsid w:val="5E916AC6"/>
    <w:rsid w:val="5EA04F5B"/>
    <w:rsid w:val="5EAE7678"/>
    <w:rsid w:val="5EC24ED2"/>
    <w:rsid w:val="5FA82319"/>
    <w:rsid w:val="5FAA6092"/>
    <w:rsid w:val="5FC30F01"/>
    <w:rsid w:val="5FEF1CF6"/>
    <w:rsid w:val="60261490"/>
    <w:rsid w:val="60997EB4"/>
    <w:rsid w:val="61007F33"/>
    <w:rsid w:val="61946FF9"/>
    <w:rsid w:val="61A3723C"/>
    <w:rsid w:val="61AE5BE1"/>
    <w:rsid w:val="62210161"/>
    <w:rsid w:val="624327CD"/>
    <w:rsid w:val="6247406C"/>
    <w:rsid w:val="62A76916"/>
    <w:rsid w:val="62E95123"/>
    <w:rsid w:val="63676048"/>
    <w:rsid w:val="63A66B70"/>
    <w:rsid w:val="63CD05A1"/>
    <w:rsid w:val="644F5459"/>
    <w:rsid w:val="64EF09EB"/>
    <w:rsid w:val="65532D27"/>
    <w:rsid w:val="657B402C"/>
    <w:rsid w:val="65956E9C"/>
    <w:rsid w:val="65A2780B"/>
    <w:rsid w:val="65AB7D6E"/>
    <w:rsid w:val="65CD0D2C"/>
    <w:rsid w:val="663D12E2"/>
    <w:rsid w:val="665C3E5E"/>
    <w:rsid w:val="666D606B"/>
    <w:rsid w:val="669B3C51"/>
    <w:rsid w:val="66BE02E4"/>
    <w:rsid w:val="66E31E89"/>
    <w:rsid w:val="670D5158"/>
    <w:rsid w:val="67713939"/>
    <w:rsid w:val="6773320D"/>
    <w:rsid w:val="67C95523"/>
    <w:rsid w:val="680B5B3B"/>
    <w:rsid w:val="684D3A5E"/>
    <w:rsid w:val="68996CA3"/>
    <w:rsid w:val="69060117"/>
    <w:rsid w:val="691E250D"/>
    <w:rsid w:val="69286279"/>
    <w:rsid w:val="695B03FD"/>
    <w:rsid w:val="69A578CA"/>
    <w:rsid w:val="6A0B3BD1"/>
    <w:rsid w:val="6A7C687C"/>
    <w:rsid w:val="6AC975E8"/>
    <w:rsid w:val="6B054AC4"/>
    <w:rsid w:val="6B1747F7"/>
    <w:rsid w:val="6B6C4B43"/>
    <w:rsid w:val="6C5D623A"/>
    <w:rsid w:val="6C9F6852"/>
    <w:rsid w:val="6CE8503C"/>
    <w:rsid w:val="6D395737"/>
    <w:rsid w:val="6DDA2238"/>
    <w:rsid w:val="6EB20ABF"/>
    <w:rsid w:val="6EC30F1E"/>
    <w:rsid w:val="6EDF7A01"/>
    <w:rsid w:val="6F062BB9"/>
    <w:rsid w:val="6F3239AE"/>
    <w:rsid w:val="6F5A2F04"/>
    <w:rsid w:val="6F8A37EA"/>
    <w:rsid w:val="6FDB5DF3"/>
    <w:rsid w:val="704E4817"/>
    <w:rsid w:val="705F07D2"/>
    <w:rsid w:val="707D50FC"/>
    <w:rsid w:val="7104137A"/>
    <w:rsid w:val="71744751"/>
    <w:rsid w:val="717C53B4"/>
    <w:rsid w:val="720158B9"/>
    <w:rsid w:val="72C54B39"/>
    <w:rsid w:val="73326672"/>
    <w:rsid w:val="738D6399"/>
    <w:rsid w:val="739C7F8F"/>
    <w:rsid w:val="73DA4614"/>
    <w:rsid w:val="73ED07EB"/>
    <w:rsid w:val="740F42BD"/>
    <w:rsid w:val="747800B5"/>
    <w:rsid w:val="74EE481B"/>
    <w:rsid w:val="750B717B"/>
    <w:rsid w:val="754E52B9"/>
    <w:rsid w:val="75D94B83"/>
    <w:rsid w:val="76285B0A"/>
    <w:rsid w:val="76F31C74"/>
    <w:rsid w:val="77BF249E"/>
    <w:rsid w:val="793D48A8"/>
    <w:rsid w:val="7963456A"/>
    <w:rsid w:val="79863274"/>
    <w:rsid w:val="79A33E26"/>
    <w:rsid w:val="79BA4CCB"/>
    <w:rsid w:val="7A1B7E60"/>
    <w:rsid w:val="7AA5597C"/>
    <w:rsid w:val="7AA634A2"/>
    <w:rsid w:val="7AE069B4"/>
    <w:rsid w:val="7B2A40D3"/>
    <w:rsid w:val="7B450F0D"/>
    <w:rsid w:val="7B707D38"/>
    <w:rsid w:val="7C444D20"/>
    <w:rsid w:val="7C9B7036"/>
    <w:rsid w:val="7CA103C5"/>
    <w:rsid w:val="7CA35EEB"/>
    <w:rsid w:val="7CAD6D69"/>
    <w:rsid w:val="7CE54755"/>
    <w:rsid w:val="7D657644"/>
    <w:rsid w:val="7DB54128"/>
    <w:rsid w:val="7DDA1DE0"/>
    <w:rsid w:val="7E611BB9"/>
    <w:rsid w:val="7EFC18E2"/>
    <w:rsid w:val="7FFB7DEC"/>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30"/>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4111</Words>
  <Characters>4424</Characters>
  <Lines>0</Lines>
  <Paragraphs>0</Paragraphs>
  <TotalTime>1</TotalTime>
  <ScaleCrop>false</ScaleCrop>
  <LinksUpToDate>false</LinksUpToDate>
  <CharactersWithSpaces>4448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轩妈</cp:lastModifiedBy>
  <dcterms:modified xsi:type="dcterms:W3CDTF">2023-09-12T02:26:15Z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CAD7FA66C79B4E65995AE5FF3C9FCD97</vt:lpwstr>
  </property>
</Properties>
</file>