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77425"/>
      <w:bookmarkStart w:id="3" w:name="_Toc15396475"/>
      <w:bookmarkStart w:id="4" w:name="_Toc15378441"/>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6" w:name="_Toc15396598"/>
      <w:bookmarkStart w:id="7" w:name="_Toc15377194"/>
      <w:bookmarkStart w:id="8" w:name="_Toc15377426"/>
      <w:bookmarkStart w:id="9" w:name="_Toc15396476"/>
      <w:bookmarkStart w:id="10" w:name="_Toc15378442"/>
      <w:r>
        <w:rPr>
          <w:rFonts w:hint="eastAsia" w:ascii="方正小标宋简体" w:hAnsi="方正小标宋简体" w:eastAsia="方正小标宋简体" w:cs="方正小标宋简体"/>
          <w:color w:val="auto"/>
          <w:sz w:val="72"/>
          <w:szCs w:val="72"/>
          <w:highlight w:val="none"/>
        </w:rPr>
        <w:t>四川</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省资阳市雁江区</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r>
        <w:rPr>
          <w:rFonts w:hint="eastAsia" w:ascii="方正小标宋简体" w:hAnsi="方正小标宋简体" w:eastAsia="方正小标宋简体" w:cs="方正小标宋简体"/>
          <w:color w:val="auto"/>
          <w:sz w:val="72"/>
          <w:szCs w:val="72"/>
          <w:highlight w:val="none"/>
          <w:lang w:val="en-US" w:eastAsia="zh-CN"/>
        </w:rPr>
        <w:t>疾病预防控制中心</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sz w:val="32"/>
          <w:szCs w:val="32"/>
          <w:highlight w:val="none"/>
        </w:rPr>
      </w:pPr>
      <w:r>
        <w:rPr>
          <w:rFonts w:hint="eastAsia"/>
          <w:color w:val="auto"/>
          <w:sz w:val="32"/>
          <w:szCs w:val="32"/>
          <w:highlight w:val="none"/>
        </w:rPr>
        <w:t>公开时间：20</w:t>
      </w:r>
      <w:r>
        <w:rPr>
          <w:rFonts w:hint="eastAsia"/>
          <w:color w:val="auto"/>
          <w:sz w:val="32"/>
          <w:szCs w:val="32"/>
          <w:highlight w:val="none"/>
          <w:lang w:val="en-US" w:eastAsia="zh-CN"/>
        </w:rPr>
        <w:t>23</w:t>
      </w:r>
      <w:r>
        <w:rPr>
          <w:rFonts w:hint="eastAsia"/>
          <w:color w:val="auto"/>
          <w:sz w:val="32"/>
          <w:szCs w:val="32"/>
          <w:highlight w:val="none"/>
        </w:rPr>
        <w:t>年</w:t>
      </w:r>
      <w:r>
        <w:rPr>
          <w:rFonts w:hint="eastAsia"/>
          <w:color w:val="auto"/>
          <w:sz w:val="32"/>
          <w:szCs w:val="32"/>
          <w:highlight w:val="none"/>
          <w:lang w:val="en-US" w:eastAsia="zh-CN"/>
        </w:rPr>
        <w:t>8</w:t>
      </w:r>
      <w:r>
        <w:rPr>
          <w:rFonts w:hint="eastAsia"/>
          <w:color w:val="auto"/>
          <w:sz w:val="32"/>
          <w:szCs w:val="32"/>
          <w:highlight w:val="none"/>
        </w:rPr>
        <w:t>月</w:t>
      </w:r>
      <w:r>
        <w:rPr>
          <w:rFonts w:hint="eastAsia"/>
          <w:color w:val="auto"/>
          <w:sz w:val="32"/>
          <w:szCs w:val="32"/>
          <w:highlight w:val="none"/>
          <w:lang w:val="en-US" w:eastAsia="zh-CN"/>
        </w:rPr>
        <w:t>22</w:t>
      </w:r>
      <w:r>
        <w:rPr>
          <w:rFonts w:hint="eastAsia"/>
          <w:color w:val="auto"/>
          <w:sz w:val="32"/>
          <w:szCs w:val="32"/>
          <w:highlight w:val="none"/>
        </w:rPr>
        <w:t>日</w:t>
      </w:r>
    </w:p>
    <w:p>
      <w:pPr>
        <w:rPr>
          <w:color w:val="auto"/>
          <w:highlight w:val="none"/>
        </w:rPr>
      </w:pPr>
    </w:p>
    <w:p>
      <w:pPr>
        <w:pStyle w:val="11"/>
        <w:adjustRightInd w:val="0"/>
        <w:snapToGrid w:val="0"/>
        <w:spacing w:before="0" w:line="440" w:lineRule="exact"/>
        <w:jc w:val="left"/>
        <w:rPr>
          <w:rFonts w:cstheme="minorBidi"/>
          <w:color w:val="auto"/>
          <w:sz w:val="32"/>
          <w:szCs w:val="32"/>
          <w:highlight w:val="none"/>
        </w:rPr>
      </w:pPr>
      <w:r>
        <w:rPr>
          <w:rFonts w:hint="eastAsia"/>
          <w:color w:val="auto"/>
          <w:sz w:val="32"/>
          <w:szCs w:val="32"/>
          <w:highlight w:val="none"/>
        </w:rPr>
        <w:t>第一部分</w:t>
      </w:r>
      <w:r>
        <w:rPr>
          <w:color w:val="auto"/>
          <w:sz w:val="32"/>
          <w:szCs w:val="32"/>
          <w:highlight w:val="none"/>
        </w:rPr>
        <w:t xml:space="preserve"> </w:t>
      </w:r>
      <w:r>
        <w:rPr>
          <w:rFonts w:hint="eastAsia"/>
          <w:color w:val="auto"/>
          <w:sz w:val="32"/>
          <w:szCs w:val="32"/>
          <w:highlight w:val="none"/>
          <w:lang w:eastAsia="zh-CN"/>
        </w:rPr>
        <w:t>单位</w:t>
      </w:r>
      <w:r>
        <w:rPr>
          <w:rFonts w:hint="eastAsia"/>
          <w:color w:val="auto"/>
          <w:sz w:val="32"/>
          <w:szCs w:val="32"/>
          <w:highlight w:val="none"/>
        </w:rPr>
        <w:t>概况</w:t>
      </w:r>
    </w:p>
    <w:p>
      <w:pPr>
        <w:pStyle w:val="12"/>
        <w:adjustRightInd w:val="0"/>
        <w:snapToGrid w:val="0"/>
        <w:spacing w:line="440" w:lineRule="exact"/>
        <w:jc w:val="left"/>
        <w:rPr>
          <w:rFonts w:hint="eastAsia"/>
          <w:color w:val="auto"/>
          <w:sz w:val="32"/>
          <w:szCs w:val="32"/>
          <w:highlight w:val="none"/>
          <w:lang w:val="en-US" w:eastAsia="zh-CN"/>
        </w:rPr>
      </w:pPr>
      <w:r>
        <w:rPr>
          <w:rFonts w:hint="eastAsia"/>
          <w:color w:val="auto"/>
          <w:sz w:val="32"/>
          <w:szCs w:val="32"/>
          <w:highlight w:val="none"/>
        </w:rPr>
        <w:t>一、</w:t>
      </w:r>
      <w:r>
        <w:rPr>
          <w:rFonts w:hint="eastAsia"/>
          <w:color w:val="auto"/>
          <w:sz w:val="32"/>
          <w:szCs w:val="32"/>
          <w:highlight w:val="none"/>
          <w:lang w:eastAsia="zh-CN"/>
        </w:rPr>
        <w:t>主要职责</w:t>
      </w:r>
      <w:r>
        <w:rPr>
          <w:rFonts w:hint="eastAsia"/>
          <w:color w:val="auto"/>
          <w:sz w:val="32"/>
          <w:szCs w:val="32"/>
          <w:highlight w:val="none"/>
          <w:lang w:val="en-US" w:eastAsia="zh-CN"/>
        </w:rPr>
        <w:t xml:space="preserve">                                </w:t>
      </w:r>
    </w:p>
    <w:p>
      <w:pPr>
        <w:pStyle w:val="12"/>
        <w:adjustRightInd w:val="0"/>
        <w:snapToGrid w:val="0"/>
        <w:spacing w:line="440" w:lineRule="exact"/>
        <w:jc w:val="left"/>
        <w:rPr>
          <w:rFonts w:hint="eastAsia"/>
          <w:color w:val="auto"/>
          <w:sz w:val="32"/>
          <w:szCs w:val="32"/>
          <w:highlight w:val="none"/>
          <w:lang w:eastAsia="zh-CN"/>
        </w:rPr>
      </w:pPr>
      <w:r>
        <w:rPr>
          <w:rFonts w:hint="eastAsia"/>
          <w:color w:val="auto"/>
          <w:sz w:val="32"/>
          <w:szCs w:val="32"/>
          <w:highlight w:val="none"/>
          <w:lang w:eastAsia="zh-CN"/>
        </w:rPr>
        <w:t>二</w:t>
      </w:r>
      <w:r>
        <w:rPr>
          <w:rFonts w:hint="eastAsia"/>
          <w:color w:val="auto"/>
          <w:sz w:val="32"/>
          <w:szCs w:val="32"/>
          <w:highlight w:val="none"/>
        </w:rPr>
        <w:t>、</w:t>
      </w:r>
      <w:r>
        <w:rPr>
          <w:rFonts w:hint="eastAsia"/>
          <w:color w:val="auto"/>
          <w:sz w:val="32"/>
          <w:szCs w:val="32"/>
          <w:highlight w:val="none"/>
          <w:lang w:eastAsia="zh-CN"/>
        </w:rPr>
        <w:t>机构设置</w:t>
      </w:r>
    </w:p>
    <w:p>
      <w:pPr>
        <w:pStyle w:val="12"/>
        <w:adjustRightInd w:val="0"/>
        <w:snapToGrid w:val="0"/>
        <w:spacing w:line="440" w:lineRule="exact"/>
        <w:jc w:val="left"/>
        <w:rPr>
          <w:rFonts w:hint="default" w:eastAsia="宋体"/>
          <w:color w:val="auto"/>
          <w:sz w:val="32"/>
          <w:szCs w:val="32"/>
          <w:lang w:val="en-US" w:eastAsia="zh-CN"/>
        </w:rPr>
      </w:pPr>
      <w:r>
        <w:rPr>
          <w:rFonts w:hint="eastAsia"/>
          <w:color w:val="auto"/>
          <w:sz w:val="32"/>
          <w:szCs w:val="32"/>
          <w:highlight w:val="none"/>
          <w:lang w:val="en-US" w:eastAsia="zh-CN"/>
        </w:rPr>
        <w:t xml:space="preserve">三、主要取得的事业成效                                </w:t>
      </w:r>
    </w:p>
    <w:p>
      <w:pPr>
        <w:pStyle w:val="11"/>
        <w:adjustRightInd w:val="0"/>
        <w:snapToGrid w:val="0"/>
        <w:spacing w:before="0" w:line="440" w:lineRule="exact"/>
        <w:jc w:val="left"/>
        <w:rPr>
          <w:color w:val="auto"/>
          <w:sz w:val="32"/>
          <w:szCs w:val="32"/>
          <w:highlight w:val="none"/>
        </w:rPr>
      </w:pPr>
      <w:r>
        <w:rPr>
          <w:rFonts w:hint="eastAsia"/>
          <w:color w:val="auto"/>
          <w:sz w:val="32"/>
          <w:szCs w:val="32"/>
          <w:highlight w:val="none"/>
        </w:rPr>
        <w:t>第二部分</w:t>
      </w:r>
      <w:r>
        <w:rPr>
          <w:rFonts w:hint="eastAsia"/>
          <w:color w:val="auto"/>
          <w:sz w:val="32"/>
          <w:szCs w:val="32"/>
          <w:highlight w:val="none"/>
          <w:lang w:val="en-US" w:eastAsia="zh-CN"/>
        </w:rPr>
        <w:t xml:space="preserve"> 2022年度</w:t>
      </w:r>
      <w:r>
        <w:rPr>
          <w:rFonts w:hint="eastAsia"/>
          <w:color w:val="auto"/>
          <w:sz w:val="32"/>
          <w:szCs w:val="32"/>
          <w:highlight w:val="none"/>
          <w:lang w:eastAsia="zh-CN"/>
        </w:rPr>
        <w:t>单位</w:t>
      </w:r>
      <w:r>
        <w:rPr>
          <w:rFonts w:hint="eastAsia"/>
          <w:color w:val="auto"/>
          <w:sz w:val="32"/>
          <w:szCs w:val="32"/>
          <w:highlight w:val="none"/>
        </w:rPr>
        <w:t>决算情况说明</w:t>
      </w:r>
    </w:p>
    <w:p>
      <w:pPr>
        <w:pStyle w:val="12"/>
        <w:adjustRightInd w:val="0"/>
        <w:snapToGrid w:val="0"/>
        <w:spacing w:line="440" w:lineRule="exact"/>
        <w:jc w:val="left"/>
        <w:rPr>
          <w:rFonts w:hint="default" w:ascii="仿宋" w:hAnsi="仿宋" w:eastAsia="宋体" w:cstheme="minorBidi"/>
          <w:color w:val="auto"/>
          <w:sz w:val="32"/>
          <w:szCs w:val="32"/>
          <w:highlight w:val="none"/>
          <w:lang w:val="en-US" w:eastAsia="zh-CN"/>
        </w:rPr>
      </w:pPr>
      <w:r>
        <w:rPr>
          <w:rFonts w:hint="eastAsia"/>
          <w:color w:val="auto"/>
          <w:sz w:val="32"/>
          <w:szCs w:val="32"/>
          <w:highlight w:val="none"/>
        </w:rPr>
        <w:t>一、收入支出决算总体情况说明</w:t>
      </w:r>
      <w:r>
        <w:rPr>
          <w:rFonts w:hint="eastAsia"/>
          <w:color w:val="auto"/>
          <w:sz w:val="32"/>
          <w:szCs w:val="32"/>
          <w:highlight w:val="none"/>
          <w:lang w:val="en-US" w:eastAsia="zh-CN"/>
        </w:rPr>
        <w:t xml:space="preserve">                </w:t>
      </w:r>
    </w:p>
    <w:p>
      <w:pPr>
        <w:pStyle w:val="12"/>
        <w:adjustRightInd w:val="0"/>
        <w:snapToGrid w:val="0"/>
        <w:spacing w:line="440" w:lineRule="exact"/>
        <w:jc w:val="left"/>
        <w:rPr>
          <w:rFonts w:hint="eastAsia"/>
          <w:color w:val="auto"/>
          <w:sz w:val="32"/>
          <w:szCs w:val="32"/>
          <w:highlight w:val="none"/>
          <w:lang w:val="en-US" w:eastAsia="zh-CN"/>
        </w:rPr>
      </w:pPr>
      <w:r>
        <w:rPr>
          <w:rFonts w:hint="eastAsia"/>
          <w:color w:val="auto"/>
          <w:sz w:val="32"/>
          <w:szCs w:val="32"/>
          <w:highlight w:val="none"/>
        </w:rPr>
        <w:t>二、收入决算情况说明</w:t>
      </w:r>
      <w:r>
        <w:rPr>
          <w:rFonts w:hint="eastAsia"/>
          <w:color w:val="auto"/>
          <w:sz w:val="32"/>
          <w:szCs w:val="32"/>
          <w:highlight w:val="none"/>
          <w:lang w:val="en-US" w:eastAsia="zh-CN"/>
        </w:rPr>
        <w:t xml:space="preserve">                        </w:t>
      </w:r>
    </w:p>
    <w:p>
      <w:pPr>
        <w:pStyle w:val="12"/>
        <w:adjustRightInd w:val="0"/>
        <w:snapToGrid w:val="0"/>
        <w:spacing w:line="440" w:lineRule="exact"/>
        <w:jc w:val="left"/>
        <w:rPr>
          <w:rFonts w:ascii="仿宋" w:hAnsi="仿宋" w:eastAsia="仿宋" w:cstheme="minorBidi"/>
          <w:color w:val="auto"/>
          <w:sz w:val="32"/>
          <w:szCs w:val="32"/>
          <w:highlight w:val="none"/>
        </w:rPr>
      </w:pPr>
      <w:r>
        <w:rPr>
          <w:rFonts w:hint="eastAsia"/>
          <w:color w:val="auto"/>
          <w:sz w:val="32"/>
          <w:szCs w:val="32"/>
          <w:highlight w:val="none"/>
        </w:rPr>
        <w:t>三、支出决算情况说明</w:t>
      </w:r>
      <w:r>
        <w:rPr>
          <w:rFonts w:hint="eastAsia"/>
          <w:color w:val="auto"/>
          <w:sz w:val="32"/>
          <w:szCs w:val="32"/>
          <w:highlight w:val="none"/>
          <w:lang w:val="en-US" w:eastAsia="zh-CN"/>
        </w:rPr>
        <w:t xml:space="preserve">                        </w:t>
      </w:r>
    </w:p>
    <w:p>
      <w:pPr>
        <w:pStyle w:val="12"/>
        <w:adjustRightInd w:val="0"/>
        <w:snapToGrid w:val="0"/>
        <w:spacing w:line="440" w:lineRule="exact"/>
        <w:jc w:val="left"/>
        <w:rPr>
          <w:rFonts w:ascii="仿宋" w:hAnsi="仿宋" w:eastAsia="仿宋" w:cstheme="minorBidi"/>
          <w:color w:val="auto"/>
          <w:sz w:val="32"/>
          <w:szCs w:val="32"/>
          <w:highlight w:val="none"/>
        </w:rPr>
      </w:pPr>
      <w:r>
        <w:rPr>
          <w:rFonts w:hint="eastAsia"/>
          <w:color w:val="auto"/>
          <w:sz w:val="32"/>
          <w:szCs w:val="32"/>
          <w:highlight w:val="none"/>
        </w:rPr>
        <w:t>四、财政拨款收入支出决算总体情况说明</w:t>
      </w:r>
    </w:p>
    <w:p>
      <w:pPr>
        <w:pStyle w:val="12"/>
        <w:adjustRightInd w:val="0"/>
        <w:snapToGrid w:val="0"/>
        <w:spacing w:line="440" w:lineRule="exact"/>
        <w:jc w:val="left"/>
        <w:rPr>
          <w:rFonts w:ascii="仿宋" w:hAnsi="仿宋" w:eastAsia="仿宋" w:cstheme="minorBidi"/>
          <w:color w:val="auto"/>
          <w:sz w:val="32"/>
          <w:szCs w:val="32"/>
          <w:highlight w:val="none"/>
        </w:rPr>
      </w:pPr>
      <w:r>
        <w:rPr>
          <w:rFonts w:hint="eastAsia"/>
          <w:color w:val="auto"/>
          <w:sz w:val="32"/>
          <w:szCs w:val="32"/>
          <w:highlight w:val="none"/>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32"/>
          <w:szCs w:val="32"/>
          <w:highlight w:val="none"/>
        </w:rPr>
      </w:pPr>
      <w:r>
        <w:rPr>
          <w:rFonts w:hint="eastAsia"/>
          <w:color w:val="auto"/>
          <w:sz w:val="32"/>
          <w:szCs w:val="32"/>
          <w:highlight w:val="none"/>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32"/>
          <w:szCs w:val="32"/>
          <w:highlight w:val="none"/>
        </w:rPr>
      </w:pPr>
      <w:r>
        <w:rPr>
          <w:rFonts w:hint="eastAsia"/>
          <w:color w:val="auto"/>
          <w:sz w:val="32"/>
          <w:szCs w:val="32"/>
          <w:highlight w:val="none"/>
        </w:rPr>
        <w:t>七、财政拨款</w:t>
      </w:r>
      <w:r>
        <w:rPr>
          <w:rFonts w:hint="eastAsia"/>
          <w:color w:val="auto"/>
          <w:sz w:val="32"/>
          <w:szCs w:val="32"/>
          <w:highlight w:val="none"/>
          <w:lang w:eastAsia="zh-CN"/>
        </w:rPr>
        <w:t>“</w:t>
      </w:r>
      <w:r>
        <w:rPr>
          <w:rFonts w:hint="eastAsia"/>
          <w:color w:val="auto"/>
          <w:sz w:val="32"/>
          <w:szCs w:val="32"/>
          <w:highlight w:val="none"/>
        </w:rPr>
        <w:t>三公”经费支出决算情况说明</w:t>
      </w:r>
    </w:p>
    <w:p>
      <w:pPr>
        <w:pStyle w:val="12"/>
        <w:adjustRightInd w:val="0"/>
        <w:snapToGrid w:val="0"/>
        <w:spacing w:line="440" w:lineRule="exact"/>
        <w:jc w:val="left"/>
        <w:rPr>
          <w:rFonts w:ascii="仿宋" w:hAnsi="仿宋" w:eastAsia="仿宋" w:cstheme="minorBidi"/>
          <w:color w:val="auto"/>
          <w:sz w:val="32"/>
          <w:szCs w:val="32"/>
          <w:highlight w:val="none"/>
        </w:rPr>
      </w:pPr>
      <w:r>
        <w:rPr>
          <w:rFonts w:hint="eastAsia"/>
          <w:color w:val="auto"/>
          <w:sz w:val="32"/>
          <w:szCs w:val="32"/>
          <w:highlight w:val="none"/>
        </w:rPr>
        <w:t>八、政府性基金预算支出决算情况说明</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九、国有资本经营预算支出决算情况说明</w:t>
      </w:r>
    </w:p>
    <w:p>
      <w:pPr>
        <w:pStyle w:val="12"/>
        <w:adjustRightInd w:val="0"/>
        <w:snapToGrid w:val="0"/>
        <w:spacing w:line="440" w:lineRule="exact"/>
        <w:jc w:val="left"/>
        <w:rPr>
          <w:rFonts w:hint="eastAsia"/>
          <w:color w:val="auto"/>
          <w:sz w:val="32"/>
          <w:szCs w:val="32"/>
          <w:highlight w:val="none"/>
          <w:lang w:eastAsia="zh-CN"/>
        </w:rPr>
      </w:pPr>
      <w:r>
        <w:rPr>
          <w:rFonts w:hint="eastAsia"/>
          <w:color w:val="auto"/>
          <w:sz w:val="32"/>
          <w:szCs w:val="32"/>
          <w:highlight w:val="none"/>
        </w:rPr>
        <w:t>十、其他重要事项的情况说明</w:t>
      </w:r>
    </w:p>
    <w:p>
      <w:pPr>
        <w:pStyle w:val="11"/>
        <w:adjustRightInd w:val="0"/>
        <w:snapToGrid w:val="0"/>
        <w:spacing w:before="0" w:line="440" w:lineRule="exact"/>
        <w:jc w:val="left"/>
        <w:rPr>
          <w:rFonts w:cstheme="minorBidi"/>
          <w:color w:val="auto"/>
          <w:sz w:val="32"/>
          <w:szCs w:val="32"/>
          <w:highlight w:val="none"/>
        </w:rPr>
      </w:pPr>
      <w:r>
        <w:rPr>
          <w:rFonts w:hint="eastAsia"/>
          <w:color w:val="auto"/>
          <w:sz w:val="32"/>
          <w:szCs w:val="32"/>
          <w:highlight w:val="none"/>
        </w:rPr>
        <w:t>第三部分</w:t>
      </w:r>
      <w:r>
        <w:rPr>
          <w:color w:val="auto"/>
          <w:sz w:val="32"/>
          <w:szCs w:val="32"/>
          <w:highlight w:val="none"/>
        </w:rPr>
        <w:t xml:space="preserve"> </w:t>
      </w:r>
      <w:r>
        <w:rPr>
          <w:rFonts w:hint="eastAsia"/>
          <w:color w:val="auto"/>
          <w:sz w:val="32"/>
          <w:szCs w:val="32"/>
          <w:highlight w:val="none"/>
        </w:rPr>
        <w:t>名词解释</w:t>
      </w:r>
    </w:p>
    <w:p>
      <w:pPr>
        <w:pStyle w:val="11"/>
        <w:adjustRightInd w:val="0"/>
        <w:snapToGrid w:val="0"/>
        <w:spacing w:before="0" w:line="440" w:lineRule="exact"/>
        <w:jc w:val="left"/>
        <w:rPr>
          <w:rFonts w:hint="eastAsia" w:eastAsia="仿宋" w:cstheme="minorBidi"/>
          <w:color w:val="auto"/>
          <w:sz w:val="32"/>
          <w:szCs w:val="32"/>
          <w:highlight w:val="none"/>
          <w:lang w:val="en-US" w:eastAsia="zh-CN"/>
        </w:rPr>
      </w:pPr>
      <w:r>
        <w:rPr>
          <w:rFonts w:hint="eastAsia"/>
          <w:color w:val="auto"/>
          <w:sz w:val="32"/>
          <w:szCs w:val="32"/>
          <w:highlight w:val="none"/>
        </w:rPr>
        <w:t>第</w:t>
      </w:r>
      <w:r>
        <w:rPr>
          <w:rFonts w:hint="eastAsia"/>
          <w:color w:val="auto"/>
          <w:sz w:val="32"/>
          <w:szCs w:val="32"/>
          <w:highlight w:val="none"/>
          <w:lang w:val="en-US" w:eastAsia="zh-CN"/>
        </w:rPr>
        <w:t>四</w:t>
      </w:r>
      <w:r>
        <w:rPr>
          <w:rFonts w:hint="eastAsia"/>
          <w:color w:val="auto"/>
          <w:sz w:val="32"/>
          <w:szCs w:val="32"/>
          <w:highlight w:val="none"/>
        </w:rPr>
        <w:t>部分</w:t>
      </w:r>
      <w:r>
        <w:rPr>
          <w:color w:val="auto"/>
          <w:sz w:val="32"/>
          <w:szCs w:val="32"/>
          <w:highlight w:val="none"/>
        </w:rPr>
        <w:t xml:space="preserve"> </w:t>
      </w:r>
      <w:r>
        <w:rPr>
          <w:rFonts w:hint="eastAsia"/>
          <w:color w:val="auto"/>
          <w:sz w:val="32"/>
          <w:szCs w:val="32"/>
          <w:highlight w:val="none"/>
        </w:rPr>
        <w:t>附</w:t>
      </w:r>
      <w:r>
        <w:rPr>
          <w:rFonts w:hint="eastAsia"/>
          <w:color w:val="auto"/>
          <w:sz w:val="32"/>
          <w:szCs w:val="32"/>
          <w:highlight w:val="none"/>
          <w:lang w:val="en-US" w:eastAsia="zh-CN"/>
        </w:rPr>
        <w:t>件</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一、收入支出决算总表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二、收入决算表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三、支出决算表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四、财政拨款收入支出决算总表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五、财政拨款支出决算明细表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六、一般公共预算财政拨款支出决算表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七、一般公共预算财政拨款支出决算明细表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八、一般公共预算财政拨款基本支出决算</w:t>
      </w:r>
      <w:r>
        <w:rPr>
          <w:rFonts w:hint="eastAsia"/>
          <w:color w:val="auto"/>
          <w:sz w:val="32"/>
          <w:szCs w:val="32"/>
          <w:highlight w:val="none"/>
          <w:lang w:eastAsia="zh-CN"/>
        </w:rPr>
        <w:t>明细</w:t>
      </w:r>
      <w:r>
        <w:rPr>
          <w:rFonts w:hint="eastAsia"/>
          <w:color w:val="auto"/>
          <w:sz w:val="32"/>
          <w:szCs w:val="32"/>
          <w:highlight w:val="none"/>
        </w:rPr>
        <w:t>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九、一般公共预算财政拨款项目支出决算表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十、政府性基金预算财政拨款收入支出决算表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十一、国有资本经营预算财政拨款收入支出决算表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十二、</w:t>
      </w:r>
      <w:r>
        <w:rPr>
          <w:rFonts w:hint="eastAsia"/>
          <w:color w:val="auto"/>
          <w:sz w:val="32"/>
          <w:szCs w:val="32"/>
          <w:highlight w:val="none"/>
          <w:lang w:val="en-US" w:eastAsia="zh-CN"/>
        </w:rPr>
        <w:t>国有资本经营预算财政拨款支出决算表</w:t>
      </w:r>
    </w:p>
    <w:p>
      <w:pPr>
        <w:pStyle w:val="12"/>
        <w:adjustRightInd w:val="0"/>
        <w:snapToGrid w:val="0"/>
        <w:spacing w:line="440" w:lineRule="exact"/>
        <w:jc w:val="left"/>
        <w:rPr>
          <w:rFonts w:hint="eastAsia"/>
          <w:color w:val="auto"/>
          <w:sz w:val="32"/>
          <w:szCs w:val="32"/>
          <w:highlight w:val="none"/>
        </w:rPr>
      </w:pPr>
      <w:r>
        <w:rPr>
          <w:rFonts w:hint="eastAsia"/>
          <w:color w:val="auto"/>
          <w:sz w:val="32"/>
          <w:szCs w:val="32"/>
          <w:highlight w:val="none"/>
        </w:rPr>
        <w:t>十三、财政拨款“三公”经费支出决算表</w:t>
      </w:r>
    </w:p>
    <w:p>
      <w:pPr>
        <w:widowControl/>
        <w:spacing w:line="440" w:lineRule="exact"/>
        <w:jc w:val="left"/>
        <w:rPr>
          <w:rFonts w:ascii="仿宋" w:hAnsi="仿宋" w:eastAsia="仿宋"/>
          <w:bCs/>
          <w:color w:val="auto"/>
          <w:kern w:val="44"/>
          <w:sz w:val="32"/>
          <w:szCs w:val="32"/>
          <w:highlight w:val="none"/>
        </w:rPr>
      </w:pPr>
      <w:bookmarkStart w:id="12" w:name="_Toc15396599"/>
      <w:bookmarkStart w:id="13" w:name="_Toc15377196"/>
      <w:r>
        <w:rPr>
          <w:rFonts w:ascii="仿宋" w:hAnsi="仿宋" w:eastAsia="仿宋"/>
          <w:b/>
          <w:color w:val="auto"/>
          <w:sz w:val="32"/>
          <w:szCs w:val="32"/>
          <w:highlight w:val="none"/>
        </w:rPr>
        <w:br w:type="page"/>
      </w: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pStyle w:val="4"/>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lang w:val="en-US" w:eastAsia="zh-CN"/>
        </w:rPr>
        <w:t>一、</w:t>
      </w:r>
      <w:r>
        <w:rPr>
          <w:rStyle w:val="26"/>
          <w:rFonts w:hint="eastAsia" w:ascii="黑体" w:hAnsi="黑体" w:eastAsia="黑体"/>
          <w:b w:val="0"/>
          <w:bCs w:val="0"/>
          <w:color w:val="auto"/>
          <w:highlight w:val="none"/>
          <w:lang w:eastAsia="zh-CN"/>
        </w:rPr>
        <w:t>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负责雁江区辖区内疾病预防控制和突发公共卫生事件应急处理工作，为行政主管部门及卫生监督执法机构提供检验检测数据和结果、评价、诊断、标准等方面的技术支持；对传染病、地方病、寄生虫病、慢性非传染病、食物中毒等疾病的发生、分布和发展的规律进行流行病学监测，并制定预防控制对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2.拟订并实施疾病预防控制工作方案，对方案实施进行质量和效果评估。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3.开展健康教育与健康促进，督导社区卫生服务工作，促进社区健康环境的建立和人群健康行为的形成。</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lang w:eastAsia="zh-CN"/>
        </w:rPr>
      </w:pPr>
      <w:r>
        <w:rPr>
          <w:rFonts w:hint="eastAsia" w:ascii="仿宋_GB2312" w:hAnsi="仿宋" w:eastAsia="仿宋_GB2312"/>
          <w:sz w:val="32"/>
          <w:szCs w:val="32"/>
          <w:lang w:val="en-US" w:eastAsia="zh-CN"/>
        </w:rPr>
        <w:t>4.为客户在食品理化、食品微生物、包装饮用水、饮用矿泉水、食品工具容器与包装材料、生活饮用水、公共场所卫生、卫生与消毒产品、医疗卫生场所、疾病检测等类别提供检测服务；同时承担客户委托有关产品质量指标的检测工作；提供预防性职业健康检查。</w:t>
      </w:r>
    </w:p>
    <w:p>
      <w:pPr>
        <w:pStyle w:val="4"/>
        <w:numPr>
          <w:ilvl w:val="0"/>
          <w:numId w:val="0"/>
        </w:numPr>
        <w:ind w:firstLine="640" w:firstLineChars="200"/>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p>
      <w:pPr>
        <w:ind w:firstLine="567"/>
        <w:rPr>
          <w:rFonts w:ascii="仿宋_GB2312" w:hAnsi="仿宋" w:eastAsia="仿宋_GB2312" w:cs="仿宋"/>
          <w:bCs/>
          <w:sz w:val="32"/>
          <w:szCs w:val="32"/>
        </w:rPr>
      </w:pPr>
      <w:r>
        <w:rPr>
          <w:rFonts w:hint="eastAsia" w:ascii="仿宋_GB2312" w:hAnsi="仿宋" w:eastAsia="仿宋_GB2312" w:cs="仿宋"/>
          <w:bCs/>
          <w:sz w:val="32"/>
          <w:szCs w:val="32"/>
        </w:rPr>
        <w:t>本单位为</w:t>
      </w:r>
      <w:r>
        <w:rPr>
          <w:rFonts w:hint="eastAsia" w:ascii="仿宋_GB2312" w:hAnsi="仿宋" w:eastAsia="仿宋_GB2312" w:cs="仿宋"/>
          <w:bCs/>
          <w:sz w:val="32"/>
          <w:szCs w:val="32"/>
          <w:u w:val="single"/>
        </w:rPr>
        <w:t xml:space="preserve"> 雁江区疾病预防控制中心 </w:t>
      </w:r>
      <w:r>
        <w:rPr>
          <w:rFonts w:hint="eastAsia" w:ascii="仿宋_GB2312" w:hAnsi="仿宋" w:eastAsia="仿宋_GB2312" w:cs="仿宋"/>
          <w:bCs/>
          <w:sz w:val="32"/>
          <w:szCs w:val="32"/>
        </w:rPr>
        <w:t>（填列一级预算单位名称）所属</w:t>
      </w:r>
      <w:r>
        <w:rPr>
          <w:rFonts w:hint="eastAsia" w:ascii="仿宋_GB2312" w:hAnsi="仿宋" w:eastAsia="仿宋_GB2312" w:cs="仿宋"/>
          <w:bCs/>
          <w:sz w:val="32"/>
          <w:szCs w:val="32"/>
          <w:u w:val="single"/>
        </w:rPr>
        <w:t xml:space="preserve">  一  </w:t>
      </w:r>
      <w:r>
        <w:rPr>
          <w:rFonts w:hint="eastAsia" w:ascii="仿宋_GB2312" w:hAnsi="仿宋" w:eastAsia="仿宋_GB2312" w:cs="仿宋"/>
          <w:bCs/>
          <w:sz w:val="32"/>
          <w:szCs w:val="32"/>
        </w:rPr>
        <w:t>级（</w:t>
      </w:r>
      <w:r>
        <w:rPr>
          <w:rFonts w:hint="eastAsia" w:ascii="仿宋_GB2312" w:hAnsi="仿宋" w:eastAsia="仿宋_GB2312" w:cs="仿宋"/>
          <w:bCs/>
          <w:spacing w:val="14"/>
          <w:sz w:val="32"/>
          <w:szCs w:val="32"/>
        </w:rPr>
        <w:t>按封面“单位预算级次”填列）预算单位，单位性质</w:t>
      </w:r>
      <w:r>
        <w:rPr>
          <w:rFonts w:hint="eastAsia" w:ascii="仿宋_GB2312" w:hAnsi="仿宋" w:eastAsia="仿宋_GB2312" w:cs="仿宋"/>
          <w:bCs/>
          <w:sz w:val="32"/>
          <w:szCs w:val="32"/>
        </w:rPr>
        <w:t>为</w:t>
      </w:r>
      <w:r>
        <w:rPr>
          <w:rFonts w:hint="eastAsia" w:ascii="仿宋_GB2312" w:hAnsi="仿宋" w:eastAsia="仿宋_GB2312" w:cs="仿宋"/>
          <w:bCs/>
          <w:sz w:val="32"/>
          <w:szCs w:val="32"/>
          <w:u w:val="single"/>
        </w:rPr>
        <w:t xml:space="preserve"> 财政补助事业 </w:t>
      </w:r>
      <w:r>
        <w:rPr>
          <w:rFonts w:hint="eastAsia" w:ascii="仿宋_GB2312" w:hAnsi="仿宋" w:eastAsia="仿宋_GB2312" w:cs="仿宋"/>
          <w:bCs/>
          <w:sz w:val="32"/>
          <w:szCs w:val="32"/>
        </w:rPr>
        <w:t>单位（按封面“单位基本性质”填列），决算编报类型为</w:t>
      </w:r>
      <w:r>
        <w:rPr>
          <w:rFonts w:hint="eastAsia" w:ascii="仿宋_GB2312" w:hAnsi="仿宋" w:eastAsia="仿宋_GB2312" w:cs="仿宋"/>
          <w:bCs/>
          <w:sz w:val="32"/>
          <w:szCs w:val="32"/>
          <w:u w:val="single"/>
        </w:rPr>
        <w:t xml:space="preserve"> 单户表 </w:t>
      </w:r>
      <w:r>
        <w:rPr>
          <w:rFonts w:hint="eastAsia" w:ascii="仿宋_GB2312" w:hAnsi="仿宋" w:eastAsia="仿宋_GB2312" w:cs="仿宋"/>
          <w:bCs/>
          <w:sz w:val="32"/>
          <w:szCs w:val="32"/>
        </w:rPr>
        <w:t>（按封面“报表类型”填列），按照</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u w:val="single"/>
          <w:lang w:val="en-US" w:eastAsia="zh-CN"/>
        </w:rPr>
        <w:t>政府</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rPr>
        <w:t>会计制度填报决算数据（按封面“单位执行会计制度”填列）。</w:t>
      </w:r>
    </w:p>
    <w:p>
      <w:pPr>
        <w:pageBreakBefore w:val="0"/>
        <w:widowControl w:val="0"/>
        <w:kinsoku/>
        <w:wordWrap/>
        <w:overflowPunct/>
        <w:topLinePunct w:val="0"/>
        <w:autoSpaceDE/>
        <w:autoSpaceDN/>
        <w:bidi w:val="0"/>
        <w:adjustRightInd/>
        <w:snapToGrid/>
        <w:spacing w:line="400" w:lineRule="exact"/>
        <w:ind w:firstLine="567"/>
        <w:textAlignment w:val="auto"/>
        <w:rPr>
          <w:rFonts w:hint="eastAsia" w:ascii="仿宋_GB2312" w:hAnsi="仿宋" w:eastAsia="仿宋_GB2312" w:cs="仿宋"/>
          <w:bCs/>
          <w:sz w:val="32"/>
          <w:szCs w:val="32"/>
        </w:rPr>
      </w:pPr>
      <w:r>
        <w:rPr>
          <w:rFonts w:hint="eastAsia" w:ascii="仿宋_GB2312" w:hAnsi="仿宋" w:eastAsia="仿宋_GB2312" w:cs="仿宋"/>
          <w:bCs/>
          <w:sz w:val="32"/>
          <w:szCs w:val="32"/>
        </w:rPr>
        <w:t>纳入本套决算编制范围的独立核算单位共</w:t>
      </w:r>
      <w:r>
        <w:rPr>
          <w:rFonts w:hint="eastAsia" w:ascii="仿宋_GB2312" w:hAnsi="仿宋" w:eastAsia="仿宋_GB2312" w:cs="仿宋"/>
          <w:bCs/>
          <w:sz w:val="32"/>
          <w:szCs w:val="32"/>
          <w:u w:val="single"/>
        </w:rPr>
        <w:t xml:space="preserve"> 1 </w:t>
      </w:r>
      <w:r>
        <w:rPr>
          <w:rFonts w:hint="eastAsia" w:ascii="仿宋_GB2312" w:hAnsi="仿宋" w:eastAsia="仿宋_GB2312" w:cs="仿宋"/>
          <w:bCs/>
          <w:sz w:val="32"/>
          <w:szCs w:val="32"/>
        </w:rPr>
        <w:t>个，比上年增减</w:t>
      </w:r>
      <w:r>
        <w:rPr>
          <w:rFonts w:hint="eastAsia" w:ascii="仿宋_GB2312" w:hAnsi="仿宋" w:eastAsia="仿宋_GB2312" w:cs="仿宋"/>
          <w:bCs/>
          <w:sz w:val="32"/>
          <w:szCs w:val="32"/>
          <w:u w:val="single"/>
        </w:rPr>
        <w:t xml:space="preserve"> 0 </w:t>
      </w:r>
      <w:r>
        <w:rPr>
          <w:rFonts w:hint="eastAsia" w:ascii="仿宋_GB2312" w:hAnsi="仿宋" w:eastAsia="仿宋_GB2312" w:cs="仿宋"/>
          <w:bCs/>
          <w:sz w:val="32"/>
          <w:szCs w:val="32"/>
        </w:rPr>
        <w:t>个。</w:t>
      </w:r>
    </w:p>
    <w:p>
      <w:pPr>
        <w:pStyle w:val="4"/>
        <w:pageBreakBefore w:val="0"/>
        <w:widowControl w:val="0"/>
        <w:numPr>
          <w:ilvl w:val="0"/>
          <w:numId w:val="1"/>
        </w:numPr>
        <w:kinsoku/>
        <w:wordWrap/>
        <w:overflowPunct/>
        <w:topLinePunct w:val="0"/>
        <w:autoSpaceDE/>
        <w:autoSpaceDN/>
        <w:bidi w:val="0"/>
        <w:adjustRightInd/>
        <w:snapToGrid/>
        <w:spacing w:line="400" w:lineRule="exact"/>
        <w:ind w:firstLine="640" w:firstLineChars="200"/>
        <w:textAlignment w:val="auto"/>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主要取得的事业成效</w:t>
      </w: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楷体简体" w:cs="Times New Roman"/>
          <w:b/>
          <w:bCs/>
          <w:sz w:val="32"/>
          <w:szCs w:val="32"/>
          <w:lang w:val="en-US" w:eastAsia="zh-CN"/>
        </w:rPr>
      </w:pPr>
      <w:r>
        <w:rPr>
          <w:rFonts w:hint="eastAsia" w:ascii="Times New Roman" w:hAnsi="Times New Roman" w:eastAsia="方正楷体简体" w:cs="Times New Roman"/>
          <w:b/>
          <w:bCs/>
          <w:sz w:val="32"/>
          <w:szCs w:val="32"/>
          <w:lang w:val="en-US" w:eastAsia="zh-CN"/>
        </w:rPr>
        <w:t>1.</w:t>
      </w:r>
      <w:r>
        <w:rPr>
          <w:rFonts w:hint="default" w:ascii="Times New Roman" w:hAnsi="Times New Roman" w:eastAsia="方正楷体简体" w:cs="Times New Roman"/>
          <w:b/>
          <w:bCs/>
          <w:sz w:val="32"/>
          <w:szCs w:val="32"/>
          <w:lang w:val="en-US" w:eastAsia="zh-CN"/>
        </w:rPr>
        <w:t>以党建引领为核心，持续深化全面从严治党</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（1）加强组织建设，不断提升战斗力。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Times New Roman" w:hAnsi="Times New Roman" w:eastAsia="方正仿宋简体" w:cs="Times New Roman"/>
          <w:b/>
          <w:bCs/>
          <w:color w:val="000000"/>
          <w:kern w:val="2"/>
          <w:sz w:val="32"/>
          <w:szCs w:val="32"/>
          <w:lang w:val="en-US" w:eastAsia="zh-CN" w:bidi="ar-SA"/>
        </w:rPr>
      </w:pPr>
      <w:r>
        <w:rPr>
          <w:rFonts w:hint="eastAsia" w:eastAsia="方正仿宋简体"/>
          <w:b/>
          <w:bCs/>
          <w:color w:val="000000"/>
          <w:sz w:val="32"/>
          <w:szCs w:val="32"/>
          <w:lang w:val="en-US" w:eastAsia="zh-CN"/>
        </w:rPr>
        <w:t>一是</w:t>
      </w:r>
      <w:r>
        <w:rPr>
          <w:rFonts w:hint="eastAsia" w:eastAsia="方正仿宋简体"/>
          <w:color w:val="000000"/>
          <w:sz w:val="32"/>
          <w:szCs w:val="32"/>
        </w:rPr>
        <w:t>严肃换届纪律</w:t>
      </w:r>
      <w:r>
        <w:rPr>
          <w:rFonts w:hint="eastAsia" w:eastAsia="方正仿宋简体"/>
          <w:color w:val="000000"/>
          <w:sz w:val="32"/>
          <w:szCs w:val="32"/>
          <w:lang w:eastAsia="zh-CN"/>
        </w:rPr>
        <w:t>，</w:t>
      </w:r>
      <w:r>
        <w:rPr>
          <w:rFonts w:hint="eastAsia" w:eastAsia="方正仿宋简体"/>
          <w:color w:val="000000"/>
          <w:sz w:val="32"/>
          <w:szCs w:val="32"/>
          <w:lang w:val="en-US" w:eastAsia="zh-CN"/>
        </w:rPr>
        <w:t>按要求顺利完成党总支和党支部换届选举工作</w:t>
      </w:r>
      <w:r>
        <w:rPr>
          <w:rFonts w:hint="eastAsia" w:ascii="Times New Roman" w:hAnsi="Times New Roman" w:eastAsia="方正仿宋简体" w:cs="Times New Roman"/>
          <w:sz w:val="32"/>
          <w:szCs w:val="32"/>
          <w:lang w:val="en-US" w:eastAsia="zh-CN"/>
        </w:rPr>
        <w:t>，</w:t>
      </w:r>
      <w:r>
        <w:rPr>
          <w:rFonts w:hint="eastAsia" w:eastAsia="方正仿宋简体" w:cs="Times New Roman"/>
          <w:sz w:val="32"/>
          <w:szCs w:val="32"/>
          <w:lang w:val="en-US" w:eastAsia="zh-CN"/>
        </w:rPr>
        <w:t>强化党员队伍建设，</w:t>
      </w:r>
      <w:r>
        <w:rPr>
          <w:rFonts w:hint="eastAsia" w:ascii="Times New Roman" w:hAnsi="Times New Roman" w:eastAsia="方正仿宋简体" w:cs="Times New Roman"/>
          <w:sz w:val="32"/>
          <w:szCs w:val="32"/>
          <w:lang w:val="en-US" w:eastAsia="zh-CN"/>
        </w:rPr>
        <w:t>严格按党员发展程序发展预备党员1名，入党积极分子3名；</w:t>
      </w:r>
      <w:r>
        <w:rPr>
          <w:rFonts w:hint="eastAsia" w:eastAsia="方正仿宋简体" w:cs="Times New Roman"/>
          <w:color w:val="000000"/>
          <w:sz w:val="32"/>
          <w:szCs w:val="32"/>
          <w:lang w:val="en-US" w:eastAsia="zh-CN"/>
        </w:rPr>
        <w:t>选拔任用中层干部4名；</w:t>
      </w:r>
      <w:r>
        <w:rPr>
          <w:rFonts w:hint="eastAsia" w:ascii="Times New Roman" w:hAnsi="Times New Roman" w:eastAsia="方正仿宋简体" w:cs="Times New Roman"/>
          <w:sz w:val="32"/>
          <w:szCs w:val="32"/>
          <w:lang w:val="en-US" w:eastAsia="zh-CN"/>
        </w:rPr>
        <w:t>积极做好党费收缴，全体党员职工按时足额</w:t>
      </w:r>
      <w:r>
        <w:rPr>
          <w:rFonts w:hint="eastAsia" w:eastAsia="方正仿宋简体" w:cs="Times New Roman"/>
          <w:sz w:val="32"/>
          <w:szCs w:val="32"/>
          <w:lang w:val="en-US" w:eastAsia="zh-CN"/>
        </w:rPr>
        <w:t>交纳党费</w:t>
      </w:r>
      <w:r>
        <w:rPr>
          <w:rFonts w:hint="eastAsia" w:ascii="Times New Roman" w:hAnsi="Times New Roman" w:eastAsia="方正仿宋简体" w:cs="Times New Roman"/>
          <w:sz w:val="32"/>
          <w:szCs w:val="32"/>
          <w:lang w:val="en-US" w:eastAsia="zh-CN"/>
        </w:rPr>
        <w:t>并安排专人负责管理。</w:t>
      </w:r>
      <w:r>
        <w:rPr>
          <w:rFonts w:hint="eastAsia" w:ascii="Times New Roman" w:hAnsi="Times New Roman" w:eastAsia="方正仿宋简体" w:cs="Times New Roman"/>
          <w:b/>
          <w:bCs/>
          <w:sz w:val="32"/>
          <w:szCs w:val="32"/>
          <w:lang w:val="en-US" w:eastAsia="zh-CN"/>
        </w:rPr>
        <w:t>二是</w:t>
      </w:r>
      <w:r>
        <w:rPr>
          <w:rFonts w:hint="default" w:ascii="Times New Roman" w:hAnsi="Times New Roman" w:eastAsia="方正仿宋简体" w:cs="Times New Roman"/>
          <w:sz w:val="32"/>
          <w:szCs w:val="32"/>
        </w:rPr>
        <w:t>严格</w:t>
      </w:r>
      <w:r>
        <w:rPr>
          <w:rFonts w:hint="eastAsia" w:ascii="Times New Roman" w:hAnsi="Times New Roman" w:eastAsia="方正仿宋简体" w:cs="Times New Roman"/>
          <w:sz w:val="32"/>
          <w:szCs w:val="32"/>
          <w:lang w:val="en-US" w:eastAsia="zh-CN"/>
        </w:rPr>
        <w:t>执行</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三会一课</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组织生活会</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民主生活会</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制度，</w:t>
      </w:r>
      <w:r>
        <w:rPr>
          <w:rFonts w:hint="default" w:ascii="Times New Roman" w:hAnsi="Times New Roman" w:eastAsia="方正仿宋简体" w:cs="Times New Roman"/>
          <w:sz w:val="32"/>
          <w:szCs w:val="32"/>
        </w:rPr>
        <w:t>执行党员领导干部参加双重组织生活、双报到、党员活动日、民主评议党员等党内政治生活制度。</w:t>
      </w:r>
      <w:r>
        <w:rPr>
          <w:rFonts w:hint="eastAsia" w:ascii="Times New Roman" w:hAnsi="Times New Roman" w:eastAsia="方正仿宋简体" w:cs="Times New Roman"/>
          <w:sz w:val="32"/>
          <w:szCs w:val="32"/>
          <w:lang w:val="en-US" w:eastAsia="zh-CN"/>
        </w:rPr>
        <w:t>2022年中心党总支召开党总支会议12次，党员大会4次，主题党日活动12次，党小组会议12次，开展党员“双报道”25人次。</w:t>
      </w:r>
      <w:r>
        <w:rPr>
          <w:rFonts w:hint="eastAsia" w:eastAsia="方正仿宋简体"/>
          <w:b/>
          <w:bCs/>
          <w:color w:val="000000"/>
          <w:sz w:val="32"/>
          <w:szCs w:val="32"/>
          <w:lang w:val="en-US" w:eastAsia="zh-CN"/>
        </w:rPr>
        <w:t>三是</w:t>
      </w:r>
      <w:r>
        <w:rPr>
          <w:rFonts w:hint="eastAsia" w:ascii="Calibri" w:hAnsi="Calibri" w:eastAsia="方正仿宋简体" w:cs="Times New Roman"/>
          <w:kern w:val="2"/>
          <w:sz w:val="32"/>
          <w:szCs w:val="32"/>
          <w:lang w:val="en-US" w:eastAsia="zh-CN" w:bidi="ar-SA"/>
        </w:rPr>
        <w:t>认真</w:t>
      </w:r>
      <w:r>
        <w:rPr>
          <w:rFonts w:hint="eastAsia" w:eastAsia="方正仿宋简体" w:cs="Times New Roman"/>
          <w:kern w:val="2"/>
          <w:sz w:val="32"/>
          <w:szCs w:val="32"/>
          <w:lang w:val="en-US" w:eastAsia="zh-CN" w:bidi="ar-SA"/>
        </w:rPr>
        <w:t>履行党建工作主体责任和第一责任人责任，明确“一岗双责”，落实意识形态工作责任制，按期研究、部署、督导党建任务，2022年，中心党总支召开党建工作专题会议4次，党总支委员会12次，督导党建工作2次，确保党建工作全程化、同步化。</w:t>
      </w:r>
      <w:r>
        <w:rPr>
          <w:rFonts w:hint="eastAsia" w:ascii="Times New Roman" w:hAnsi="Times New Roman" w:eastAsia="方正仿宋简体" w:cs="Times New Roman"/>
          <w:b/>
          <w:bCs/>
          <w:color w:val="000000"/>
          <w:kern w:val="2"/>
          <w:sz w:val="32"/>
          <w:szCs w:val="32"/>
          <w:lang w:val="en-US" w:eastAsia="zh-CN" w:bidi="ar-SA"/>
        </w:rPr>
        <w:t>四是</w:t>
      </w:r>
      <w:r>
        <w:rPr>
          <w:rFonts w:hint="default" w:ascii="Times New Roman" w:hAnsi="Times New Roman" w:eastAsia="方正仿宋简体" w:cs="Times New Roman"/>
          <w:kern w:val="0"/>
          <w:sz w:val="32"/>
          <w:szCs w:val="32"/>
          <w:highlight w:val="none"/>
        </w:rPr>
        <w:t>加强对党员监督管理，</w:t>
      </w:r>
      <w:r>
        <w:rPr>
          <w:rFonts w:hint="eastAsia" w:ascii="Times New Roman" w:hAnsi="Times New Roman" w:eastAsia="方正仿宋简体" w:cs="Times New Roman"/>
          <w:sz w:val="32"/>
          <w:szCs w:val="32"/>
          <w:lang w:val="en-US" w:eastAsia="zh-CN"/>
        </w:rPr>
        <w:t>中心党总支现有在职党员26人，严格按照党员发展程序发展预备党员1名，入党积极分子3名；积极做好党费收缴，全体党员职工按时足额</w:t>
      </w:r>
      <w:r>
        <w:rPr>
          <w:rFonts w:hint="eastAsia" w:eastAsia="方正仿宋简体" w:cs="Times New Roman"/>
          <w:sz w:val="32"/>
          <w:szCs w:val="32"/>
          <w:lang w:val="en-US" w:eastAsia="zh-CN"/>
        </w:rPr>
        <w:t>交纳党费</w:t>
      </w:r>
      <w:r>
        <w:rPr>
          <w:rFonts w:hint="eastAsia" w:ascii="Times New Roman" w:hAnsi="Times New Roman" w:eastAsia="方正仿宋简体" w:cs="Times New Roman"/>
          <w:sz w:val="32"/>
          <w:szCs w:val="32"/>
          <w:lang w:val="en-US" w:eastAsia="zh-CN"/>
        </w:rPr>
        <w:t>并安排专人负责管理。强化监督，</w:t>
      </w:r>
      <w:r>
        <w:rPr>
          <w:rFonts w:hint="default" w:ascii="Times New Roman" w:hAnsi="Times New Roman" w:eastAsia="方正仿宋简体" w:cs="Times New Roman"/>
          <w:kern w:val="0"/>
          <w:sz w:val="32"/>
          <w:szCs w:val="32"/>
          <w:highlight w:val="none"/>
        </w:rPr>
        <w:t>通过“三会一课”考勤和监督检查党员“三会一课”记录本</w:t>
      </w:r>
      <w:r>
        <w:rPr>
          <w:rFonts w:hint="eastAsia" w:ascii="Times New Roman" w:hAnsi="Times New Roman" w:eastAsia="方正仿宋简体" w:cs="Times New Roman"/>
          <w:kern w:val="0"/>
          <w:sz w:val="32"/>
          <w:szCs w:val="32"/>
          <w:highlight w:val="none"/>
          <w:lang w:eastAsia="zh-CN"/>
        </w:rPr>
        <w:t>，</w:t>
      </w:r>
      <w:r>
        <w:rPr>
          <w:rFonts w:hint="default" w:ascii="Times New Roman" w:hAnsi="Times New Roman" w:eastAsia="方正仿宋简体" w:cs="Times New Roman"/>
          <w:kern w:val="0"/>
          <w:sz w:val="32"/>
          <w:szCs w:val="32"/>
          <w:highlight w:val="none"/>
        </w:rPr>
        <w:t>作为日常党员积分和民主评议依据</w:t>
      </w:r>
      <w:r>
        <w:rPr>
          <w:rFonts w:hint="eastAsia" w:ascii="Times New Roman" w:hAnsi="Times New Roman" w:eastAsia="方正仿宋简体" w:cs="Times New Roman"/>
          <w:kern w:val="0"/>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default"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（2）加强思想建设，不断提升向心力</w:t>
      </w:r>
    </w:p>
    <w:p>
      <w:pPr>
        <w:numPr>
          <w:ilvl w:val="0"/>
          <w:numId w:val="0"/>
        </w:numPr>
        <w:spacing w:line="57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中心党总支始终坚持以习近平新时代中国特色社会主义思想为指引，深入学习</w:t>
      </w:r>
      <w:r>
        <w:rPr>
          <w:rFonts w:hint="default" w:ascii="Times New Roman" w:hAnsi="Times New Roman" w:eastAsia="方正仿宋简体" w:cs="Times New Roman"/>
          <w:sz w:val="32"/>
          <w:szCs w:val="32"/>
        </w:rPr>
        <w:t>贯彻党的十九大</w:t>
      </w:r>
      <w:r>
        <w:rPr>
          <w:rFonts w:hint="default" w:ascii="Times New Roman" w:hAnsi="Times New Roman" w:eastAsia="方正仿宋简体" w:cs="Times New Roman"/>
          <w:sz w:val="32"/>
          <w:szCs w:val="32"/>
          <w:lang w:eastAsia="zh-CN"/>
        </w:rPr>
        <w:t>、</w:t>
      </w:r>
      <w:r>
        <w:rPr>
          <w:rFonts w:hint="eastAsia" w:eastAsia="方正仿宋简体" w:cs="Times New Roman"/>
          <w:sz w:val="32"/>
          <w:szCs w:val="32"/>
          <w:lang w:val="en-US" w:eastAsia="zh-CN"/>
        </w:rPr>
        <w:t>党的二十大精神</w:t>
      </w:r>
      <w:r>
        <w:rPr>
          <w:rFonts w:hint="default" w:ascii="Times New Roman" w:hAnsi="Times New Roman" w:eastAsia="方正仿宋简体" w:cs="Times New Roman"/>
          <w:sz w:val="32"/>
          <w:szCs w:val="32"/>
          <w:lang w:val="en-US" w:eastAsia="zh-CN"/>
        </w:rPr>
        <w:t>和</w:t>
      </w:r>
      <w:r>
        <w:rPr>
          <w:rFonts w:hint="eastAsia" w:eastAsia="方正仿宋简体" w:cs="Times New Roman"/>
          <w:sz w:val="32"/>
          <w:szCs w:val="32"/>
          <w:lang w:eastAsia="zh-CN"/>
        </w:rPr>
        <w:t>习近平总书记</w:t>
      </w:r>
      <w:r>
        <w:rPr>
          <w:rFonts w:hint="default" w:ascii="Times New Roman" w:hAnsi="Times New Roman" w:eastAsia="方正仿宋简体" w:cs="Times New Roman"/>
          <w:sz w:val="32"/>
          <w:szCs w:val="32"/>
        </w:rPr>
        <w:t>来川视察重要讲话精神，</w:t>
      </w:r>
      <w:r>
        <w:rPr>
          <w:rFonts w:hint="default" w:ascii="Times New Roman" w:hAnsi="Times New Roman" w:eastAsia="方正仿宋简体" w:cs="Times New Roman"/>
          <w:sz w:val="32"/>
          <w:szCs w:val="32"/>
          <w:lang w:val="en-US" w:eastAsia="zh-CN"/>
        </w:rPr>
        <w:t>牢固树立“四个意识”，坚定“四个自信”，做到“两个维护”“四个服从”，扎实推进学习型党组织建设，坚持以中心理论组学习为龙头，全体党员学习为重点，常态化学习党章党规党纪24次，学习先进事迹3次，理论学习12次，专题学习12次，依托“一月一读书”活动集中学习9次，专题党课4次，党史学习12次，</w:t>
      </w:r>
      <w:r>
        <w:rPr>
          <w:rFonts w:hint="eastAsia" w:eastAsia="方正仿宋简体" w:cs="Times New Roman"/>
          <w:sz w:val="32"/>
          <w:szCs w:val="32"/>
          <w:lang w:val="en-US" w:eastAsia="zh-CN"/>
        </w:rPr>
        <w:t>党的</w:t>
      </w:r>
      <w:r>
        <w:rPr>
          <w:rFonts w:hint="default" w:ascii="Times New Roman" w:hAnsi="Times New Roman" w:eastAsia="方正仿宋简体" w:cs="Times New Roman"/>
          <w:sz w:val="32"/>
          <w:szCs w:val="32"/>
          <w:lang w:val="en-US" w:eastAsia="zh-CN"/>
        </w:rPr>
        <w:t>二十大宣讲4次，党史学习专题民主生活会1次，大力提升了全体党员干部整体素养。</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（3）加强纪律建设，不断提保障力。</w:t>
      </w:r>
      <w:r>
        <w:rPr>
          <w:rFonts w:hint="eastAsia" w:ascii="Times New Roman" w:hAnsi="Times New Roman" w:eastAsia="方正仿宋简体" w:cs="Times New Roman"/>
          <w:b/>
          <w:bCs/>
          <w:color w:val="000000"/>
          <w:sz w:val="32"/>
          <w:szCs w:val="32"/>
          <w:lang w:val="en-US" w:eastAsia="zh-CN"/>
        </w:rPr>
        <w:t>一是严格落实党风廉政建设责任制。</w:t>
      </w:r>
      <w:r>
        <w:rPr>
          <w:rFonts w:hint="eastAsia" w:eastAsia="方正仿宋简体"/>
          <w:color w:val="000000"/>
          <w:sz w:val="32"/>
          <w:szCs w:val="32"/>
        </w:rPr>
        <w:t>切实履行党风廉政建设主体责任，</w:t>
      </w:r>
      <w:r>
        <w:rPr>
          <w:rFonts w:hint="eastAsia" w:eastAsia="方正仿宋简体"/>
          <w:color w:val="000000"/>
          <w:sz w:val="32"/>
          <w:szCs w:val="32"/>
          <w:lang w:val="en-US" w:eastAsia="zh-CN"/>
        </w:rPr>
        <w:t>持之以恒推动落实中央八项规定精神，</w:t>
      </w:r>
      <w:r>
        <w:rPr>
          <w:rFonts w:hint="eastAsia" w:eastAsia="方正仿宋简体"/>
          <w:color w:val="000000"/>
          <w:sz w:val="32"/>
          <w:szCs w:val="32"/>
        </w:rPr>
        <w:t>强化廉政教育监督</w:t>
      </w:r>
      <w:r>
        <w:rPr>
          <w:rFonts w:hint="eastAsia" w:eastAsia="方正仿宋简体"/>
          <w:color w:val="000000"/>
          <w:sz w:val="32"/>
          <w:szCs w:val="32"/>
          <w:lang w:val="en-US" w:eastAsia="zh-CN"/>
        </w:rPr>
        <w:t>管理</w:t>
      </w:r>
      <w:r>
        <w:rPr>
          <w:rFonts w:hint="eastAsia" w:eastAsia="方正仿宋简体"/>
          <w:color w:val="000000"/>
          <w:sz w:val="32"/>
          <w:szCs w:val="32"/>
        </w:rPr>
        <w:t>，做到警钟长鸣、防微杜渐。排查廉政风险点</w:t>
      </w:r>
      <w:r>
        <w:rPr>
          <w:rFonts w:hint="eastAsia" w:ascii="Times New Roman" w:hAnsi="Times New Roman" w:eastAsia="方正仿宋简体" w:cs="Times New Roman"/>
          <w:color w:val="000000"/>
          <w:sz w:val="32"/>
          <w:szCs w:val="32"/>
          <w:lang w:val="en-US" w:eastAsia="zh-CN"/>
        </w:rPr>
        <w:t>50条</w:t>
      </w:r>
      <w:r>
        <w:rPr>
          <w:rFonts w:hint="eastAsia" w:eastAsia="方正仿宋简体"/>
          <w:color w:val="000000"/>
          <w:sz w:val="32"/>
          <w:szCs w:val="32"/>
        </w:rPr>
        <w:t>，开展</w:t>
      </w:r>
      <w:r>
        <w:rPr>
          <w:rFonts w:hint="eastAsia" w:ascii="Times New Roman" w:hAnsi="Times New Roman" w:eastAsia="方正仿宋简体" w:cs="Times New Roman"/>
          <w:color w:val="000000"/>
          <w:kern w:val="2"/>
          <w:sz w:val="32"/>
          <w:szCs w:val="32"/>
          <w:highlight w:val="none"/>
          <w:lang w:val="en-US" w:eastAsia="zh-CN" w:bidi="ar-SA"/>
        </w:rPr>
        <w:t>“借培训名义搞公款旅游排查整治工作”“闲人专项整治工作”“年轻干部培育行动”等</w:t>
      </w:r>
      <w:r>
        <w:rPr>
          <w:rFonts w:hint="eastAsia" w:eastAsia="方正仿宋简体"/>
          <w:color w:val="000000"/>
          <w:sz w:val="32"/>
          <w:szCs w:val="32"/>
        </w:rPr>
        <w:t>专项整治</w:t>
      </w:r>
      <w:r>
        <w:rPr>
          <w:rFonts w:hint="eastAsia" w:eastAsia="方正仿宋简体"/>
          <w:color w:val="000000"/>
          <w:sz w:val="32"/>
          <w:szCs w:val="32"/>
          <w:lang w:val="en-US" w:eastAsia="zh-CN"/>
        </w:rPr>
        <w:t>工作5次</w:t>
      </w:r>
      <w:r>
        <w:rPr>
          <w:rFonts w:hint="eastAsia" w:eastAsia="方正仿宋简体"/>
          <w:color w:val="000000"/>
          <w:sz w:val="32"/>
          <w:szCs w:val="32"/>
        </w:rPr>
        <w:t>，常态化开展党员干部约谈和提醒工作</w:t>
      </w:r>
      <w:r>
        <w:rPr>
          <w:rFonts w:hint="eastAsia" w:eastAsia="方正仿宋简体"/>
          <w:color w:val="000000"/>
          <w:sz w:val="32"/>
          <w:szCs w:val="32"/>
          <w:lang w:eastAsia="zh-CN"/>
        </w:rPr>
        <w:t>，</w:t>
      </w:r>
      <w:r>
        <w:rPr>
          <w:rFonts w:hint="eastAsia" w:eastAsia="方正仿宋简体"/>
          <w:color w:val="000000"/>
          <w:sz w:val="32"/>
          <w:szCs w:val="32"/>
          <w:lang w:val="en-US" w:eastAsia="zh-CN"/>
        </w:rPr>
        <w:t>全年</w:t>
      </w:r>
      <w:r>
        <w:rPr>
          <w:rFonts w:hint="eastAsia" w:eastAsia="方正仿宋简体"/>
          <w:color w:val="000000"/>
          <w:sz w:val="32"/>
          <w:szCs w:val="32"/>
        </w:rPr>
        <w:t>召开</w:t>
      </w:r>
      <w:r>
        <w:rPr>
          <w:rFonts w:hint="eastAsia" w:eastAsia="方正仿宋简体"/>
          <w:color w:val="000000"/>
          <w:sz w:val="32"/>
          <w:szCs w:val="32"/>
          <w:lang w:val="en-US" w:eastAsia="zh-CN"/>
        </w:rPr>
        <w:t>党风廉政建设</w:t>
      </w:r>
      <w:r>
        <w:rPr>
          <w:rFonts w:hint="eastAsia" w:eastAsia="方正仿宋简体"/>
          <w:color w:val="000000"/>
          <w:sz w:val="32"/>
          <w:szCs w:val="32"/>
        </w:rPr>
        <w:t>专题会</w:t>
      </w:r>
      <w:r>
        <w:rPr>
          <w:rFonts w:hint="eastAsia" w:eastAsia="方正仿宋简体"/>
          <w:color w:val="000000"/>
          <w:sz w:val="32"/>
          <w:szCs w:val="32"/>
          <w:lang w:val="en-US" w:eastAsia="zh-CN"/>
        </w:rPr>
        <w:t>6次</w:t>
      </w:r>
      <w:r>
        <w:rPr>
          <w:rFonts w:hint="eastAsia" w:eastAsia="方正仿宋简体"/>
          <w:color w:val="000000"/>
          <w:sz w:val="32"/>
          <w:szCs w:val="32"/>
        </w:rPr>
        <w:t>，</w:t>
      </w:r>
      <w:r>
        <w:rPr>
          <w:rFonts w:hint="eastAsia" w:eastAsia="方正仿宋简体"/>
          <w:color w:val="000000"/>
          <w:sz w:val="32"/>
          <w:szCs w:val="32"/>
          <w:lang w:val="en-US" w:eastAsia="zh-CN"/>
        </w:rPr>
        <w:t>廉政专题讲座3次，观看廉政警示教育片3次，开展</w:t>
      </w:r>
      <w:r>
        <w:rPr>
          <w:rFonts w:hint="eastAsia" w:eastAsia="方正仿宋简体"/>
          <w:color w:val="000000"/>
          <w:sz w:val="32"/>
          <w:szCs w:val="32"/>
        </w:rPr>
        <w:t>廉洁谈话96人</w:t>
      </w:r>
      <w:r>
        <w:rPr>
          <w:rFonts w:hint="eastAsia" w:eastAsia="方正仿宋简体"/>
          <w:color w:val="000000"/>
          <w:sz w:val="32"/>
          <w:szCs w:val="32"/>
          <w:lang w:val="en-US" w:eastAsia="zh-CN"/>
        </w:rPr>
        <w:t>次</w:t>
      </w:r>
      <w:r>
        <w:rPr>
          <w:rFonts w:hint="eastAsia" w:eastAsia="方正仿宋简体"/>
          <w:color w:val="000000"/>
          <w:sz w:val="32"/>
          <w:szCs w:val="32"/>
        </w:rPr>
        <w:t>，全力打造廉洁、法治疾控。</w:t>
      </w:r>
      <w:r>
        <w:rPr>
          <w:rFonts w:hint="eastAsia" w:ascii="Times New Roman" w:hAnsi="Times New Roman" w:eastAsia="方正仿宋简体" w:cs="Times New Roman"/>
          <w:b/>
          <w:bCs/>
          <w:color w:val="000000"/>
          <w:sz w:val="32"/>
          <w:szCs w:val="32"/>
          <w:lang w:val="en-US" w:eastAsia="zh-CN"/>
        </w:rPr>
        <w:t>二是</w:t>
      </w:r>
      <w:r>
        <w:rPr>
          <w:rFonts w:eastAsia="方正仿宋简体"/>
          <w:b/>
          <w:color w:val="000000"/>
          <w:sz w:val="32"/>
          <w:szCs w:val="32"/>
        </w:rPr>
        <w:t>深入贯彻中央八项规定精神</w:t>
      </w:r>
      <w:r>
        <w:rPr>
          <w:rFonts w:hint="default" w:ascii="Times New Roman" w:hAnsi="Times New Roman" w:eastAsia="方正仿宋简体" w:cs="Times New Roman"/>
          <w:b/>
          <w:bCs/>
          <w:sz w:val="32"/>
          <w:szCs w:val="32"/>
          <w:lang w:val="en-US" w:eastAsia="zh-CN"/>
        </w:rPr>
        <w:t>。</w:t>
      </w:r>
      <w:r>
        <w:rPr>
          <w:rFonts w:eastAsia="方正仿宋简体"/>
          <w:color w:val="000000"/>
          <w:sz w:val="32"/>
          <w:szCs w:val="32"/>
        </w:rPr>
        <w:t>深入学习贯彻落实中央</w:t>
      </w:r>
      <w:r>
        <w:rPr>
          <w:rFonts w:hint="eastAsia" w:eastAsia="方正仿宋简体"/>
          <w:color w:val="000000"/>
          <w:sz w:val="32"/>
          <w:szCs w:val="32"/>
          <w:lang w:eastAsia="zh-CN"/>
        </w:rPr>
        <w:t>八项规定</w:t>
      </w:r>
      <w:r>
        <w:rPr>
          <w:rFonts w:eastAsia="方正仿宋简体"/>
          <w:color w:val="000000"/>
          <w:sz w:val="32"/>
          <w:szCs w:val="32"/>
        </w:rPr>
        <w:t>精神、省市区十项规</w:t>
      </w:r>
      <w:r>
        <w:rPr>
          <w:rFonts w:eastAsia="方正仿宋简体"/>
          <w:color w:val="000000"/>
          <w:kern w:val="0"/>
          <w:sz w:val="32"/>
          <w:szCs w:val="32"/>
        </w:rPr>
        <w:t>定</w:t>
      </w:r>
      <w:r>
        <w:rPr>
          <w:rFonts w:hint="eastAsia" w:eastAsia="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rPr>
        <w:t>狠抓“干部作风”、“行业作风”建设，突出以治理新“四风”问题</w:t>
      </w:r>
      <w:r>
        <w:rPr>
          <w:rFonts w:hint="eastAsia" w:ascii="方正仿宋简体" w:hAnsi="方正仿宋简体" w:eastAsia="方正仿宋简体" w:cs="方正仿宋简体"/>
          <w:color w:val="000000"/>
          <w:kern w:val="0"/>
          <w:sz w:val="32"/>
          <w:szCs w:val="32"/>
          <w:lang w:eastAsia="zh-CN"/>
        </w:rPr>
        <w:t>，</w:t>
      </w:r>
      <w:r>
        <w:rPr>
          <w:rFonts w:hint="eastAsia" w:ascii="Times New Roman" w:hAnsi="Times New Roman" w:eastAsia="方正仿宋简体" w:cs="Times New Roman"/>
          <w:color w:val="000000"/>
          <w:kern w:val="2"/>
          <w:sz w:val="32"/>
          <w:szCs w:val="32"/>
          <w:highlight w:val="none"/>
          <w:lang w:val="en-US" w:eastAsia="zh-CN" w:bidi="ar-SA"/>
        </w:rPr>
        <w:t>积极组织开展了“借培训名义搞公款旅游排查整治工作”“闲人专项整治工作”“年轻干部培育行动”等多项行动，</w:t>
      </w:r>
      <w:r>
        <w:rPr>
          <w:rFonts w:hint="eastAsia" w:eastAsia="方正仿宋简体" w:cs="Times New Roman"/>
          <w:color w:val="000000"/>
          <w:sz w:val="32"/>
          <w:szCs w:val="32"/>
          <w:highlight w:val="none"/>
          <w:lang w:val="en-US" w:eastAsia="zh-CN"/>
        </w:rPr>
        <w:t>强化“三公经费”管理，加强党务、政务公开，公开事项累计22余项，加强招投标采购的监督，无违纪违规现象</w:t>
      </w:r>
      <w:r>
        <w:rPr>
          <w:rFonts w:hint="eastAsia" w:ascii="Times New Roman" w:hAnsi="Times New Roman" w:eastAsia="方正仿宋简体" w:cs="Times New Roman"/>
          <w:color w:val="000000"/>
          <w:sz w:val="32"/>
          <w:szCs w:val="32"/>
          <w:highlight w:val="none"/>
          <w:lang w:eastAsia="zh-CN"/>
        </w:rPr>
        <w:t>。</w:t>
      </w:r>
      <w:r>
        <w:rPr>
          <w:rFonts w:hint="eastAsia" w:eastAsia="方正仿宋简体" w:cs="Times New Roman"/>
          <w:b/>
          <w:bCs/>
          <w:kern w:val="2"/>
          <w:sz w:val="32"/>
          <w:szCs w:val="32"/>
          <w:lang w:val="en-US" w:eastAsia="zh-CN" w:bidi="ar-SA"/>
        </w:rPr>
        <w:t>三</w:t>
      </w:r>
      <w:r>
        <w:rPr>
          <w:rFonts w:hint="eastAsia" w:ascii="Times New Roman" w:hAnsi="Times New Roman" w:eastAsia="方正仿宋简体" w:cs="Times New Roman"/>
          <w:b/>
          <w:bCs/>
          <w:kern w:val="2"/>
          <w:sz w:val="32"/>
          <w:szCs w:val="32"/>
          <w:lang w:val="en-US" w:eastAsia="zh-CN" w:bidi="ar-SA"/>
        </w:rPr>
        <w:t>是筑牢意识形态思想安全防线</w:t>
      </w:r>
      <w:r>
        <w:rPr>
          <w:rFonts w:hint="eastAsia" w:eastAsia="方正仿宋简体" w:cs="Times New Roman"/>
          <w:b/>
          <w:bCs/>
          <w:kern w:val="2"/>
          <w:sz w:val="32"/>
          <w:szCs w:val="32"/>
          <w:lang w:val="en-US" w:eastAsia="zh-CN" w:bidi="ar-SA"/>
        </w:rPr>
        <w:t>。</w:t>
      </w:r>
      <w:r>
        <w:rPr>
          <w:rFonts w:hint="eastAsia" w:ascii="Times New Roman" w:hAnsi="Times New Roman" w:eastAsia="方正仿宋简体" w:cs="Times New Roman"/>
          <w:kern w:val="2"/>
          <w:sz w:val="32"/>
          <w:szCs w:val="32"/>
          <w:highlight w:val="none"/>
          <w:lang w:val="en-US" w:eastAsia="zh-CN" w:bidi="ar-SA"/>
        </w:rPr>
        <w:t>加强对意识形态工作阵地的建设和管理，实时更新中心宣传栏、电子显示屏、门户网站等意识形态阵地内容；强化监督管理，定期查看发布内容情况，始终坚持正确方向和导向，弘扬主旋律，传播正能量；抓住重要和敏感节点，加强意识形态安全预警监测和分析研判，</w:t>
      </w:r>
      <w:r>
        <w:rPr>
          <w:rFonts w:hint="eastAsia" w:eastAsia="方正仿宋简体" w:cs="Times New Roman"/>
          <w:kern w:val="2"/>
          <w:sz w:val="32"/>
          <w:szCs w:val="32"/>
          <w:highlight w:val="none"/>
          <w:lang w:val="en-US" w:eastAsia="zh-CN" w:bidi="ar-SA"/>
        </w:rPr>
        <w:t>杜绝</w:t>
      </w:r>
      <w:r>
        <w:rPr>
          <w:rFonts w:hint="eastAsia" w:ascii="Times New Roman" w:hAnsi="Times New Roman" w:eastAsia="方正仿宋简体" w:cs="Times New Roman"/>
          <w:kern w:val="2"/>
          <w:sz w:val="32"/>
          <w:szCs w:val="32"/>
          <w:highlight w:val="none"/>
          <w:lang w:val="en-US" w:eastAsia="zh-CN" w:bidi="ar-SA"/>
        </w:rPr>
        <w:t>错误思想</w:t>
      </w:r>
      <w:r>
        <w:rPr>
          <w:rFonts w:hint="eastAsia" w:ascii="方正仿宋简体" w:hAnsi="方正仿宋简体" w:eastAsia="方正仿宋简体" w:cs="方正仿宋简体"/>
          <w:sz w:val="32"/>
          <w:szCs w:val="32"/>
        </w:rPr>
        <w:t>和言论提供传播渠道</w:t>
      </w:r>
      <w:r>
        <w:rPr>
          <w:rFonts w:hint="eastAsia" w:ascii="方正仿宋简体" w:hAnsi="方正仿宋简体" w:eastAsia="方正仿宋简体" w:cs="方正仿宋简体"/>
          <w:sz w:val="32"/>
          <w:szCs w:val="32"/>
          <w:lang w:eastAsia="zh-CN"/>
        </w:rPr>
        <w:t>。</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eastAsia" w:ascii="Times New Roman" w:hAnsi="Times New Roman" w:eastAsia="方正楷体简体" w:cs="Times New Roman"/>
          <w:b/>
          <w:bCs/>
          <w:sz w:val="32"/>
          <w:szCs w:val="32"/>
          <w:lang w:val="en-US" w:eastAsia="zh-CN"/>
        </w:rPr>
      </w:pPr>
      <w:r>
        <w:rPr>
          <w:rFonts w:hint="eastAsia" w:ascii="Times New Roman" w:hAnsi="Times New Roman" w:eastAsia="方正楷体简体" w:cs="Times New Roman"/>
          <w:b/>
          <w:bCs/>
          <w:sz w:val="32"/>
          <w:szCs w:val="32"/>
          <w:lang w:val="en-US" w:eastAsia="zh-CN"/>
        </w:rPr>
        <w:t>2.以为民服务为重心，稳步推进疫情防控工作</w:t>
      </w:r>
    </w:p>
    <w:p>
      <w:pPr>
        <w:numPr>
          <w:ilvl w:val="0"/>
          <w:numId w:val="0"/>
        </w:numPr>
        <w:ind w:firstLine="643" w:firstLineChars="200"/>
        <w:rPr>
          <w:rFonts w:hint="default" w:ascii="Times New Roman" w:hAnsi="Times New Roman" w:eastAsia="方正仿宋简体" w:cs="Times New Roman"/>
          <w:color w:val="000000"/>
          <w:sz w:val="32"/>
          <w:szCs w:val="32"/>
          <w:highlight w:val="none"/>
          <w:lang w:val="en-US" w:eastAsia="zh-CN"/>
        </w:rPr>
      </w:pPr>
      <w:r>
        <w:rPr>
          <w:rFonts w:hint="eastAsia" w:eastAsia="方正仿宋简体"/>
          <w:b/>
          <w:bCs w:val="0"/>
          <w:color w:val="000000"/>
          <w:kern w:val="0"/>
          <w:sz w:val="32"/>
          <w:szCs w:val="32"/>
          <w:highlight w:val="none"/>
          <w:lang w:val="en-US" w:eastAsia="zh-CN"/>
        </w:rPr>
        <w:t>一是压实责任。</w:t>
      </w:r>
      <w:r>
        <w:rPr>
          <w:rFonts w:hint="eastAsia" w:ascii="仿宋_GB2312" w:hAnsi="宋体" w:eastAsia="仿宋_GB2312" w:cs="宋体"/>
          <w:kern w:val="0"/>
          <w:sz w:val="32"/>
          <w:szCs w:val="32"/>
        </w:rPr>
        <w:t>围绕疫情研判</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新冠病毒疫苗接种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流调溯源</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样本采集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密接次密排查追踪</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集中隔离点指导</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消毒指导</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健康教育宣传</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疫情防控指导</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资料信息收集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后勤保障十一个方面成立了十一个工作组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明确每个工作组职责</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将工作要求责任到组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责任到人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全方位确保疫情防控工作的有序开展</w:t>
      </w:r>
      <w:r>
        <w:rPr>
          <w:rFonts w:hint="eastAsia" w:ascii="仿宋_GB2312" w:hAnsi="宋体" w:eastAsia="仿宋_GB2312" w:cs="宋体"/>
          <w:kern w:val="0"/>
          <w:sz w:val="32"/>
          <w:szCs w:val="32"/>
          <w:lang w:eastAsia="zh-CN"/>
        </w:rPr>
        <w:t>。</w:t>
      </w:r>
      <w:r>
        <w:rPr>
          <w:rFonts w:hint="eastAsia" w:eastAsia="方正仿宋简体"/>
          <w:b/>
          <w:bCs w:val="0"/>
          <w:color w:val="000000"/>
          <w:kern w:val="0"/>
          <w:sz w:val="32"/>
          <w:szCs w:val="32"/>
          <w:highlight w:val="none"/>
          <w:lang w:val="en-US" w:eastAsia="zh-CN"/>
        </w:rPr>
        <w:t>二是筑牢免疫屏障。</w:t>
      </w:r>
      <w:r>
        <w:rPr>
          <w:rFonts w:hint="eastAsia" w:eastAsia="方正仿宋简体"/>
          <w:bCs/>
          <w:color w:val="000000"/>
          <w:kern w:val="0"/>
          <w:sz w:val="32"/>
          <w:szCs w:val="32"/>
          <w:highlight w:val="none"/>
          <w:lang w:val="en-US" w:eastAsia="zh-CN"/>
        </w:rPr>
        <w:t>配送</w:t>
      </w:r>
      <w:r>
        <w:rPr>
          <w:rFonts w:hint="eastAsia" w:ascii="Times New Roman" w:hAnsi="Times New Roman" w:eastAsia="方正仿宋简体" w:cs="Times New Roman"/>
          <w:color w:val="000000"/>
          <w:sz w:val="32"/>
          <w:szCs w:val="32"/>
          <w:highlight w:val="none"/>
          <w:lang w:val="en-US" w:eastAsia="zh-CN"/>
        </w:rPr>
        <w:t>37.76</w:t>
      </w:r>
      <w:r>
        <w:rPr>
          <w:rFonts w:hint="eastAsia" w:eastAsia="方正仿宋简体"/>
          <w:bCs/>
          <w:color w:val="000000"/>
          <w:kern w:val="0"/>
          <w:sz w:val="32"/>
          <w:szCs w:val="32"/>
          <w:highlight w:val="none"/>
          <w:lang w:val="en-US" w:eastAsia="zh-CN"/>
        </w:rPr>
        <w:t>万余剂次新冠疫苗，助力设置24个接种点，指导成立24接种队伍，</w:t>
      </w:r>
      <w:r>
        <w:rPr>
          <w:rFonts w:hint="eastAsia" w:ascii="Times New Roman" w:hAnsi="Times New Roman" w:eastAsia="方正仿宋简体" w:cs="Times New Roman"/>
          <w:color w:val="000000"/>
          <w:sz w:val="32"/>
          <w:szCs w:val="32"/>
          <w:highlight w:val="none"/>
          <w:lang w:val="en-US" w:eastAsia="zh-CN"/>
        </w:rPr>
        <w:t>疫苗接种累计205.45剂次</w:t>
      </w:r>
      <w:r>
        <w:rPr>
          <w:rFonts w:hint="eastAsia" w:eastAsia="方正仿宋简体" w:cs="Times New Roman"/>
          <w:color w:val="000000"/>
          <w:sz w:val="32"/>
          <w:szCs w:val="32"/>
          <w:highlight w:val="none"/>
          <w:lang w:val="en-US" w:eastAsia="zh-CN"/>
        </w:rPr>
        <w:t>，</w:t>
      </w:r>
      <w:r>
        <w:rPr>
          <w:rFonts w:hint="eastAsia" w:eastAsia="方正仿宋简体"/>
          <w:bCs/>
          <w:color w:val="000000"/>
          <w:kern w:val="0"/>
          <w:sz w:val="32"/>
          <w:szCs w:val="32"/>
          <w:highlight w:val="none"/>
          <w:lang w:val="en-US" w:eastAsia="zh-CN"/>
        </w:rPr>
        <w:t>100多个日夜数据核查分析，2000余次解惑答疑。</w:t>
      </w:r>
      <w:r>
        <w:rPr>
          <w:rFonts w:hint="eastAsia" w:eastAsia="方正仿宋简体"/>
          <w:b/>
          <w:bCs w:val="0"/>
          <w:color w:val="000000"/>
          <w:kern w:val="0"/>
          <w:sz w:val="32"/>
          <w:szCs w:val="32"/>
          <w:highlight w:val="none"/>
          <w:lang w:val="en-US" w:eastAsia="zh-CN"/>
        </w:rPr>
        <w:t>三是科学精准流调。</w:t>
      </w:r>
      <w:r>
        <w:rPr>
          <w:rFonts w:hint="eastAsia" w:ascii="仿宋_GB2312" w:eastAsia="仿宋_GB2312"/>
          <w:sz w:val="32"/>
          <w:szCs w:val="32"/>
        </w:rPr>
        <w:t>以公安牵头，工信和公卫参与的“三公”流调队伍，</w:t>
      </w:r>
      <w:r>
        <w:rPr>
          <w:rFonts w:hint="eastAsia" w:eastAsia="方正仿宋简体"/>
          <w:bCs/>
          <w:color w:val="000000"/>
          <w:kern w:val="0"/>
          <w:sz w:val="32"/>
          <w:szCs w:val="32"/>
          <w:highlight w:val="none"/>
          <w:lang w:val="en-US" w:eastAsia="zh-CN"/>
        </w:rPr>
        <w:t>坚持24小时快反备勤，</w:t>
      </w:r>
      <w:r>
        <w:rPr>
          <w:rFonts w:hint="default" w:ascii="Times New Roman" w:hAnsi="Times New Roman" w:eastAsia="方正仿宋简体" w:cs="Times New Roman"/>
          <w:sz w:val="32"/>
          <w:szCs w:val="32"/>
        </w:rPr>
        <w:t>实现流调溯源</w:t>
      </w:r>
      <w:r>
        <w:rPr>
          <w:rFonts w:hint="eastAsia" w:ascii="方正仿宋简体" w:hAnsi="方正仿宋简体" w:eastAsia="方正仿宋简体" w:cs="方正仿宋简体"/>
          <w:sz w:val="32"/>
          <w:szCs w:val="32"/>
        </w:rPr>
        <w:t>“快</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全”</w:t>
      </w:r>
      <w:r>
        <w:rPr>
          <w:rFonts w:hint="default" w:ascii="Times New Roman" w:hAnsi="Times New Roman" w:eastAsia="方正仿宋简体" w:cs="Times New Roman"/>
          <w:sz w:val="32"/>
          <w:szCs w:val="32"/>
        </w:rPr>
        <w:t>。</w:t>
      </w:r>
      <w:r>
        <w:rPr>
          <w:rFonts w:hint="eastAsia" w:eastAsia="方正仿宋简体"/>
          <w:bCs/>
          <w:color w:val="000000"/>
          <w:kern w:val="0"/>
          <w:sz w:val="32"/>
          <w:szCs w:val="32"/>
          <w:highlight w:val="none"/>
          <w:lang w:val="en-US" w:eastAsia="zh-CN"/>
        </w:rPr>
        <w:t>成功处置以“8.29”为代表的新冠相关应急处置事件，工作达到“2+4+24”要求。</w:t>
      </w:r>
      <w:r>
        <w:rPr>
          <w:rFonts w:hint="eastAsia" w:ascii="宋体" w:hAnsi="宋体" w:eastAsia="方正仿宋简体" w:cs="宋体"/>
          <w:b/>
          <w:bCs w:val="0"/>
          <w:color w:val="000000"/>
          <w:kern w:val="0"/>
          <w:sz w:val="32"/>
          <w:szCs w:val="32"/>
          <w:highlight w:val="none"/>
          <w:lang w:val="en-US" w:eastAsia="zh-CN" w:bidi="ar-SA"/>
        </w:rPr>
        <w:t>四是全面落实现场处置。</w:t>
      </w:r>
      <w:r>
        <w:rPr>
          <w:rFonts w:hint="eastAsia" w:ascii="方正仿宋简体" w:hAnsi="方正仿宋简体" w:eastAsia="方正仿宋简体" w:cs="方正仿宋简体"/>
          <w:b/>
          <w:bCs/>
          <w:kern w:val="0"/>
          <w:sz w:val="32"/>
          <w:szCs w:val="32"/>
          <w:lang w:val="en-US" w:eastAsia="zh-CN" w:bidi="ar-SA"/>
        </w:rPr>
        <w:t>一是</w:t>
      </w:r>
      <w:r>
        <w:rPr>
          <w:rFonts w:hint="eastAsia" w:ascii="方正仿宋简体" w:hAnsi="方正仿宋简体" w:eastAsia="方正仿宋简体" w:cs="方正仿宋简体"/>
          <w:kern w:val="0"/>
          <w:sz w:val="32"/>
          <w:szCs w:val="32"/>
          <w:lang w:val="en-US" w:eastAsia="zh-CN" w:bidi="ar-SA"/>
        </w:rPr>
        <w:t>第一时间组织消杀人员对阳性病例涉疫场所进行全覆盖无死角的终末消毒；</w:t>
      </w:r>
      <w:r>
        <w:rPr>
          <w:rFonts w:hint="eastAsia" w:ascii="方正仿宋简体" w:hAnsi="方正仿宋简体" w:eastAsia="方正仿宋简体" w:cs="方正仿宋简体"/>
          <w:b/>
          <w:bCs/>
          <w:kern w:val="0"/>
          <w:sz w:val="32"/>
          <w:szCs w:val="32"/>
          <w:lang w:val="en-US" w:eastAsia="zh-CN" w:bidi="ar-SA"/>
        </w:rPr>
        <w:t>二是</w:t>
      </w:r>
      <w:r>
        <w:rPr>
          <w:rFonts w:hint="eastAsia" w:ascii="仿宋_GB2312" w:hAnsi="宋体" w:eastAsia="仿宋_GB2312" w:cs="宋体"/>
          <w:color w:val="000000"/>
          <w:kern w:val="0"/>
          <w:sz w:val="32"/>
          <w:szCs w:val="32"/>
        </w:rPr>
        <w:t>深入辖区各医疗卫生机构、街道社区、集中隔离医学观察点及工地、企业、商场、超市、小区、市场、养老院和宗教等特殊场所和重点场所开展疫情防控现场点对点技术指导</w:t>
      </w:r>
      <w:r>
        <w:rPr>
          <w:rFonts w:hint="eastAsia" w:ascii="仿宋_GB2312" w:eastAsia="仿宋_GB2312" w:cs="宋体"/>
          <w:color w:val="000000"/>
          <w:kern w:val="0"/>
          <w:sz w:val="32"/>
          <w:szCs w:val="32"/>
          <w:lang w:val="en-US" w:eastAsia="zh-CN"/>
        </w:rPr>
        <w:t>。</w:t>
      </w:r>
      <w:r>
        <w:rPr>
          <w:rFonts w:hint="eastAsia" w:ascii="仿宋_GB2312" w:eastAsia="仿宋_GB2312" w:cs="宋体"/>
          <w:b/>
          <w:bCs/>
          <w:color w:val="000000"/>
          <w:kern w:val="0"/>
          <w:sz w:val="32"/>
          <w:szCs w:val="32"/>
          <w:lang w:val="en-US" w:eastAsia="zh-CN"/>
        </w:rPr>
        <w:t>五是落实多点监测。</w:t>
      </w:r>
      <w:r>
        <w:rPr>
          <w:rFonts w:hint="eastAsia" w:ascii="仿宋_GB2312" w:hAnsi="宋体" w:eastAsia="仿宋_GB2312" w:cs="宋体"/>
          <w:kern w:val="0"/>
          <w:sz w:val="32"/>
          <w:szCs w:val="32"/>
        </w:rPr>
        <w:t>按照《四川省新冠肺炎监测技术方案》文件要求，持续开展对重点人群及外环境监测工作，</w:t>
      </w:r>
      <w:r>
        <w:rPr>
          <w:rFonts w:hint="eastAsia" w:eastAsia="仿宋_GB2312"/>
          <w:sz w:val="32"/>
        </w:rPr>
        <w:t>全区</w:t>
      </w:r>
      <w:r>
        <w:rPr>
          <w:rFonts w:eastAsia="仿宋_GB2312"/>
          <w:sz w:val="32"/>
        </w:rPr>
        <w:t>共</w:t>
      </w:r>
      <w:r>
        <w:rPr>
          <w:rFonts w:hint="default" w:ascii="Times New Roman" w:hAnsi="Times New Roman" w:eastAsia="方正仿宋简体" w:cs="Times New Roman"/>
          <w:sz w:val="32"/>
        </w:rPr>
        <w:t>计检测大中专院校、中学、小学、幼儿园等教育机构教师和学生274</w:t>
      </w:r>
      <w:r>
        <w:rPr>
          <w:rFonts w:hint="default"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3245</w:t>
      </w:r>
      <w:r>
        <w:rPr>
          <w:rFonts w:hint="default" w:ascii="Times New Roman" w:hAnsi="Times New Roman" w:eastAsia="方正仿宋简体" w:cs="Times New Roman"/>
          <w:sz w:val="32"/>
          <w:lang w:val="en-US" w:eastAsia="zh-CN"/>
        </w:rPr>
        <w:t>万</w:t>
      </w:r>
      <w:r>
        <w:rPr>
          <w:rFonts w:hint="default" w:ascii="Times New Roman" w:hAnsi="Times New Roman" w:eastAsia="方正仿宋简体" w:cs="Times New Roman"/>
          <w:sz w:val="32"/>
        </w:rPr>
        <w:t>人，学校环境</w:t>
      </w:r>
      <w:r>
        <w:rPr>
          <w:rFonts w:hint="default" w:ascii="Times New Roman" w:hAnsi="Times New Roman" w:eastAsia="方正仿宋简体" w:cs="Times New Roman"/>
          <w:sz w:val="32"/>
          <w:lang w:val="en-US" w:eastAsia="zh-CN"/>
        </w:rPr>
        <w:t>0.</w:t>
      </w:r>
      <w:r>
        <w:rPr>
          <w:rFonts w:hint="default" w:ascii="Times New Roman" w:hAnsi="Times New Roman" w:eastAsia="方正仿宋简体" w:cs="Times New Roman"/>
          <w:sz w:val="32"/>
        </w:rPr>
        <w:t>9</w:t>
      </w:r>
      <w:r>
        <w:rPr>
          <w:rFonts w:hint="default" w:ascii="Times New Roman" w:hAnsi="Times New Roman" w:eastAsia="方正仿宋简体" w:cs="Times New Roman"/>
          <w:sz w:val="32"/>
          <w:lang w:val="en-US" w:eastAsia="zh-CN"/>
        </w:rPr>
        <w:t>7万</w:t>
      </w:r>
      <w:r>
        <w:rPr>
          <w:rFonts w:hint="default" w:ascii="Times New Roman" w:hAnsi="Times New Roman" w:eastAsia="方正仿宋简体" w:cs="Times New Roman"/>
          <w:sz w:val="32"/>
        </w:rPr>
        <w:t>份；养老机构5</w:t>
      </w:r>
      <w:r>
        <w:rPr>
          <w:rFonts w:hint="default"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71</w:t>
      </w:r>
      <w:r>
        <w:rPr>
          <w:rFonts w:hint="default" w:ascii="Times New Roman" w:hAnsi="Times New Roman" w:eastAsia="方正仿宋简体" w:cs="Times New Roman"/>
          <w:sz w:val="32"/>
          <w:lang w:val="en-US" w:eastAsia="zh-CN"/>
        </w:rPr>
        <w:t>万</w:t>
      </w:r>
      <w:r>
        <w:rPr>
          <w:rFonts w:hint="default" w:ascii="Times New Roman" w:hAnsi="Times New Roman" w:eastAsia="方正仿宋简体" w:cs="Times New Roman"/>
          <w:sz w:val="32"/>
        </w:rPr>
        <w:t>人，监管场所被监管人员及工作人员2</w:t>
      </w:r>
      <w:r>
        <w:rPr>
          <w:rFonts w:hint="default"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97</w:t>
      </w:r>
      <w:r>
        <w:rPr>
          <w:rFonts w:hint="default" w:ascii="Times New Roman" w:hAnsi="Times New Roman" w:eastAsia="方正仿宋简体" w:cs="Times New Roman"/>
          <w:sz w:val="32"/>
          <w:lang w:val="en-US" w:eastAsia="zh-CN"/>
        </w:rPr>
        <w:t>万</w:t>
      </w:r>
      <w:r>
        <w:rPr>
          <w:rFonts w:hint="default" w:ascii="Times New Roman" w:hAnsi="Times New Roman" w:eastAsia="方正仿宋简体" w:cs="Times New Roman"/>
          <w:sz w:val="32"/>
        </w:rPr>
        <w:t>人次，外卖、邮政、快递等服务业从业人员</w:t>
      </w:r>
      <w:r>
        <w:rPr>
          <w:rFonts w:hint="default" w:ascii="Times New Roman" w:hAnsi="Times New Roman" w:eastAsia="方正仿宋简体" w:cs="Times New Roman"/>
          <w:sz w:val="32"/>
          <w:lang w:val="en-US" w:eastAsia="zh-CN"/>
        </w:rPr>
        <w:t>0.0</w:t>
      </w:r>
      <w:r>
        <w:rPr>
          <w:rFonts w:hint="default" w:ascii="Times New Roman" w:hAnsi="Times New Roman" w:eastAsia="方正仿宋简体" w:cs="Times New Roman"/>
          <w:sz w:val="32"/>
        </w:rPr>
        <w:t>22</w:t>
      </w:r>
      <w:r>
        <w:rPr>
          <w:rFonts w:hint="default" w:ascii="Times New Roman" w:hAnsi="Times New Roman" w:eastAsia="方正仿宋简体" w:cs="Times New Roman"/>
          <w:sz w:val="32"/>
          <w:lang w:val="en-US" w:eastAsia="zh-CN"/>
        </w:rPr>
        <w:t>万</w:t>
      </w:r>
      <w:r>
        <w:rPr>
          <w:rFonts w:hint="default" w:ascii="Times New Roman" w:hAnsi="Times New Roman" w:eastAsia="方正仿宋简体" w:cs="Times New Roman"/>
          <w:sz w:val="32"/>
        </w:rPr>
        <w:t>人次，国内交通运输行业人员2</w:t>
      </w:r>
      <w:r>
        <w:rPr>
          <w:rFonts w:hint="default"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36</w:t>
      </w:r>
      <w:r>
        <w:rPr>
          <w:rFonts w:hint="default" w:ascii="Times New Roman" w:hAnsi="Times New Roman" w:eastAsia="方正仿宋简体" w:cs="Times New Roman"/>
          <w:sz w:val="32"/>
          <w:lang w:val="en-US" w:eastAsia="zh-CN"/>
        </w:rPr>
        <w:t>万</w:t>
      </w:r>
      <w:r>
        <w:rPr>
          <w:rFonts w:hint="default" w:ascii="Times New Roman" w:hAnsi="Times New Roman" w:eastAsia="方正仿宋简体" w:cs="Times New Roman"/>
          <w:sz w:val="32"/>
        </w:rPr>
        <w:t>人次，隔离点工作人员2</w:t>
      </w:r>
      <w:r>
        <w:rPr>
          <w:rFonts w:hint="default"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23</w:t>
      </w:r>
      <w:r>
        <w:rPr>
          <w:rFonts w:hint="default" w:ascii="Times New Roman" w:hAnsi="Times New Roman" w:eastAsia="方正仿宋简体" w:cs="Times New Roman"/>
          <w:sz w:val="32"/>
          <w:lang w:val="en-US" w:eastAsia="zh-CN"/>
        </w:rPr>
        <w:t>万</w:t>
      </w:r>
      <w:r>
        <w:rPr>
          <w:rFonts w:hint="default" w:ascii="Times New Roman" w:hAnsi="Times New Roman" w:eastAsia="方正仿宋简体" w:cs="Times New Roman"/>
          <w:sz w:val="32"/>
        </w:rPr>
        <w:t>人次，医疗机构工作人员25</w:t>
      </w:r>
      <w:r>
        <w:rPr>
          <w:rFonts w:hint="default"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74</w:t>
      </w:r>
      <w:r>
        <w:rPr>
          <w:rFonts w:hint="default" w:ascii="Times New Roman" w:hAnsi="Times New Roman" w:eastAsia="方正仿宋简体" w:cs="Times New Roman"/>
          <w:sz w:val="32"/>
          <w:lang w:val="en-US" w:eastAsia="zh-CN"/>
        </w:rPr>
        <w:t>万</w:t>
      </w:r>
      <w:r>
        <w:rPr>
          <w:rFonts w:hint="default" w:ascii="Times New Roman" w:hAnsi="Times New Roman" w:eastAsia="方正仿宋简体" w:cs="Times New Roman"/>
          <w:sz w:val="32"/>
        </w:rPr>
        <w:t>人次</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大型进口冷冻物品加工处理场所污水25份，隔离场所外环境监测5</w:t>
      </w:r>
      <w:r>
        <w:rPr>
          <w:rFonts w:hint="default"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2</w:t>
      </w:r>
      <w:r>
        <w:rPr>
          <w:rFonts w:hint="default" w:ascii="Times New Roman" w:hAnsi="Times New Roman" w:eastAsia="方正仿宋简体" w:cs="Times New Roman"/>
          <w:sz w:val="32"/>
          <w:lang w:val="en-US" w:eastAsia="zh-CN"/>
        </w:rPr>
        <w:t>6</w:t>
      </w:r>
      <w:r>
        <w:rPr>
          <w:rFonts w:hint="default" w:ascii="Times New Roman" w:hAnsi="Times New Roman" w:eastAsia="方正仿宋简体" w:cs="Times New Roman"/>
          <w:sz w:val="32"/>
        </w:rPr>
        <w:t>份；采集农贸市场和商超外环境样品66份，从业人员</w:t>
      </w:r>
      <w:r>
        <w:rPr>
          <w:rFonts w:hint="default" w:ascii="Times New Roman" w:hAnsi="Times New Roman" w:eastAsia="方正仿宋简体" w:cs="Times New Roman"/>
          <w:sz w:val="32"/>
          <w:lang w:val="en-US" w:eastAsia="zh-CN"/>
        </w:rPr>
        <w:t>0.</w:t>
      </w:r>
      <w:r>
        <w:rPr>
          <w:rFonts w:hint="default" w:ascii="Times New Roman" w:hAnsi="Times New Roman" w:eastAsia="方正仿宋简体" w:cs="Times New Roman"/>
          <w:sz w:val="32"/>
        </w:rPr>
        <w:t>5</w:t>
      </w:r>
      <w:r>
        <w:rPr>
          <w:rFonts w:hint="default" w:ascii="Times New Roman" w:hAnsi="Times New Roman" w:eastAsia="方正仿宋简体" w:cs="Times New Roman"/>
          <w:sz w:val="32"/>
          <w:lang w:val="en-US" w:eastAsia="zh-CN"/>
        </w:rPr>
        <w:t>7万</w:t>
      </w:r>
      <w:r>
        <w:rPr>
          <w:rFonts w:hint="default" w:ascii="Times New Roman" w:hAnsi="Times New Roman" w:eastAsia="方正仿宋简体" w:cs="Times New Roman"/>
          <w:sz w:val="32"/>
        </w:rPr>
        <w:t>人次；冷链食品集中监管仓进口冷链食品及外环境样品39份，工作人员</w:t>
      </w:r>
      <w:r>
        <w:rPr>
          <w:rFonts w:hint="default" w:ascii="Times New Roman" w:hAnsi="Times New Roman" w:eastAsia="方正仿宋简体" w:cs="Times New Roman"/>
          <w:sz w:val="32"/>
          <w:lang w:val="en-US" w:eastAsia="zh-CN"/>
        </w:rPr>
        <w:t>0.</w:t>
      </w:r>
      <w:r>
        <w:rPr>
          <w:rFonts w:hint="default" w:ascii="Times New Roman" w:hAnsi="Times New Roman" w:eastAsia="方正仿宋简体" w:cs="Times New Roman"/>
          <w:sz w:val="32"/>
        </w:rPr>
        <w:t>15</w:t>
      </w:r>
      <w:r>
        <w:rPr>
          <w:rFonts w:hint="default" w:ascii="Times New Roman" w:hAnsi="Times New Roman" w:eastAsia="方正仿宋简体" w:cs="Times New Roman"/>
          <w:sz w:val="32"/>
          <w:lang w:val="en-US" w:eastAsia="zh-CN"/>
        </w:rPr>
        <w:t>万</w:t>
      </w:r>
      <w:r>
        <w:rPr>
          <w:rFonts w:hint="default" w:ascii="Times New Roman" w:hAnsi="Times New Roman" w:eastAsia="方正仿宋简体" w:cs="Times New Roman"/>
          <w:sz w:val="32"/>
        </w:rPr>
        <w:t>人次。</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楷体简体" w:cs="Times New Roman"/>
          <w:b/>
          <w:bCs/>
          <w:sz w:val="32"/>
          <w:szCs w:val="32"/>
          <w:lang w:val="en-US" w:eastAsia="zh-CN"/>
        </w:rPr>
      </w:pPr>
      <w:r>
        <w:rPr>
          <w:rFonts w:hint="eastAsia" w:ascii="Times New Roman" w:hAnsi="Times New Roman" w:eastAsia="方正楷体简体" w:cs="Times New Roman"/>
          <w:b/>
          <w:bCs/>
          <w:sz w:val="32"/>
          <w:szCs w:val="32"/>
          <w:lang w:val="en-US" w:eastAsia="zh-CN"/>
        </w:rPr>
        <w:t>3.</w:t>
      </w:r>
      <w:r>
        <w:rPr>
          <w:rFonts w:hint="default" w:ascii="Times New Roman" w:hAnsi="Times New Roman" w:eastAsia="方正楷体简体" w:cs="Times New Roman"/>
          <w:b/>
          <w:bCs/>
          <w:sz w:val="32"/>
          <w:szCs w:val="32"/>
          <w:lang w:val="en-US" w:eastAsia="zh-CN"/>
        </w:rPr>
        <w:t>以充分履职为己任，圆满完成各项业务工作</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sz w:val="32"/>
          <w:szCs w:val="32"/>
          <w:lang w:eastAsia="zh-CN"/>
        </w:rPr>
      </w:pPr>
      <w:r>
        <w:rPr>
          <w:rFonts w:hint="default" w:ascii="Times New Roman" w:hAnsi="Times New Roman" w:eastAsia="方正仿宋简体" w:cs="Times New Roman"/>
          <w:b/>
          <w:bCs/>
          <w:sz w:val="32"/>
          <w:szCs w:val="32"/>
          <w:lang w:val="en-US" w:eastAsia="zh-CN"/>
        </w:rPr>
        <w:t>（1）</w:t>
      </w:r>
      <w:r>
        <w:rPr>
          <w:rFonts w:hint="default" w:ascii="Times New Roman" w:hAnsi="Times New Roman" w:eastAsia="方正仿宋简体" w:cs="Times New Roman"/>
          <w:b/>
          <w:bCs/>
          <w:sz w:val="32"/>
          <w:szCs w:val="32"/>
        </w:rPr>
        <w:t>重大传染病防控</w:t>
      </w:r>
      <w:r>
        <w:rPr>
          <w:rFonts w:hint="default" w:ascii="Times New Roman" w:hAnsi="Times New Roman" w:eastAsia="方正仿宋简体" w:cs="Times New Roman"/>
          <w:b/>
          <w:bCs/>
          <w:sz w:val="32"/>
          <w:szCs w:val="32"/>
          <w:lang w:eastAsia="zh-CN"/>
        </w:rPr>
        <w:t>。</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rPr>
        <w:t>艾滋病防治。</w:t>
      </w:r>
      <w:r>
        <w:rPr>
          <w:rFonts w:hint="default" w:ascii="Times New Roman" w:hAnsi="Times New Roman" w:eastAsia="方正楷体简体" w:cs="Times New Roman"/>
          <w:b/>
          <w:bCs w:val="0"/>
          <w:sz w:val="32"/>
          <w:szCs w:val="32"/>
          <w:lang w:val="en-US" w:eastAsia="zh-CN"/>
        </w:rPr>
        <w:t>一是</w:t>
      </w:r>
      <w:r>
        <w:rPr>
          <w:rFonts w:hint="default" w:ascii="Times New Roman" w:hAnsi="Times New Roman" w:eastAsia="方正楷体简体" w:cs="Times New Roman"/>
          <w:b/>
          <w:sz w:val="32"/>
          <w:szCs w:val="32"/>
          <w:lang w:val="zh-CN"/>
        </w:rPr>
        <w:t>疫情形势平稳。</w:t>
      </w:r>
      <w:r>
        <w:rPr>
          <w:rFonts w:hint="default" w:ascii="Times New Roman" w:hAnsi="Times New Roman" w:eastAsia="方正仿宋简体" w:cs="Times New Roman"/>
          <w:kern w:val="0"/>
          <w:sz w:val="32"/>
          <w:szCs w:val="32"/>
        </w:rPr>
        <w:t>202</w:t>
      </w:r>
      <w:r>
        <w:rPr>
          <w:rFonts w:hint="default" w:ascii="Times New Roman" w:hAnsi="Times New Roman" w:eastAsia="方正仿宋简体" w:cs="Times New Roman"/>
          <w:kern w:val="0"/>
          <w:sz w:val="32"/>
          <w:szCs w:val="32"/>
          <w:lang w:val="en-US" w:eastAsia="zh-CN"/>
        </w:rPr>
        <w:t>2</w:t>
      </w:r>
      <w:r>
        <w:rPr>
          <w:rFonts w:hint="default" w:ascii="Times New Roman" w:hAnsi="Times New Roman" w:eastAsia="方正仿宋简体" w:cs="Times New Roman"/>
          <w:kern w:val="0"/>
          <w:sz w:val="32"/>
          <w:szCs w:val="32"/>
        </w:rPr>
        <w:t>年</w:t>
      </w:r>
      <w:r>
        <w:rPr>
          <w:rFonts w:hint="eastAsia"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我区新报告艾滋病感染者及病人</w:t>
      </w:r>
      <w:r>
        <w:rPr>
          <w:rFonts w:hint="default" w:ascii="Times New Roman" w:hAnsi="Times New Roman" w:eastAsia="方正仿宋简体" w:cs="Times New Roman"/>
          <w:color w:val="auto"/>
          <w:kern w:val="2"/>
          <w:sz w:val="32"/>
          <w:szCs w:val="32"/>
          <w:lang w:val="en-US" w:eastAsia="zh-CN" w:bidi="ar-SA"/>
        </w:rPr>
        <w:t>比去年同期下降19.50%</w:t>
      </w:r>
      <w:r>
        <w:rPr>
          <w:rFonts w:hint="default" w:ascii="Times New Roman" w:hAnsi="Times New Roman" w:eastAsia="方正仿宋简体" w:cs="Times New Roman"/>
          <w:color w:val="auto"/>
          <w:kern w:val="0"/>
          <w:sz w:val="32"/>
          <w:szCs w:val="32"/>
        </w:rPr>
        <w:t>；</w:t>
      </w:r>
      <w:r>
        <w:rPr>
          <w:rFonts w:hint="default" w:ascii="Times New Roman" w:hAnsi="Times New Roman" w:eastAsia="方正仿宋简体" w:cs="Times New Roman"/>
          <w:color w:val="auto"/>
          <w:sz w:val="32"/>
          <w:szCs w:val="32"/>
        </w:rPr>
        <w:t>连续</w:t>
      </w:r>
      <w:r>
        <w:rPr>
          <w:rFonts w:hint="default" w:ascii="Times New Roman" w:hAnsi="Times New Roman" w:eastAsia="方正仿宋简体" w:cs="Times New Roman"/>
          <w:color w:val="auto"/>
          <w:sz w:val="32"/>
          <w:szCs w:val="32"/>
          <w:lang w:val="en-US" w:eastAsia="zh-CN"/>
        </w:rPr>
        <w:t>五</w:t>
      </w:r>
      <w:r>
        <w:rPr>
          <w:rFonts w:hint="default" w:ascii="Times New Roman" w:hAnsi="Times New Roman" w:eastAsia="方正仿宋简体" w:cs="Times New Roman"/>
          <w:color w:val="auto"/>
          <w:sz w:val="32"/>
          <w:szCs w:val="32"/>
        </w:rPr>
        <w:t>年无</w:t>
      </w:r>
      <w:r>
        <w:rPr>
          <w:rFonts w:hint="default" w:ascii="Times New Roman" w:hAnsi="Times New Roman" w:eastAsia="方正仿宋简体" w:cs="Times New Roman"/>
          <w:sz w:val="32"/>
          <w:szCs w:val="32"/>
        </w:rPr>
        <w:t>母婴传播病例报告。</w:t>
      </w:r>
      <w:r>
        <w:rPr>
          <w:rFonts w:hint="default" w:ascii="Times New Roman" w:hAnsi="Times New Roman" w:eastAsia="方正楷体简体" w:cs="Times New Roman"/>
          <w:b/>
          <w:bCs w:val="0"/>
          <w:sz w:val="32"/>
          <w:szCs w:val="32"/>
          <w:lang w:val="en-US" w:eastAsia="zh-CN"/>
        </w:rPr>
        <w:t>二是强化“三线一网底”防治体系。</w:t>
      </w:r>
      <w:r>
        <w:rPr>
          <w:rFonts w:hint="default" w:ascii="Times New Roman" w:hAnsi="Times New Roman" w:eastAsia="方正仿宋简体" w:cs="Times New Roman"/>
          <w:bCs/>
          <w:sz w:val="32"/>
          <w:szCs w:val="32"/>
          <w:lang w:val="zh-CN" w:eastAsia="zh-CN"/>
        </w:rPr>
        <w:t>持续巩固“</w:t>
      </w:r>
      <w:r>
        <w:rPr>
          <w:rFonts w:hint="default" w:ascii="Times New Roman" w:hAnsi="Times New Roman" w:eastAsia="方正仿宋简体" w:cs="Times New Roman"/>
          <w:bCs/>
          <w:sz w:val="32"/>
          <w:szCs w:val="32"/>
        </w:rPr>
        <w:t>三线一网底</w:t>
      </w:r>
      <w:r>
        <w:rPr>
          <w:rFonts w:hint="default" w:ascii="Times New Roman" w:hAnsi="Times New Roman" w:eastAsia="方正仿宋简体" w:cs="Times New Roman"/>
          <w:bCs/>
          <w:sz w:val="32"/>
          <w:szCs w:val="32"/>
          <w:lang w:eastAsia="zh-CN"/>
        </w:rPr>
        <w:t>”</w:t>
      </w:r>
      <w:r>
        <w:rPr>
          <w:rFonts w:hint="default" w:ascii="Times New Roman" w:hAnsi="Times New Roman" w:eastAsia="方正仿宋简体" w:cs="Times New Roman"/>
          <w:bCs/>
          <w:sz w:val="32"/>
          <w:szCs w:val="32"/>
          <w:lang w:val="zh-CN" w:eastAsia="zh-CN"/>
        </w:rPr>
        <w:t>防治工作机制，</w:t>
      </w:r>
      <w:r>
        <w:rPr>
          <w:rFonts w:hint="default" w:ascii="Times New Roman" w:hAnsi="Times New Roman" w:eastAsia="方正仿宋简体" w:cs="Times New Roman"/>
          <w:bCs/>
          <w:sz w:val="32"/>
          <w:szCs w:val="32"/>
          <w:lang w:val="en-US" w:eastAsia="zh-CN"/>
        </w:rPr>
        <w:t>区疾控中心</w:t>
      </w:r>
      <w:r>
        <w:rPr>
          <w:rFonts w:hint="default" w:ascii="Times New Roman" w:hAnsi="Times New Roman" w:eastAsia="方正仿宋简体" w:cs="Times New Roman"/>
          <w:bCs/>
          <w:sz w:val="32"/>
          <w:szCs w:val="32"/>
          <w:lang w:val="zh-CN" w:eastAsia="zh-CN"/>
        </w:rPr>
        <w:t>每月定期</w:t>
      </w:r>
      <w:r>
        <w:rPr>
          <w:rFonts w:hint="default" w:ascii="Times New Roman" w:hAnsi="Times New Roman" w:eastAsia="方正仿宋简体" w:cs="Times New Roman"/>
          <w:bCs/>
          <w:sz w:val="32"/>
          <w:szCs w:val="32"/>
          <w:lang w:val="en-US" w:eastAsia="zh-CN"/>
        </w:rPr>
        <w:t>组织妇幼保健院和区人民医院</w:t>
      </w:r>
      <w:r>
        <w:rPr>
          <w:rFonts w:hint="default" w:ascii="Times New Roman" w:hAnsi="Times New Roman" w:eastAsia="方正仿宋简体" w:cs="Times New Roman"/>
          <w:bCs/>
          <w:sz w:val="32"/>
          <w:szCs w:val="32"/>
          <w:lang w:val="zh-CN" w:eastAsia="zh-CN"/>
        </w:rPr>
        <w:t>召开</w:t>
      </w:r>
      <w:r>
        <w:rPr>
          <w:rFonts w:hint="default" w:ascii="Times New Roman" w:hAnsi="Times New Roman" w:eastAsia="方正仿宋简体" w:cs="Times New Roman"/>
          <w:bCs/>
          <w:sz w:val="32"/>
          <w:szCs w:val="32"/>
          <w:lang w:val="en-US" w:eastAsia="zh-CN"/>
        </w:rPr>
        <w:t>三线工作</w:t>
      </w:r>
      <w:r>
        <w:rPr>
          <w:rFonts w:hint="default" w:ascii="Times New Roman" w:hAnsi="Times New Roman" w:eastAsia="方正仿宋简体" w:cs="Times New Roman"/>
          <w:bCs/>
          <w:sz w:val="32"/>
          <w:szCs w:val="32"/>
          <w:lang w:val="zh-CN" w:eastAsia="zh-CN"/>
        </w:rPr>
        <w:t>例会，</w:t>
      </w:r>
      <w:r>
        <w:rPr>
          <w:rFonts w:hint="default" w:ascii="Times New Roman" w:hAnsi="Times New Roman" w:eastAsia="方正仿宋简体" w:cs="Times New Roman"/>
          <w:bCs/>
          <w:sz w:val="32"/>
          <w:szCs w:val="32"/>
          <w:lang w:val="en-US" w:eastAsia="zh-CN"/>
        </w:rPr>
        <w:t>强化</w:t>
      </w:r>
      <w:r>
        <w:rPr>
          <w:rFonts w:hint="default" w:ascii="Times New Roman" w:hAnsi="Times New Roman" w:eastAsia="方正仿宋简体" w:cs="Times New Roman"/>
          <w:bCs/>
          <w:sz w:val="32"/>
          <w:szCs w:val="32"/>
          <w:lang w:val="zh-TW" w:eastAsia="zh-TW"/>
        </w:rPr>
        <w:t>信息互通共享，</w:t>
      </w:r>
      <w:r>
        <w:rPr>
          <w:rFonts w:hint="default" w:ascii="Times New Roman" w:hAnsi="Times New Roman" w:eastAsia="方正仿宋简体" w:cs="Times New Roman"/>
          <w:bCs/>
          <w:sz w:val="32"/>
          <w:szCs w:val="32"/>
          <w:lang w:val="zh-CN" w:eastAsia="zh-CN"/>
        </w:rPr>
        <w:t>统筹协调抓细各项工作，</w:t>
      </w:r>
      <w:r>
        <w:rPr>
          <w:rFonts w:hint="default" w:ascii="Times New Roman" w:hAnsi="Times New Roman" w:eastAsia="方正仿宋简体" w:cs="Times New Roman"/>
          <w:bCs/>
          <w:sz w:val="32"/>
          <w:szCs w:val="32"/>
          <w:lang w:val="zh-TW" w:eastAsia="zh-TW"/>
        </w:rPr>
        <w:t>加强调研指导</w:t>
      </w:r>
      <w:r>
        <w:rPr>
          <w:rFonts w:hint="default" w:ascii="Times New Roman" w:hAnsi="Times New Roman" w:eastAsia="方正仿宋简体" w:cs="Times New Roman"/>
          <w:bCs/>
          <w:sz w:val="32"/>
          <w:szCs w:val="32"/>
          <w:lang w:val="zh-TW" w:eastAsia="zh-CN"/>
        </w:rPr>
        <w:t>、</w:t>
      </w:r>
      <w:r>
        <w:rPr>
          <w:rFonts w:hint="default" w:ascii="Times New Roman" w:hAnsi="Times New Roman" w:eastAsia="方正仿宋简体" w:cs="Times New Roman"/>
          <w:bCs/>
          <w:sz w:val="32"/>
          <w:szCs w:val="32"/>
          <w:lang w:val="zh-TW" w:eastAsia="zh-TW"/>
        </w:rPr>
        <w:t>质量核查</w:t>
      </w:r>
      <w:r>
        <w:rPr>
          <w:rFonts w:hint="default" w:ascii="Times New Roman" w:hAnsi="Times New Roman" w:eastAsia="方正仿宋简体" w:cs="Times New Roman"/>
          <w:bCs/>
          <w:sz w:val="32"/>
          <w:szCs w:val="32"/>
          <w:lang w:val="en-US" w:eastAsia="zh-CN"/>
        </w:rPr>
        <w:t>和业务</w:t>
      </w:r>
      <w:r>
        <w:rPr>
          <w:rFonts w:hint="default" w:ascii="Times New Roman" w:hAnsi="Times New Roman" w:eastAsia="方正仿宋简体" w:cs="Times New Roman"/>
          <w:bCs/>
          <w:sz w:val="32"/>
          <w:szCs w:val="32"/>
          <w:lang w:val="zh-TW" w:eastAsia="zh-TW"/>
        </w:rPr>
        <w:t>培训，及时研究解决工作中存在的问题</w:t>
      </w:r>
      <w:r>
        <w:rPr>
          <w:rFonts w:hint="default" w:ascii="Times New Roman" w:hAnsi="Times New Roman" w:eastAsia="方正仿宋简体" w:cs="Times New Roman"/>
          <w:bCs/>
          <w:sz w:val="32"/>
          <w:szCs w:val="32"/>
          <w:lang w:val="zh-TW" w:eastAsia="zh-CN"/>
        </w:rPr>
        <w:t>。</w:t>
      </w:r>
      <w:r>
        <w:rPr>
          <w:rFonts w:hint="default" w:ascii="Times New Roman" w:hAnsi="Times New Roman" w:eastAsia="方正仿宋简体" w:cs="Times New Roman"/>
          <w:kern w:val="0"/>
          <w:sz w:val="32"/>
          <w:szCs w:val="32"/>
          <w:lang w:val="en-US" w:eastAsia="zh-CN"/>
        </w:rPr>
        <w:t>充分发挥了疾控、医疗、妇幼“三条专业防治线”作用，形成了“三线一网底”横向联系、纵向指导的工作体系</w:t>
      </w:r>
      <w:r>
        <w:rPr>
          <w:rFonts w:hint="default" w:ascii="Times New Roman" w:hAnsi="Times New Roman" w:eastAsia="方正仿宋简体" w:cs="Times New Roman"/>
          <w:bCs/>
          <w:sz w:val="32"/>
          <w:szCs w:val="32"/>
          <w:lang w:val="zh-CN" w:eastAsia="zh-CN"/>
        </w:rPr>
        <w:t>，确保了全区艾滋病防治工作科学、规范</w:t>
      </w:r>
      <w:r>
        <w:rPr>
          <w:rFonts w:hint="default" w:ascii="Times New Roman" w:hAnsi="Times New Roman" w:eastAsia="方正仿宋简体" w:cs="Times New Roman"/>
          <w:bCs/>
          <w:sz w:val="32"/>
          <w:szCs w:val="32"/>
          <w:lang w:val="en-US" w:eastAsia="zh-CN"/>
        </w:rPr>
        <w:t>有序</w:t>
      </w:r>
      <w:r>
        <w:rPr>
          <w:rFonts w:hint="default" w:ascii="Times New Roman" w:hAnsi="Times New Roman" w:eastAsia="方正仿宋简体" w:cs="Times New Roman"/>
          <w:bCs/>
          <w:sz w:val="32"/>
          <w:szCs w:val="32"/>
          <w:lang w:val="zh-CN" w:eastAsia="zh-CN"/>
        </w:rPr>
        <w:t>开展。</w:t>
      </w:r>
      <w:r>
        <w:rPr>
          <w:rFonts w:hint="default" w:ascii="Times New Roman" w:hAnsi="Times New Roman" w:eastAsia="方正楷体简体" w:cs="Times New Roman"/>
          <w:b/>
          <w:sz w:val="32"/>
          <w:szCs w:val="32"/>
          <w:lang w:val="en-US" w:eastAsia="zh-CN"/>
        </w:rPr>
        <w:t>三是</w:t>
      </w:r>
      <w:r>
        <w:rPr>
          <w:rFonts w:hint="default" w:ascii="Times New Roman" w:hAnsi="Times New Roman" w:eastAsia="方正楷体简体" w:cs="Times New Roman"/>
          <w:b/>
          <w:sz w:val="32"/>
          <w:szCs w:val="32"/>
          <w:lang w:val="zh-CN"/>
        </w:rPr>
        <w:t>防治工作有序推进，各项任务指标稳步提升。</w:t>
      </w:r>
      <w:r>
        <w:rPr>
          <w:rFonts w:hint="default" w:ascii="Times New Roman" w:hAnsi="Times New Roman" w:eastAsia="方正仿宋简体" w:cs="Times New Roman"/>
          <w:sz w:val="32"/>
          <w:szCs w:val="32"/>
          <w:lang w:val="zh-CN"/>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zh-CN"/>
        </w:rPr>
        <w:t>年，全区</w:t>
      </w:r>
      <w:r>
        <w:rPr>
          <w:rFonts w:hint="default" w:ascii="Times New Roman" w:hAnsi="Times New Roman" w:eastAsia="方正仿宋简体" w:cs="Times New Roman"/>
          <w:bCs/>
          <w:color w:val="auto"/>
          <w:sz w:val="32"/>
          <w:szCs w:val="32"/>
        </w:rPr>
        <w:t>常住人口艾滋病检测覆盖率</w:t>
      </w:r>
      <w:r>
        <w:rPr>
          <w:rFonts w:hint="default" w:ascii="Times New Roman" w:hAnsi="Times New Roman" w:eastAsia="方正仿宋简体" w:cs="Times New Roman"/>
          <w:bCs/>
          <w:color w:val="auto"/>
          <w:sz w:val="32"/>
          <w:szCs w:val="32"/>
          <w:lang w:val="en-US" w:eastAsia="zh-CN"/>
        </w:rPr>
        <w:t>达</w:t>
      </w:r>
      <w:r>
        <w:rPr>
          <w:rFonts w:hint="default" w:ascii="Times New Roman" w:hAnsi="Times New Roman" w:eastAsia="方正仿宋简体" w:cs="Times New Roman"/>
          <w:sz w:val="32"/>
          <w:szCs w:val="32"/>
          <w:lang w:val="en-US" w:eastAsia="zh-CN"/>
        </w:rPr>
        <w:t>45.45</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en-US" w:eastAsia="zh-CN"/>
        </w:rPr>
        <w:t>比去年同期提高0.35%，</w:t>
      </w:r>
      <w:r>
        <w:rPr>
          <w:rFonts w:hint="default" w:ascii="Times New Roman" w:hAnsi="Times New Roman" w:eastAsia="方正仿宋简体" w:cs="Times New Roman"/>
          <w:sz w:val="32"/>
          <w:szCs w:val="32"/>
        </w:rPr>
        <w:t>艾滋病病毒感染者/病人随访检测、配偶/固定性伴HIV抗体检测</w:t>
      </w:r>
      <w:r>
        <w:rPr>
          <w:rFonts w:hint="default" w:ascii="Times New Roman" w:hAnsi="Times New Roman" w:eastAsia="方正仿宋简体" w:cs="Times New Roman"/>
          <w:sz w:val="32"/>
          <w:szCs w:val="32"/>
          <w:lang w:val="en-US" w:eastAsia="zh-CN"/>
        </w:rPr>
        <w:t>及</w:t>
      </w:r>
      <w:r>
        <w:rPr>
          <w:rFonts w:hint="default" w:ascii="Times New Roman" w:hAnsi="Times New Roman" w:eastAsia="方正仿宋简体" w:cs="Times New Roman"/>
          <w:sz w:val="32"/>
          <w:szCs w:val="32"/>
        </w:rPr>
        <w:t>结核病筛查比例分别达</w:t>
      </w:r>
      <w:r>
        <w:rPr>
          <w:rFonts w:hint="default" w:ascii="Times New Roman" w:hAnsi="Times New Roman" w:eastAsia="方正仿宋简体" w:cs="Times New Roman"/>
          <w:sz w:val="32"/>
          <w:szCs w:val="32"/>
          <w:lang w:val="en-US" w:eastAsia="zh-CN"/>
        </w:rPr>
        <w:t>93.03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95.12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97.82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Cs/>
          <w:color w:val="auto"/>
          <w:sz w:val="32"/>
          <w:szCs w:val="32"/>
        </w:rPr>
        <w:t>较去年同期上升</w:t>
      </w:r>
      <w:r>
        <w:rPr>
          <w:rFonts w:hint="default" w:ascii="Times New Roman" w:hAnsi="Times New Roman" w:eastAsia="方正仿宋简体" w:cs="Times New Roman"/>
          <w:bCs/>
          <w:color w:val="auto"/>
          <w:sz w:val="32"/>
          <w:szCs w:val="32"/>
          <w:lang w:val="en-US" w:eastAsia="zh-CN"/>
        </w:rPr>
        <w:t>2.85</w:t>
      </w:r>
      <w:r>
        <w:rPr>
          <w:rFonts w:hint="default" w:ascii="Times New Roman" w:hAnsi="Times New Roman" w:eastAsia="方正仿宋简体" w:cs="Times New Roman"/>
          <w:bCs/>
          <w:color w:val="auto"/>
          <w:sz w:val="32"/>
          <w:szCs w:val="32"/>
        </w:rPr>
        <w:t>%</w:t>
      </w: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2.18%、0.42%。</w:t>
      </w:r>
      <w:r>
        <w:rPr>
          <w:rFonts w:hint="default" w:ascii="Times New Roman" w:hAnsi="Times New Roman" w:eastAsia="方正仿宋简体" w:cs="Times New Roman"/>
          <w:sz w:val="32"/>
          <w:szCs w:val="32"/>
        </w:rPr>
        <w:t>抗病毒治疗的比例达9</w:t>
      </w:r>
      <w:r>
        <w:rPr>
          <w:rFonts w:hint="default" w:ascii="Times New Roman" w:hAnsi="Times New Roman" w:eastAsia="方正仿宋简体" w:cs="Times New Roman"/>
          <w:sz w:val="32"/>
          <w:szCs w:val="32"/>
          <w:lang w:val="en-US" w:eastAsia="zh-CN"/>
        </w:rPr>
        <w:t>6.88</w:t>
      </w:r>
      <w:r>
        <w:rPr>
          <w:rFonts w:hint="default" w:ascii="Times New Roman" w:hAnsi="Times New Roman" w:eastAsia="方正仿宋简体" w:cs="Times New Roman"/>
          <w:sz w:val="32"/>
          <w:szCs w:val="32"/>
        </w:rPr>
        <w:t>%，接受抗病毒治疗一年以上的感染者和病人治疗成功率达</w:t>
      </w:r>
      <w:r>
        <w:rPr>
          <w:rFonts w:hint="default" w:ascii="Times New Roman" w:hAnsi="Times New Roman" w:eastAsia="方正仿宋简体" w:cs="Times New Roman"/>
          <w:sz w:val="32"/>
          <w:szCs w:val="32"/>
          <w:lang w:val="en-US" w:eastAsia="zh-CN"/>
        </w:rPr>
        <w:t>96.78</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育龄妇女治疗率达100%</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简体" w:cs="Times New Roman"/>
          <w:b/>
          <w:bCs/>
          <w:sz w:val="32"/>
          <w:szCs w:val="32"/>
        </w:rPr>
        <w:t>结核病防治。</w:t>
      </w:r>
      <w:r>
        <w:rPr>
          <w:rFonts w:hint="default" w:ascii="Times New Roman" w:hAnsi="Times New Roman" w:eastAsia="方正仿宋_GBK" w:cs="Times New Roman"/>
          <w:color w:val="000000"/>
          <w:spacing w:val="-5"/>
          <w:sz w:val="32"/>
          <w:szCs w:val="32"/>
        </w:rPr>
        <w:t>持续探索“三位一体”的结核病防治工作模式，</w:t>
      </w:r>
      <w:r>
        <w:rPr>
          <w:rFonts w:hint="default" w:ascii="Times New Roman" w:hAnsi="Times New Roman" w:eastAsia="方正仿宋_GBK" w:cs="Times New Roman"/>
          <w:color w:val="000000"/>
          <w:spacing w:val="-6"/>
          <w:sz w:val="32"/>
          <w:szCs w:val="32"/>
        </w:rPr>
        <w:t>通过强化结核病防治专业队伍建设，完善结核病三级防治网络</w:t>
      </w:r>
      <w:r>
        <w:rPr>
          <w:rFonts w:hint="default" w:ascii="Times New Roman" w:hAnsi="Times New Roman" w:eastAsia="方正仿宋_GBK" w:cs="Times New Roman"/>
          <w:color w:val="000000"/>
          <w:spacing w:val="-6"/>
          <w:sz w:val="32"/>
          <w:szCs w:val="32"/>
          <w:lang w:eastAsia="zh-CN"/>
        </w:rPr>
        <w:t>，</w:t>
      </w:r>
      <w:r>
        <w:rPr>
          <w:rFonts w:hint="default" w:ascii="Times New Roman" w:hAnsi="Times New Roman" w:eastAsia="方正仿宋_GBK" w:cs="Times New Roman"/>
          <w:color w:val="000000"/>
          <w:spacing w:val="-8"/>
          <w:sz w:val="32"/>
          <w:szCs w:val="32"/>
        </w:rPr>
        <w:t>抓好</w:t>
      </w:r>
      <w:r>
        <w:rPr>
          <w:rFonts w:hint="default" w:ascii="Times New Roman" w:hAnsi="Times New Roman" w:eastAsia="方正仿宋_GBK" w:cs="Times New Roman"/>
          <w:color w:val="000000"/>
          <w:spacing w:val="-8"/>
          <w:sz w:val="32"/>
          <w:szCs w:val="32"/>
          <w:lang w:val="en-US" w:eastAsia="zh-CN"/>
        </w:rPr>
        <w:t>乡村医生规范管理、</w:t>
      </w:r>
      <w:r>
        <w:rPr>
          <w:rFonts w:hint="default" w:ascii="Times New Roman" w:hAnsi="Times New Roman" w:eastAsia="方正仿宋_GBK" w:cs="Times New Roman"/>
          <w:color w:val="000000"/>
          <w:spacing w:val="-8"/>
          <w:sz w:val="32"/>
          <w:szCs w:val="32"/>
        </w:rPr>
        <w:t>综合医院结核病人归口管理</w:t>
      </w:r>
      <w:r>
        <w:rPr>
          <w:rFonts w:hint="default" w:ascii="Times New Roman" w:hAnsi="Times New Roman" w:eastAsia="方正仿宋_GBK" w:cs="Times New Roman"/>
          <w:color w:val="000000"/>
          <w:spacing w:val="-8"/>
          <w:sz w:val="32"/>
          <w:szCs w:val="32"/>
          <w:lang w:val="en-US" w:eastAsia="zh-CN"/>
        </w:rPr>
        <w:t>以及网络直报工作，</w:t>
      </w:r>
      <w:r>
        <w:rPr>
          <w:rFonts w:hint="default" w:ascii="Times New Roman" w:hAnsi="Times New Roman" w:eastAsia="方正仿宋_GBK" w:cs="Times New Roman"/>
          <w:color w:val="000000"/>
          <w:spacing w:val="-6"/>
          <w:sz w:val="32"/>
          <w:szCs w:val="32"/>
        </w:rPr>
        <w:t>全面</w:t>
      </w:r>
      <w:r>
        <w:rPr>
          <w:rFonts w:hint="default" w:ascii="Times New Roman" w:hAnsi="Times New Roman" w:eastAsia="方正仿宋_GBK" w:cs="Times New Roman"/>
          <w:color w:val="000000"/>
          <w:spacing w:val="-5"/>
          <w:sz w:val="32"/>
          <w:szCs w:val="32"/>
        </w:rPr>
        <w:t>落实结核病人的免费政策和全程督导管理制度，</w:t>
      </w:r>
      <w:r>
        <w:rPr>
          <w:rFonts w:hint="default" w:ascii="Times New Roman" w:hAnsi="Times New Roman" w:eastAsia="方正仿宋简体" w:cs="Times New Roman"/>
          <w:b w:val="0"/>
          <w:bCs w:val="0"/>
          <w:color w:val="000000"/>
          <w:sz w:val="32"/>
          <w:szCs w:val="32"/>
          <w:lang w:val="en-US" w:eastAsia="zh-CN"/>
        </w:rPr>
        <w:t>结核病控制成效明显：肺结核报告发病率与上年比较</w:t>
      </w:r>
      <w:r>
        <w:rPr>
          <w:rFonts w:hint="default" w:ascii="Times New Roman" w:hAnsi="Times New Roman" w:eastAsia="方正仿宋_GBK" w:cs="Times New Roman"/>
          <w:color w:val="000000"/>
          <w:sz w:val="32"/>
          <w:szCs w:val="32"/>
        </w:rPr>
        <w:t>下降</w:t>
      </w:r>
      <w:r>
        <w:rPr>
          <w:rFonts w:hint="default" w:ascii="Times New Roman" w:hAnsi="Times New Roman" w:eastAsia="方正仿宋_GBK" w:cs="Times New Roman"/>
          <w:color w:val="000000"/>
          <w:sz w:val="32"/>
          <w:szCs w:val="32"/>
          <w:lang w:val="en-US" w:eastAsia="zh-CN"/>
        </w:rPr>
        <w:t>2.38%；报告肺结核患者和疑似肺结核患者的总体到位率99.66</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肺结核患者</w:t>
      </w:r>
      <w:r>
        <w:rPr>
          <w:rFonts w:hint="default" w:ascii="Times New Roman" w:hAnsi="Times New Roman" w:eastAsia="方正仿宋_GBK" w:cs="Times New Roman"/>
          <w:color w:val="000000"/>
          <w:sz w:val="32"/>
          <w:szCs w:val="32"/>
        </w:rPr>
        <w:t>病原学阳性率</w:t>
      </w:r>
      <w:r>
        <w:rPr>
          <w:rFonts w:hint="default" w:ascii="Times New Roman" w:hAnsi="Times New Roman" w:eastAsia="方正仿宋_GBK" w:cs="Times New Roman"/>
          <w:color w:val="000000"/>
          <w:sz w:val="32"/>
          <w:szCs w:val="32"/>
          <w:lang w:val="en-US" w:eastAsia="zh-CN"/>
        </w:rPr>
        <w:t>67.99</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较</w:t>
      </w:r>
      <w:r>
        <w:rPr>
          <w:rFonts w:hint="default" w:ascii="Times New Roman" w:hAnsi="Times New Roman" w:eastAsia="方正仿宋_GBK" w:cs="Times New Roman"/>
          <w:color w:val="000000"/>
          <w:sz w:val="32"/>
          <w:szCs w:val="32"/>
        </w:rPr>
        <w:t>去年同期上升了</w:t>
      </w:r>
      <w:r>
        <w:rPr>
          <w:rFonts w:hint="default" w:ascii="Times New Roman" w:hAnsi="Times New Roman" w:eastAsia="方正仿宋_GBK" w:cs="Times New Roman"/>
          <w:color w:val="000000"/>
          <w:sz w:val="32"/>
          <w:szCs w:val="32"/>
          <w:highlight w:val="none"/>
          <w:lang w:val="en-US" w:eastAsia="zh-CN"/>
        </w:rPr>
        <w:t>12.6</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rPr>
        <w:t>新病原学阳性肺结核患者密切接触者筛查率100.00%</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肺结核患者治疗成功率</w:t>
      </w:r>
      <w:r>
        <w:rPr>
          <w:rFonts w:hint="default" w:ascii="Times New Roman" w:hAnsi="Times New Roman" w:eastAsia="方正仿宋_GBK" w:cs="Times New Roman"/>
          <w:color w:val="000000"/>
          <w:sz w:val="32"/>
          <w:szCs w:val="32"/>
          <w:lang w:val="en-US" w:eastAsia="zh-CN"/>
        </w:rPr>
        <w:t>98.48</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基层医疗卫生机构肺结核患者规范管理率</w:t>
      </w:r>
      <w:r>
        <w:rPr>
          <w:rFonts w:hint="default" w:ascii="Times New Roman" w:hAnsi="Times New Roman" w:eastAsia="方正仿宋_GBK" w:cs="Times New Roman"/>
          <w:color w:val="000000"/>
          <w:sz w:val="32"/>
          <w:szCs w:val="32"/>
          <w:lang w:val="en-US" w:eastAsia="zh-CN"/>
        </w:rPr>
        <w:t>100</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新生入学结核病检查比例100%；公众结核病防治核心知识知晓率</w:t>
      </w:r>
      <w:r>
        <w:rPr>
          <w:rFonts w:hint="default" w:ascii="Times New Roman" w:hAnsi="Times New Roman" w:eastAsia="方正仿宋_GBK" w:cs="Times New Roman"/>
          <w:color w:val="000000"/>
          <w:kern w:val="0"/>
          <w:sz w:val="32"/>
          <w:szCs w:val="32"/>
          <w:lang w:val="en-US" w:eastAsia="zh-CN" w:bidi="ar"/>
        </w:rPr>
        <w:t>达到90%以上。</w:t>
      </w:r>
    </w:p>
    <w:p>
      <w:pPr>
        <w:pStyle w:val="2"/>
        <w:ind w:firstLine="964" w:firstLineChars="300"/>
        <w:rPr>
          <w:rFonts w:hint="default" w:ascii="Times New Roman" w:hAnsi="Times New Roman" w:cs="Times New Roman"/>
          <w:lang w:val="en-US" w:eastAsia="zh-CN"/>
        </w:rPr>
      </w:pPr>
      <w:r>
        <w:rPr>
          <w:rFonts w:hint="default" w:ascii="Times New Roman" w:hAnsi="Times New Roman" w:eastAsia="方正仿宋简体" w:cs="Times New Roman"/>
          <w:b/>
          <w:color w:val="000000"/>
          <w:sz w:val="32"/>
          <w:szCs w:val="32"/>
        </w:rPr>
        <w:t>血吸虫病</w:t>
      </w:r>
      <w:r>
        <w:rPr>
          <w:rFonts w:hint="default" w:ascii="Times New Roman" w:hAnsi="Times New Roman" w:eastAsia="方正仿宋简体" w:cs="Times New Roman"/>
          <w:b/>
          <w:color w:val="000000"/>
          <w:sz w:val="32"/>
          <w:szCs w:val="32"/>
          <w:lang w:val="en-US" w:eastAsia="zh-CN"/>
        </w:rPr>
        <w:t>防治</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b w:val="0"/>
          <w:bCs w:val="0"/>
          <w:color w:val="000000"/>
          <w:sz w:val="32"/>
          <w:szCs w:val="32"/>
        </w:rPr>
        <w:t>202</w:t>
      </w:r>
      <w:r>
        <w:rPr>
          <w:rFonts w:hint="default" w:ascii="Times New Roman" w:hAnsi="Times New Roman" w:eastAsia="方正仿宋简体" w:cs="Times New Roman"/>
          <w:b w:val="0"/>
          <w:bCs w:val="0"/>
          <w:color w:val="000000"/>
          <w:sz w:val="32"/>
          <w:szCs w:val="32"/>
          <w:lang w:val="en-US" w:eastAsia="zh-CN"/>
        </w:rPr>
        <w:t>2</w:t>
      </w:r>
      <w:r>
        <w:rPr>
          <w:rFonts w:hint="default" w:ascii="Times New Roman" w:hAnsi="Times New Roman" w:eastAsia="方正仿宋简体" w:cs="Times New Roman"/>
          <w:b w:val="0"/>
          <w:bCs w:val="0"/>
          <w:color w:val="000000"/>
          <w:sz w:val="32"/>
          <w:szCs w:val="32"/>
        </w:rPr>
        <w:t>年，按照省市血吸虫病防治计划要求，对祥符镇松树村开展了春季、秋季查</w:t>
      </w:r>
      <w:r>
        <w:rPr>
          <w:rFonts w:hint="default" w:ascii="Times New Roman" w:hAnsi="Times New Roman" w:eastAsia="方正仿宋简体" w:cs="Times New Roman"/>
          <w:b w:val="0"/>
          <w:bCs w:val="0"/>
          <w:color w:val="000000"/>
          <w:sz w:val="32"/>
          <w:szCs w:val="32"/>
          <w:lang w:val="en-US" w:eastAsia="zh-CN"/>
        </w:rPr>
        <w:t>灭</w:t>
      </w:r>
      <w:r>
        <w:rPr>
          <w:rFonts w:hint="default" w:ascii="Times New Roman" w:hAnsi="Times New Roman" w:eastAsia="方正仿宋简体" w:cs="Times New Roman"/>
          <w:b w:val="0"/>
          <w:bCs w:val="0"/>
          <w:color w:val="000000"/>
          <w:sz w:val="32"/>
          <w:szCs w:val="32"/>
        </w:rPr>
        <w:t>螺工作，全年共计查螺</w:t>
      </w:r>
      <w:r>
        <w:rPr>
          <w:rFonts w:hint="default" w:ascii="Times New Roman" w:hAnsi="Times New Roman" w:eastAsia="方正仿宋简体" w:cs="Times New Roman"/>
          <w:b w:val="0"/>
          <w:bCs w:val="0"/>
          <w:color w:val="000000"/>
          <w:kern w:val="2"/>
          <w:sz w:val="32"/>
          <w:szCs w:val="32"/>
          <w:lang w:val="en-US" w:eastAsia="zh-CN" w:bidi="ar-SA"/>
        </w:rPr>
        <w:t>104.85</w:t>
      </w:r>
      <w:r>
        <w:rPr>
          <w:rFonts w:hint="default" w:ascii="Times New Roman" w:hAnsi="Times New Roman" w:eastAsia="方正仿宋简体" w:cs="Times New Roman"/>
          <w:b w:val="0"/>
          <w:bCs w:val="0"/>
          <w:color w:val="000000"/>
          <w:sz w:val="32"/>
          <w:szCs w:val="32"/>
        </w:rPr>
        <w:t>万平方米，灭螺1</w:t>
      </w:r>
      <w:r>
        <w:rPr>
          <w:rFonts w:hint="default" w:ascii="Times New Roman" w:hAnsi="Times New Roman" w:eastAsia="方正仿宋简体" w:cs="Times New Roman"/>
          <w:b w:val="0"/>
          <w:bCs w:val="0"/>
          <w:color w:val="000000"/>
          <w:sz w:val="32"/>
          <w:szCs w:val="32"/>
          <w:lang w:val="en-US" w:eastAsia="zh-CN"/>
        </w:rPr>
        <w:t>0</w:t>
      </w:r>
      <w:r>
        <w:rPr>
          <w:rFonts w:hint="default" w:ascii="Times New Roman" w:hAnsi="Times New Roman" w:eastAsia="方正仿宋简体" w:cs="Times New Roman"/>
          <w:b w:val="0"/>
          <w:bCs w:val="0"/>
          <w:color w:val="000000"/>
          <w:sz w:val="32"/>
          <w:szCs w:val="32"/>
        </w:rPr>
        <w:t>万平方米，未发现阳性钉螺，达到了国家消除血吸虫病标准</w:t>
      </w:r>
      <w:r>
        <w:rPr>
          <w:rFonts w:hint="default" w:ascii="Times New Roman" w:hAnsi="Times New Roman" w:eastAsia="方正仿宋简体" w:cs="Times New Roman"/>
          <w:b w:val="0"/>
          <w:bCs w:val="0"/>
          <w:color w:val="000000"/>
          <w:sz w:val="32"/>
          <w:szCs w:val="32"/>
          <w:lang w:eastAsia="zh-CN"/>
        </w:rPr>
        <w:t>。</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法定传染病</w:t>
      </w:r>
    </w:p>
    <w:p>
      <w:pPr>
        <w:keepNext w:val="0"/>
        <w:keepLines w:val="0"/>
        <w:pageBreakBefore w:val="0"/>
        <w:kinsoku/>
        <w:wordWrap/>
        <w:overflowPunct/>
        <w:topLinePunct w:val="0"/>
        <w:autoSpaceDE/>
        <w:autoSpaceDN/>
        <w:bidi w:val="0"/>
        <w:spacing w:line="600" w:lineRule="exact"/>
        <w:ind w:firstLine="607" w:firstLineChars="189"/>
        <w:textAlignment w:val="auto"/>
        <w:rPr>
          <w:rFonts w:hint="default" w:ascii="Times New Roman" w:hAnsi="Times New Roman" w:eastAsia="方正仿宋简体" w:cs="Times New Roman"/>
          <w:b w:val="0"/>
          <w:bCs w:val="0"/>
          <w:lang w:eastAsia="zh-CN"/>
        </w:rPr>
      </w:pPr>
      <w:r>
        <w:rPr>
          <w:rFonts w:hint="default" w:ascii="Times New Roman" w:hAnsi="Times New Roman" w:eastAsia="方正仿宋简体" w:cs="Times New Roman"/>
          <w:b/>
          <w:bCs/>
          <w:sz w:val="32"/>
          <w:szCs w:val="32"/>
        </w:rPr>
        <w:t>一是实时监测传染病发病情况。</w:t>
      </w:r>
      <w:r>
        <w:rPr>
          <w:rFonts w:hint="default" w:ascii="Times New Roman" w:hAnsi="Times New Roman" w:eastAsia="方正仿宋简体" w:cs="Times New Roman"/>
          <w:b w:val="0"/>
          <w:bCs w:val="0"/>
          <w:sz w:val="32"/>
          <w:szCs w:val="32"/>
          <w:lang w:val="en-US" w:eastAsia="zh-CN"/>
        </w:rPr>
        <w:t>2022年，无甲类传染病报告</w:t>
      </w:r>
      <w:r>
        <w:rPr>
          <w:rFonts w:hint="eastAsia" w:eastAsia="方正仿宋简体" w:cs="Times New Roman"/>
          <w:b w:val="0"/>
          <w:bCs w:val="0"/>
          <w:sz w:val="32"/>
          <w:szCs w:val="32"/>
          <w:lang w:val="en-US" w:eastAsia="zh-CN"/>
        </w:rPr>
        <w:t>，乙丙类传染病与2021年相比有所上升</w:t>
      </w:r>
      <w:r>
        <w:rPr>
          <w:rFonts w:hint="default"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bCs/>
          <w:sz w:val="32"/>
          <w:szCs w:val="32"/>
        </w:rPr>
        <w:t>二是落实传染病网络直报及预警信号处置工作。</w:t>
      </w:r>
      <w:r>
        <w:rPr>
          <w:rFonts w:hint="default" w:ascii="Times New Roman" w:hAnsi="Times New Roman" w:eastAsia="方正仿宋简体" w:cs="Times New Roman"/>
          <w:sz w:val="32"/>
          <w:szCs w:val="32"/>
          <w:lang w:val="en-US" w:eastAsia="zh-CN"/>
        </w:rPr>
        <w:t>2022年传染病报告卡片及时报告率99.91%，及时审核率99.93%，有效证件完整率99.98%。2022年共处理自动预警系统412起，经核实排查处置412起。</w:t>
      </w:r>
      <w:r>
        <w:rPr>
          <w:rFonts w:hint="default" w:ascii="Times New Roman" w:hAnsi="Times New Roman" w:eastAsia="方正仿宋简体" w:cs="Times New Roman"/>
          <w:b/>
          <w:sz w:val="32"/>
          <w:szCs w:val="32"/>
        </w:rPr>
        <w:t>三是加强重点传染病及学校常见传染病防控。</w:t>
      </w:r>
      <w:r>
        <w:rPr>
          <w:rFonts w:hint="eastAsia" w:eastAsia="方正仿宋简体" w:cs="Times New Roman"/>
          <w:sz w:val="32"/>
          <w:szCs w:val="32"/>
          <w:lang w:val="en-US" w:eastAsia="zh-CN"/>
        </w:rPr>
        <w:t>强化</w:t>
      </w:r>
      <w:r>
        <w:rPr>
          <w:rFonts w:hint="default" w:ascii="Times New Roman" w:hAnsi="Times New Roman" w:eastAsia="方正仿宋简体" w:cs="Times New Roman"/>
          <w:sz w:val="32"/>
          <w:szCs w:val="32"/>
        </w:rPr>
        <w:t>新型冠状病毒肺炎</w:t>
      </w:r>
      <w:r>
        <w:rPr>
          <w:rFonts w:hint="eastAsia" w:eastAsia="方正仿宋简体" w:cs="Times New Roman"/>
          <w:sz w:val="32"/>
          <w:szCs w:val="32"/>
          <w:lang w:val="en-US" w:eastAsia="zh-CN"/>
        </w:rPr>
        <w:t>等重点传染病</w:t>
      </w:r>
      <w:r>
        <w:rPr>
          <w:rFonts w:hint="default" w:ascii="Times New Roman" w:hAnsi="Times New Roman" w:eastAsia="方正仿宋简体" w:cs="Times New Roman"/>
          <w:sz w:val="32"/>
          <w:szCs w:val="32"/>
        </w:rPr>
        <w:t>防控工作</w:t>
      </w:r>
      <w:r>
        <w:rPr>
          <w:rFonts w:hint="eastAsia" w:eastAsia="方正仿宋简体" w:cs="Times New Roman"/>
          <w:sz w:val="32"/>
          <w:szCs w:val="32"/>
          <w:lang w:eastAsia="zh-CN"/>
        </w:rPr>
        <w:t>，</w:t>
      </w:r>
      <w:r>
        <w:rPr>
          <w:rFonts w:hint="eastAsia" w:eastAsia="方正仿宋简体" w:cs="Times New Roman"/>
          <w:sz w:val="32"/>
          <w:szCs w:val="32"/>
          <w:lang w:val="en-US" w:eastAsia="zh-CN"/>
        </w:rPr>
        <w:t>对学校师生等</w:t>
      </w:r>
      <w:r>
        <w:rPr>
          <w:rFonts w:hint="default" w:ascii="Times New Roman" w:hAnsi="Times New Roman" w:eastAsia="方正仿宋简体" w:cs="Times New Roman"/>
          <w:sz w:val="32"/>
          <w:szCs w:val="32"/>
        </w:rPr>
        <w:t>重点人群、重点场所新冠核酸采样监测工作，多次开展重点场所新冠防控工作督导</w:t>
      </w:r>
      <w:r>
        <w:rPr>
          <w:rFonts w:hint="default" w:ascii="Times New Roman" w:hAnsi="Times New Roman" w:eastAsia="方正仿宋简体" w:cs="Times New Roman"/>
          <w:sz w:val="32"/>
          <w:szCs w:val="32"/>
          <w:lang w:val="en-US" w:eastAsia="zh-CN"/>
        </w:rPr>
        <w:t>以及</w:t>
      </w:r>
      <w:r>
        <w:rPr>
          <w:rFonts w:hint="default" w:ascii="Times New Roman" w:hAnsi="Times New Roman" w:eastAsia="方正仿宋简体" w:cs="Times New Roman"/>
          <w:sz w:val="32"/>
          <w:szCs w:val="32"/>
        </w:rPr>
        <w:t>新型冠状病毒肺炎、人感染H7N9禽流感、疟疾、痢疾、流感及学校常见传染病的防控知识培训。</w:t>
      </w:r>
      <w:r>
        <w:rPr>
          <w:rFonts w:hint="default" w:ascii="Times New Roman" w:hAnsi="Times New Roman" w:eastAsia="方正仿宋简体" w:cs="Times New Roman"/>
          <w:b/>
          <w:sz w:val="32"/>
          <w:szCs w:val="32"/>
        </w:rPr>
        <w:t>四是及时处置聚集性疫情。</w:t>
      </w:r>
      <w:r>
        <w:rPr>
          <w:rFonts w:hint="default" w:ascii="Times New Roman" w:hAnsi="Times New Roman" w:eastAsia="方正仿宋简体" w:cs="Times New Roman"/>
          <w:sz w:val="32"/>
          <w:szCs w:val="32"/>
          <w:lang w:val="en-US" w:eastAsia="zh-CN"/>
        </w:rPr>
        <w:t>2022年我中心传防科处置了5起学校手足口病聚集性疫情、2起学校聚集性水痘疫情，我中心均派出专业人员进行流调处置，并对学校提出防控建议，7起疫情均得到有效控制，无后续病例发生。</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（3）地方病防治</w:t>
      </w:r>
    </w:p>
    <w:p>
      <w:pPr>
        <w:keepNext w:val="0"/>
        <w:keepLines w:val="0"/>
        <w:pageBreakBefore w:val="0"/>
        <w:widowControl w:val="0"/>
        <w:kinsoku/>
        <w:wordWrap/>
        <w:overflowPunct/>
        <w:topLinePunct w:val="0"/>
        <w:autoSpaceDE/>
        <w:autoSpaceDN/>
        <w:bidi w:val="0"/>
        <w:snapToGrid w:val="0"/>
        <w:spacing w:line="600" w:lineRule="exact"/>
        <w:ind w:right="0" w:rightChars="0" w:firstLine="643" w:firstLineChars="200"/>
        <w:textAlignment w:val="auto"/>
        <w:rPr>
          <w:rFonts w:hint="default" w:ascii="Times New Roman" w:hAnsi="Times New Roman" w:eastAsia="方正仿宋简体" w:cs="Times New Roman"/>
          <w:b w:val="0"/>
          <w:bCs w:val="0"/>
          <w:color w:val="000000"/>
          <w:lang w:val="en-US" w:eastAsia="zh-CN"/>
        </w:rPr>
      </w:pPr>
      <w:r>
        <w:rPr>
          <w:rFonts w:hint="default" w:ascii="Times New Roman" w:hAnsi="Times New Roman" w:eastAsia="方正仿宋简体" w:cs="Times New Roman"/>
          <w:b/>
          <w:color w:val="000000"/>
          <w:sz w:val="32"/>
          <w:szCs w:val="32"/>
          <w:lang w:val="en-US" w:eastAsia="zh-CN"/>
        </w:rPr>
        <w:t>一</w:t>
      </w:r>
      <w:r>
        <w:rPr>
          <w:rFonts w:hint="default" w:ascii="Times New Roman" w:hAnsi="Times New Roman" w:eastAsia="方正仿宋简体" w:cs="Times New Roman"/>
          <w:b/>
          <w:color w:val="000000"/>
          <w:sz w:val="32"/>
          <w:szCs w:val="32"/>
        </w:rPr>
        <w:t>是碘缺乏病防治。</w:t>
      </w:r>
      <w:r>
        <w:rPr>
          <w:rFonts w:hint="eastAsia" w:eastAsia="方正仿宋简体" w:cs="Times New Roman"/>
          <w:color w:val="000000"/>
          <w:sz w:val="32"/>
          <w:szCs w:val="32"/>
          <w:lang w:val="en-US" w:eastAsia="zh-CN"/>
        </w:rPr>
        <w:t>全区共</w:t>
      </w:r>
      <w:r>
        <w:rPr>
          <w:rFonts w:hint="default" w:ascii="Times New Roman" w:hAnsi="Times New Roman" w:eastAsia="方正仿宋简体" w:cs="Times New Roman"/>
          <w:color w:val="000000"/>
          <w:sz w:val="32"/>
          <w:szCs w:val="32"/>
          <w:lang w:val="en-US" w:eastAsia="zh-CN"/>
        </w:rPr>
        <w:t>抽检</w:t>
      </w:r>
      <w:r>
        <w:rPr>
          <w:rFonts w:hint="eastAsia" w:eastAsia="方正仿宋简体" w:cs="Times New Roman"/>
          <w:color w:val="auto"/>
          <w:sz w:val="32"/>
          <w:szCs w:val="32"/>
          <w:lang w:val="en-US" w:eastAsia="zh-CN"/>
        </w:rPr>
        <w:t>300</w:t>
      </w:r>
      <w:r>
        <w:rPr>
          <w:rFonts w:hint="default" w:ascii="Times New Roman" w:hAnsi="Times New Roman" w:eastAsia="方正仿宋简体" w:cs="Times New Roman"/>
          <w:color w:val="auto"/>
          <w:sz w:val="32"/>
          <w:szCs w:val="32"/>
          <w:lang w:val="en-US" w:eastAsia="zh-CN"/>
        </w:rPr>
        <w:t>份尿样、</w:t>
      </w:r>
      <w:r>
        <w:rPr>
          <w:rFonts w:hint="eastAsia" w:eastAsia="方正仿宋简体" w:cs="Times New Roman"/>
          <w:color w:val="auto"/>
          <w:sz w:val="32"/>
          <w:szCs w:val="32"/>
          <w:lang w:val="en-US" w:eastAsia="zh-CN"/>
        </w:rPr>
        <w:t>300份</w:t>
      </w:r>
      <w:r>
        <w:rPr>
          <w:rFonts w:hint="default" w:ascii="Times New Roman" w:hAnsi="Times New Roman" w:eastAsia="方正仿宋简体" w:cs="Times New Roman"/>
          <w:color w:val="auto"/>
          <w:sz w:val="32"/>
          <w:szCs w:val="32"/>
          <w:lang w:val="en-US" w:eastAsia="zh-CN"/>
        </w:rPr>
        <w:t>盐样进行检测，</w:t>
      </w:r>
      <w:r>
        <w:rPr>
          <w:rFonts w:hint="eastAsia" w:eastAsia="方正仿宋简体" w:cs="Times New Roman"/>
          <w:color w:val="auto"/>
          <w:sz w:val="32"/>
          <w:szCs w:val="32"/>
          <w:lang w:val="en-US" w:eastAsia="zh-CN"/>
        </w:rPr>
        <w:t>其中</w:t>
      </w:r>
      <w:r>
        <w:rPr>
          <w:rFonts w:hint="default" w:ascii="Times New Roman" w:hAnsi="Times New Roman" w:eastAsia="方正仿宋简体" w:cs="Times New Roman"/>
          <w:color w:val="auto"/>
          <w:sz w:val="32"/>
          <w:szCs w:val="32"/>
        </w:rPr>
        <w:t>合格碘盐覆盖</w:t>
      </w:r>
      <w:r>
        <w:rPr>
          <w:rFonts w:hint="default" w:ascii="Times New Roman" w:hAnsi="Times New Roman" w:eastAsia="方正仿宋简体" w:cs="Times New Roman"/>
          <w:color w:val="000000"/>
          <w:sz w:val="32"/>
          <w:szCs w:val="32"/>
        </w:rPr>
        <w:t>率99.31%，合格碘盐食用率为95.33%</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我区碘缺乏病达到</w:t>
      </w:r>
      <w:r>
        <w:rPr>
          <w:rFonts w:hint="eastAsia" w:eastAsia="方正仿宋简体" w:cs="Times New Roman"/>
          <w:color w:val="000000"/>
          <w:sz w:val="32"/>
          <w:szCs w:val="32"/>
          <w:lang w:val="en-US" w:eastAsia="zh-CN"/>
        </w:rPr>
        <w:t>持续</w:t>
      </w:r>
      <w:r>
        <w:rPr>
          <w:rFonts w:hint="default" w:ascii="Times New Roman" w:hAnsi="Times New Roman" w:eastAsia="方正仿宋简体" w:cs="Times New Roman"/>
          <w:color w:val="000000"/>
          <w:sz w:val="32"/>
          <w:szCs w:val="32"/>
        </w:rPr>
        <w:t>消除评价标准。</w:t>
      </w:r>
      <w:r>
        <w:rPr>
          <w:rFonts w:hint="default" w:ascii="Times New Roman" w:hAnsi="Times New Roman" w:eastAsia="方正仿宋简体" w:cs="Times New Roman"/>
          <w:b/>
          <w:color w:val="000000"/>
          <w:sz w:val="32"/>
          <w:szCs w:val="32"/>
          <w:lang w:val="en-US" w:eastAsia="zh-CN"/>
        </w:rPr>
        <w:t>二</w:t>
      </w:r>
      <w:r>
        <w:rPr>
          <w:rFonts w:hint="default" w:ascii="Times New Roman" w:hAnsi="Times New Roman" w:eastAsia="方正仿宋简体" w:cs="Times New Roman"/>
          <w:b/>
          <w:color w:val="000000"/>
          <w:sz w:val="32"/>
          <w:szCs w:val="32"/>
        </w:rPr>
        <w:t>是疟疾防治</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val="en-US" w:eastAsia="zh-CN"/>
        </w:rPr>
        <w:t>根据全区实际情况，制定工作方案，分解工作任务，明确辖区</w:t>
      </w:r>
      <w:r>
        <w:rPr>
          <w:rFonts w:hint="default" w:ascii="Times New Roman" w:hAnsi="Times New Roman" w:eastAsia="方正仿宋简体" w:cs="Times New Roman"/>
          <w:color w:val="000000"/>
          <w:kern w:val="0"/>
          <w:sz w:val="32"/>
          <w:szCs w:val="32"/>
        </w:rPr>
        <w:t>各级医疗机构</w:t>
      </w:r>
      <w:r>
        <w:rPr>
          <w:rFonts w:hint="eastAsia" w:eastAsia="方正仿宋简体" w:cs="Times New Roman"/>
          <w:color w:val="000000"/>
          <w:kern w:val="0"/>
          <w:sz w:val="32"/>
          <w:szCs w:val="32"/>
          <w:lang w:val="en-US" w:eastAsia="zh-CN"/>
        </w:rPr>
        <w:t>目标任务</w:t>
      </w:r>
      <w:r>
        <w:rPr>
          <w:rFonts w:hint="default" w:ascii="Times New Roman" w:hAnsi="Times New Roman" w:eastAsia="方正仿宋简体" w:cs="Times New Roman"/>
          <w:color w:val="000000"/>
          <w:kern w:val="0"/>
          <w:sz w:val="32"/>
          <w:szCs w:val="32"/>
        </w:rPr>
        <w:t>。</w:t>
      </w:r>
      <w:r>
        <w:rPr>
          <w:rFonts w:hint="eastAsia" w:eastAsia="方正仿宋简体" w:cs="Times New Roman"/>
          <w:color w:val="000000"/>
          <w:kern w:val="0"/>
          <w:sz w:val="32"/>
          <w:szCs w:val="32"/>
          <w:lang w:val="en-US" w:eastAsia="zh-CN"/>
        </w:rPr>
        <w:t>全</w:t>
      </w:r>
      <w:r>
        <w:rPr>
          <w:rFonts w:hint="default" w:ascii="Times New Roman" w:hAnsi="Times New Roman" w:eastAsia="方正仿宋简体" w:cs="Times New Roman"/>
          <w:color w:val="000000"/>
          <w:kern w:val="0"/>
          <w:sz w:val="32"/>
          <w:szCs w:val="32"/>
          <w:lang w:val="en-US" w:eastAsia="zh-CN"/>
        </w:rPr>
        <w:t>年</w:t>
      </w:r>
      <w:r>
        <w:rPr>
          <w:rFonts w:hint="default" w:ascii="Times New Roman" w:hAnsi="Times New Roman" w:eastAsia="方正仿宋简体" w:cs="Times New Roman"/>
          <w:color w:val="000000"/>
          <w:kern w:val="0"/>
          <w:sz w:val="32"/>
          <w:szCs w:val="32"/>
        </w:rPr>
        <w:t>完成疟疾血检</w:t>
      </w:r>
      <w:r>
        <w:rPr>
          <w:rFonts w:hint="default" w:ascii="Times New Roman" w:hAnsi="Times New Roman" w:eastAsia="方正仿宋简体" w:cs="Times New Roman"/>
          <w:color w:val="000000"/>
          <w:kern w:val="0"/>
          <w:sz w:val="32"/>
          <w:szCs w:val="32"/>
          <w:lang w:val="en-US" w:eastAsia="zh-CN"/>
        </w:rPr>
        <w:t>492</w:t>
      </w:r>
      <w:r>
        <w:rPr>
          <w:rFonts w:hint="default" w:ascii="Times New Roman" w:hAnsi="Times New Roman" w:eastAsia="方正仿宋简体" w:cs="Times New Roman"/>
          <w:color w:val="000000"/>
          <w:kern w:val="0"/>
          <w:sz w:val="32"/>
          <w:szCs w:val="32"/>
        </w:rPr>
        <w:t>人次，</w:t>
      </w:r>
      <w:r>
        <w:rPr>
          <w:rFonts w:hint="eastAsia" w:eastAsia="方正仿宋简体" w:cs="Times New Roman"/>
          <w:color w:val="000000"/>
          <w:kern w:val="0"/>
          <w:sz w:val="32"/>
          <w:szCs w:val="32"/>
          <w:lang w:val="en-US" w:eastAsia="zh-CN"/>
        </w:rPr>
        <w:t>持续达到消除疟疾标准</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b/>
          <w:bCs/>
          <w:color w:val="000000"/>
          <w:sz w:val="32"/>
          <w:szCs w:val="32"/>
          <w:lang w:val="en-US" w:eastAsia="zh-CN"/>
        </w:rPr>
        <w:t>三是麻风病防治。</w:t>
      </w:r>
      <w:r>
        <w:rPr>
          <w:rFonts w:hint="default" w:ascii="Times New Roman" w:hAnsi="Times New Roman" w:eastAsia="方正仿宋简体" w:cs="Times New Roman"/>
          <w:b w:val="0"/>
          <w:color w:val="000000"/>
          <w:kern w:val="2"/>
          <w:sz w:val="32"/>
          <w:szCs w:val="32"/>
          <w:lang w:val="en-US" w:eastAsia="zh-CN" w:bidi="ar-SA"/>
        </w:rPr>
        <w:t xml:space="preserve"> 2022年区中医医院皮肤科对各辖区主动报告转诊的疑似麻风病症状患者进行诊断，均排除麻风病可能。</w:t>
      </w:r>
      <w:r>
        <w:rPr>
          <w:rFonts w:hint="default" w:ascii="Times New Roman" w:hAnsi="Times New Roman" w:eastAsia="方正仿宋简体" w:cs="Times New Roman"/>
          <w:b/>
          <w:bCs/>
          <w:color w:val="000000"/>
          <w:kern w:val="2"/>
          <w:sz w:val="32"/>
          <w:szCs w:val="32"/>
          <w:lang w:val="en-US" w:eastAsia="zh-CN" w:bidi="ar-SA"/>
        </w:rPr>
        <w:t>四是克山病防治。</w:t>
      </w:r>
      <w:r>
        <w:rPr>
          <w:rFonts w:hint="default" w:ascii="Times New Roman" w:hAnsi="Times New Roman" w:eastAsia="方正仿宋简体" w:cs="Times New Roman"/>
          <w:b w:val="0"/>
          <w:color w:val="000000"/>
          <w:kern w:val="2"/>
          <w:sz w:val="32"/>
          <w:szCs w:val="32"/>
          <w:lang w:val="en-US" w:eastAsia="zh-CN" w:bidi="ar-SA"/>
        </w:rPr>
        <w:t>2022年完成病例搜索125个村，占全部病区乡镇的100%，无新发急型、亚急型、慢型、潜在型克山病病例。</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（4）免疫规划</w:t>
      </w:r>
    </w:p>
    <w:p>
      <w:pPr>
        <w:keepNext w:val="0"/>
        <w:keepLines w:val="0"/>
        <w:pageBreakBefore w:val="0"/>
        <w:kinsoku/>
        <w:wordWrap/>
        <w:overflowPunct/>
        <w:topLinePunct w:val="0"/>
        <w:autoSpaceDE/>
        <w:autoSpaceDN/>
        <w:bidi w:val="0"/>
        <w:spacing w:line="600" w:lineRule="exact"/>
        <w:ind w:firstLine="723" w:firstLineChars="225"/>
        <w:textAlignment w:val="auto"/>
        <w:rPr>
          <w:rFonts w:hint="default" w:ascii="Times New Roman" w:hAnsi="Times New Roman" w:cs="Times New Roman"/>
          <w:color w:val="000000"/>
        </w:rPr>
      </w:pPr>
      <w:r>
        <w:rPr>
          <w:rFonts w:hint="default" w:ascii="Times New Roman" w:hAnsi="Times New Roman" w:eastAsia="方正楷体简体" w:cs="Times New Roman"/>
          <w:b/>
          <w:color w:val="000000"/>
          <w:sz w:val="32"/>
          <w:szCs w:val="32"/>
          <w:lang w:val="en-US" w:eastAsia="zh-CN"/>
        </w:rPr>
        <w:t>一是科学稳步</w:t>
      </w:r>
      <w:r>
        <w:rPr>
          <w:rFonts w:hint="default" w:ascii="Times New Roman" w:hAnsi="Times New Roman" w:eastAsia="方正楷体简体" w:cs="Times New Roman"/>
          <w:b/>
          <w:color w:val="000000"/>
          <w:sz w:val="32"/>
          <w:szCs w:val="32"/>
        </w:rPr>
        <w:t>推进新冠病毒疫苗接种</w:t>
      </w:r>
      <w:r>
        <w:rPr>
          <w:rFonts w:hint="default" w:ascii="Times New Roman" w:hAnsi="Times New Roman" w:eastAsia="方正楷体简体" w:cs="Times New Roman"/>
          <w:b/>
          <w:color w:val="000000"/>
          <w:sz w:val="32"/>
          <w:szCs w:val="32"/>
          <w:lang w:eastAsia="zh-CN"/>
        </w:rPr>
        <w:t>。</w:t>
      </w:r>
      <w:r>
        <w:rPr>
          <w:rFonts w:hint="default" w:ascii="Times New Roman" w:hAnsi="Times New Roman" w:eastAsia="方正仿宋简体" w:cs="Times New Roman"/>
          <w:color w:val="000000"/>
          <w:sz w:val="32"/>
          <w:szCs w:val="32"/>
          <w:lang w:val="en-US" w:eastAsia="zh-CN"/>
        </w:rPr>
        <w:t>截</w:t>
      </w:r>
      <w:r>
        <w:rPr>
          <w:rFonts w:hint="eastAsia" w:eastAsia="方正仿宋简体" w:cs="Times New Roman"/>
          <w:color w:val="000000"/>
          <w:sz w:val="32"/>
          <w:szCs w:val="32"/>
          <w:lang w:val="en-US" w:eastAsia="zh-CN"/>
        </w:rPr>
        <w:t>止</w:t>
      </w:r>
      <w:r>
        <w:rPr>
          <w:rFonts w:hint="default" w:ascii="Times New Roman" w:hAnsi="Times New Roman" w:eastAsia="方正仿宋简体" w:cs="Times New Roman"/>
          <w:color w:val="000000"/>
          <w:sz w:val="32"/>
          <w:szCs w:val="32"/>
          <w:lang w:val="en-US" w:eastAsia="zh-CN"/>
        </w:rPr>
        <w:t>12月28日，</w:t>
      </w:r>
      <w:r>
        <w:rPr>
          <w:rFonts w:hint="default" w:ascii="Times New Roman" w:hAnsi="Times New Roman" w:eastAsia="方正仿宋简体" w:cs="Times New Roman"/>
          <w:color w:val="000000"/>
          <w:sz w:val="32"/>
          <w:szCs w:val="32"/>
        </w:rPr>
        <w:t>全区</w:t>
      </w:r>
      <w:r>
        <w:rPr>
          <w:rFonts w:hint="default" w:ascii="Times New Roman" w:hAnsi="Times New Roman" w:eastAsia="方正仿宋简体" w:cs="Times New Roman"/>
          <w:color w:val="000000"/>
          <w:sz w:val="32"/>
          <w:szCs w:val="32"/>
          <w:lang w:val="en-US" w:eastAsia="zh-CN"/>
        </w:rPr>
        <w:t>累计接种新冠病毒疫苗205.88万剂次；全区18岁及以上人群加强免疫应接种接种55.11万人，加强免疫接种率为96.53%；全区60岁及以上人群第一剂次接种率100.54%，全程接种率98.53%，加强免疫接种率95.32%。</w:t>
      </w:r>
      <w:r>
        <w:rPr>
          <w:rFonts w:hint="default" w:ascii="Times New Roman" w:hAnsi="Times New Roman" w:eastAsia="方正楷体简体" w:cs="Times New Roman"/>
          <w:b/>
          <w:color w:val="000000"/>
          <w:kern w:val="0"/>
          <w:sz w:val="32"/>
          <w:szCs w:val="32"/>
          <w:lang w:val="en-US" w:eastAsia="zh-CN"/>
        </w:rPr>
        <w:t>二是</w:t>
      </w:r>
      <w:r>
        <w:rPr>
          <w:rFonts w:hint="default" w:ascii="Times New Roman" w:hAnsi="Times New Roman" w:eastAsia="方正楷体简体" w:cs="Times New Roman"/>
          <w:b/>
          <w:color w:val="000000"/>
          <w:kern w:val="0"/>
          <w:sz w:val="32"/>
          <w:szCs w:val="32"/>
        </w:rPr>
        <w:t>加强</w:t>
      </w:r>
      <w:r>
        <w:rPr>
          <w:rFonts w:hint="default" w:ascii="Times New Roman" w:hAnsi="Times New Roman" w:eastAsia="方正楷体简体" w:cs="Times New Roman"/>
          <w:b/>
          <w:color w:val="000000"/>
          <w:kern w:val="0"/>
          <w:sz w:val="32"/>
          <w:szCs w:val="32"/>
          <w:lang w:val="en-US" w:eastAsia="zh-CN"/>
        </w:rPr>
        <w:t>预防接种门诊</w:t>
      </w:r>
      <w:r>
        <w:rPr>
          <w:rFonts w:hint="default" w:ascii="Times New Roman" w:hAnsi="Times New Roman" w:eastAsia="方正楷体简体" w:cs="Times New Roman"/>
          <w:b/>
          <w:color w:val="000000"/>
          <w:kern w:val="0"/>
          <w:sz w:val="32"/>
          <w:szCs w:val="32"/>
        </w:rPr>
        <w:t>管理</w:t>
      </w:r>
      <w:r>
        <w:rPr>
          <w:rFonts w:hint="default" w:ascii="Times New Roman" w:hAnsi="Times New Roman" w:eastAsia="方正楷体简体" w:cs="Times New Roman"/>
          <w:b/>
          <w:color w:val="000000"/>
          <w:kern w:val="0"/>
          <w:sz w:val="32"/>
          <w:szCs w:val="32"/>
          <w:lang w:eastAsia="zh-CN"/>
        </w:rPr>
        <w:t>。</w:t>
      </w:r>
      <w:r>
        <w:rPr>
          <w:rFonts w:hint="default" w:ascii="Times New Roman" w:hAnsi="Times New Roman" w:eastAsia="方正仿宋简体" w:cs="Times New Roman"/>
          <w:color w:val="000000"/>
          <w:kern w:val="0"/>
          <w:sz w:val="32"/>
          <w:szCs w:val="32"/>
          <w:lang w:val="en-US" w:eastAsia="zh-CN"/>
        </w:rPr>
        <w:t>督促指导全区7个预防接种数字化门诊建设，并完成验收；指导全区规范</w:t>
      </w:r>
      <w:r>
        <w:rPr>
          <w:rFonts w:hint="default" w:ascii="Times New Roman" w:hAnsi="Times New Roman" w:eastAsia="方正仿宋简体" w:cs="Times New Roman"/>
          <w:color w:val="000000"/>
          <w:sz w:val="32"/>
          <w:szCs w:val="32"/>
        </w:rPr>
        <w:t>设置常</w:t>
      </w:r>
      <w:r>
        <w:rPr>
          <w:rFonts w:hint="default" w:ascii="Times New Roman" w:hAnsi="Times New Roman" w:eastAsia="方正仿宋简体" w:cs="Times New Roman"/>
          <w:color w:val="000000"/>
          <w:sz w:val="32"/>
          <w:szCs w:val="32"/>
          <w:lang w:val="en-US" w:eastAsia="zh-CN"/>
        </w:rPr>
        <w:t>规儿童</w:t>
      </w:r>
      <w:r>
        <w:rPr>
          <w:rFonts w:hint="default" w:ascii="Times New Roman" w:hAnsi="Times New Roman" w:eastAsia="方正仿宋简体" w:cs="Times New Roman"/>
          <w:color w:val="000000"/>
          <w:sz w:val="32"/>
          <w:szCs w:val="32"/>
        </w:rPr>
        <w:t>预防接种门诊</w:t>
      </w:r>
      <w:r>
        <w:rPr>
          <w:rFonts w:hint="default" w:ascii="Times New Roman" w:hAnsi="Times New Roman" w:eastAsia="方正仿宋简体" w:cs="Times New Roman"/>
          <w:color w:val="000000"/>
          <w:sz w:val="32"/>
          <w:szCs w:val="32"/>
          <w:lang w:val="en-US" w:eastAsia="zh-CN"/>
        </w:rPr>
        <w:t>22</w:t>
      </w:r>
      <w:r>
        <w:rPr>
          <w:rFonts w:hint="default" w:ascii="Times New Roman" w:hAnsi="Times New Roman" w:eastAsia="方正仿宋简体" w:cs="Times New Roman"/>
          <w:color w:val="000000"/>
          <w:sz w:val="32"/>
          <w:szCs w:val="32"/>
        </w:rPr>
        <w:t>个</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其中AAA级及以上门诊17个。</w:t>
      </w:r>
      <w:r>
        <w:rPr>
          <w:rFonts w:hint="default" w:ascii="Times New Roman" w:hAnsi="Times New Roman" w:eastAsia="方正楷体简体" w:cs="Times New Roman"/>
          <w:b/>
          <w:color w:val="000000"/>
          <w:kern w:val="0"/>
          <w:sz w:val="32"/>
          <w:szCs w:val="32"/>
          <w:lang w:val="en-US" w:eastAsia="zh-CN"/>
        </w:rPr>
        <w:t>三是</w:t>
      </w:r>
      <w:r>
        <w:rPr>
          <w:rFonts w:hint="default" w:ascii="Times New Roman" w:hAnsi="Times New Roman" w:eastAsia="方正楷体简体" w:cs="Times New Roman"/>
          <w:b/>
          <w:color w:val="000000"/>
          <w:kern w:val="0"/>
          <w:sz w:val="32"/>
          <w:szCs w:val="32"/>
        </w:rPr>
        <w:t>提高适龄儿童</w:t>
      </w:r>
      <w:r>
        <w:rPr>
          <w:rFonts w:hint="default" w:ascii="Times New Roman" w:hAnsi="Times New Roman" w:eastAsia="方正楷体简体" w:cs="Times New Roman"/>
          <w:b/>
          <w:color w:val="000000"/>
          <w:kern w:val="0"/>
          <w:sz w:val="32"/>
          <w:szCs w:val="32"/>
          <w:lang w:val="en-US" w:eastAsia="zh-CN"/>
        </w:rPr>
        <w:t>国家免疫规划疫苗接种</w:t>
      </w:r>
      <w:r>
        <w:rPr>
          <w:rFonts w:hint="default" w:ascii="Times New Roman" w:hAnsi="Times New Roman" w:eastAsia="方正楷体简体" w:cs="Times New Roman"/>
          <w:b/>
          <w:color w:val="000000"/>
          <w:kern w:val="0"/>
          <w:sz w:val="32"/>
          <w:szCs w:val="32"/>
        </w:rPr>
        <w:t>率</w:t>
      </w:r>
      <w:r>
        <w:rPr>
          <w:rFonts w:hint="default" w:ascii="Times New Roman" w:hAnsi="Times New Roman" w:eastAsia="方正楷体简体" w:cs="Times New Roman"/>
          <w:b/>
          <w:color w:val="000000"/>
          <w:kern w:val="0"/>
          <w:sz w:val="32"/>
          <w:szCs w:val="32"/>
          <w:lang w:eastAsia="zh-CN"/>
        </w:rPr>
        <w:t>。</w:t>
      </w:r>
      <w:r>
        <w:rPr>
          <w:rFonts w:hint="default" w:ascii="Times New Roman" w:hAnsi="Times New Roman" w:eastAsia="方正仿宋简体" w:cs="Times New Roman"/>
          <w:color w:val="000000"/>
          <w:sz w:val="32"/>
          <w:szCs w:val="32"/>
          <w:lang w:val="en-US" w:eastAsia="zh-CN"/>
        </w:rPr>
        <w:t>全区适龄儿童</w:t>
      </w:r>
      <w:r>
        <w:rPr>
          <w:rFonts w:hint="default" w:ascii="Times New Roman" w:hAnsi="Times New Roman" w:eastAsia="方正仿宋简体" w:cs="Times New Roman"/>
          <w:color w:val="000000"/>
          <w:sz w:val="32"/>
          <w:szCs w:val="32"/>
        </w:rPr>
        <w:t>乙肝疫苗首针及时接种率9</w:t>
      </w:r>
      <w:r>
        <w:rPr>
          <w:rFonts w:hint="default" w:ascii="Times New Roman" w:hAnsi="Times New Roman" w:eastAsia="方正仿宋简体" w:cs="Times New Roman"/>
          <w:color w:val="000000"/>
          <w:sz w:val="32"/>
          <w:szCs w:val="32"/>
          <w:lang w:val="en-US" w:eastAsia="zh-CN"/>
        </w:rPr>
        <w:t>8.10</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脊灰疫苗第四剂接种率</w:t>
      </w:r>
      <w:r>
        <w:rPr>
          <w:rFonts w:hint="default" w:ascii="Times New Roman" w:hAnsi="Times New Roman" w:eastAsia="方正仿宋简体" w:cs="Times New Roman"/>
          <w:color w:val="000000"/>
          <w:sz w:val="32"/>
          <w:szCs w:val="32"/>
        </w:rPr>
        <w:t>9</w:t>
      </w:r>
      <w:r>
        <w:rPr>
          <w:rFonts w:hint="default" w:ascii="Times New Roman" w:hAnsi="Times New Roman" w:eastAsia="方正仿宋简体" w:cs="Times New Roman"/>
          <w:color w:val="000000"/>
          <w:sz w:val="32"/>
          <w:szCs w:val="32"/>
          <w:lang w:val="en-US" w:eastAsia="zh-CN"/>
        </w:rPr>
        <w:t>9.05</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val="en-US" w:eastAsia="zh-CN"/>
        </w:rPr>
        <w:t>，乙脑</w:t>
      </w:r>
      <w:r>
        <w:rPr>
          <w:rFonts w:hint="default" w:ascii="Times New Roman" w:hAnsi="Times New Roman" w:eastAsia="方正仿宋简体" w:cs="Times New Roman"/>
          <w:color w:val="000000"/>
          <w:sz w:val="32"/>
          <w:szCs w:val="32"/>
        </w:rPr>
        <w:t>疫苗</w:t>
      </w:r>
      <w:r>
        <w:rPr>
          <w:rFonts w:hint="default" w:ascii="Times New Roman" w:hAnsi="Times New Roman" w:eastAsia="方正仿宋简体" w:cs="Times New Roman"/>
          <w:color w:val="000000"/>
          <w:sz w:val="32"/>
          <w:szCs w:val="32"/>
          <w:lang w:val="en-US" w:eastAsia="zh-CN"/>
        </w:rPr>
        <w:t>第一剂接种率99.52</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甲肝疫苗</w:t>
      </w:r>
      <w:r>
        <w:rPr>
          <w:rFonts w:hint="default" w:ascii="Times New Roman" w:hAnsi="Times New Roman" w:eastAsia="方正仿宋简体" w:cs="Times New Roman"/>
          <w:color w:val="000000"/>
          <w:sz w:val="32"/>
          <w:szCs w:val="32"/>
          <w:lang w:val="en-US" w:eastAsia="zh-CN"/>
        </w:rPr>
        <w:t>接种率</w:t>
      </w:r>
      <w:r>
        <w:rPr>
          <w:rFonts w:hint="default" w:ascii="Times New Roman" w:hAnsi="Times New Roman" w:eastAsia="方正仿宋简体" w:cs="Times New Roman"/>
          <w:color w:val="000000"/>
          <w:sz w:val="32"/>
          <w:szCs w:val="32"/>
        </w:rPr>
        <w:t>9</w:t>
      </w:r>
      <w:r>
        <w:rPr>
          <w:rFonts w:hint="default" w:ascii="Times New Roman" w:hAnsi="Times New Roman" w:eastAsia="方正仿宋简体" w:cs="Times New Roman"/>
          <w:color w:val="000000"/>
          <w:sz w:val="32"/>
          <w:szCs w:val="32"/>
          <w:lang w:val="en-US" w:eastAsia="zh-CN"/>
        </w:rPr>
        <w:t>9.05</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A+C群流脑疫苗第</w:t>
      </w:r>
      <w:r>
        <w:rPr>
          <w:rFonts w:hint="default" w:ascii="Times New Roman" w:hAnsi="Times New Roman" w:eastAsia="方正仿宋简体" w:cs="Times New Roman"/>
          <w:color w:val="000000"/>
          <w:sz w:val="32"/>
          <w:szCs w:val="32"/>
          <w:lang w:val="en-US" w:eastAsia="zh-CN"/>
        </w:rPr>
        <w:t>二</w:t>
      </w:r>
      <w:r>
        <w:rPr>
          <w:rFonts w:hint="default" w:ascii="Times New Roman" w:hAnsi="Times New Roman" w:eastAsia="方正仿宋简体" w:cs="Times New Roman"/>
          <w:color w:val="000000"/>
          <w:sz w:val="32"/>
          <w:szCs w:val="32"/>
        </w:rPr>
        <w:t>剂</w:t>
      </w:r>
      <w:r>
        <w:rPr>
          <w:rFonts w:hint="default" w:ascii="Times New Roman" w:hAnsi="Times New Roman" w:eastAsia="方正仿宋简体" w:cs="Times New Roman"/>
          <w:color w:val="000000"/>
          <w:sz w:val="32"/>
          <w:szCs w:val="32"/>
          <w:lang w:val="en-US" w:eastAsia="zh-CN"/>
        </w:rPr>
        <w:t>接种率</w:t>
      </w:r>
      <w:r>
        <w:rPr>
          <w:rFonts w:hint="default" w:ascii="Times New Roman" w:hAnsi="Times New Roman" w:eastAsia="方正仿宋简体" w:cs="Times New Roman"/>
          <w:color w:val="000000"/>
          <w:sz w:val="32"/>
          <w:szCs w:val="32"/>
        </w:rPr>
        <w:t>9</w:t>
      </w:r>
      <w:r>
        <w:rPr>
          <w:rFonts w:hint="default" w:ascii="Times New Roman" w:hAnsi="Times New Roman" w:eastAsia="方正仿宋简体" w:cs="Times New Roman"/>
          <w:color w:val="000000"/>
          <w:sz w:val="32"/>
          <w:szCs w:val="32"/>
          <w:lang w:val="en-US" w:eastAsia="zh-CN"/>
        </w:rPr>
        <w:t>6.67</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白破</w:t>
      </w:r>
      <w:r>
        <w:rPr>
          <w:rFonts w:hint="default" w:ascii="Times New Roman" w:hAnsi="Times New Roman" w:eastAsia="方正仿宋简体" w:cs="Times New Roman"/>
          <w:color w:val="000000"/>
          <w:sz w:val="32"/>
          <w:szCs w:val="32"/>
        </w:rPr>
        <w:t>疫苗</w:t>
      </w:r>
      <w:r>
        <w:rPr>
          <w:rFonts w:hint="default" w:ascii="Times New Roman" w:hAnsi="Times New Roman" w:eastAsia="方正仿宋简体" w:cs="Times New Roman"/>
          <w:color w:val="000000"/>
          <w:sz w:val="32"/>
          <w:szCs w:val="32"/>
          <w:lang w:val="en-US" w:eastAsia="zh-CN"/>
        </w:rPr>
        <w:t>接种率</w:t>
      </w:r>
      <w:r>
        <w:rPr>
          <w:rFonts w:hint="default" w:ascii="Times New Roman" w:hAnsi="Times New Roman" w:eastAsia="方正仿宋简体" w:cs="Times New Roman"/>
          <w:color w:val="000000"/>
          <w:sz w:val="32"/>
          <w:szCs w:val="32"/>
        </w:rPr>
        <w:t>9</w:t>
      </w:r>
      <w:r>
        <w:rPr>
          <w:rFonts w:hint="default" w:ascii="Times New Roman" w:hAnsi="Times New Roman" w:eastAsia="方正仿宋简体" w:cs="Times New Roman"/>
          <w:color w:val="000000"/>
          <w:sz w:val="32"/>
          <w:szCs w:val="32"/>
          <w:lang w:val="en-US" w:eastAsia="zh-CN"/>
        </w:rPr>
        <w:t>8.10</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其余国家免疫规划疫苗报告接种率均在90%以上，达到上级要求指标。</w:t>
      </w:r>
      <w:r>
        <w:rPr>
          <w:rFonts w:hint="default" w:ascii="Times New Roman" w:hAnsi="Times New Roman" w:eastAsia="方正楷体简体" w:cs="Times New Roman"/>
          <w:b/>
          <w:color w:val="000000"/>
          <w:sz w:val="32"/>
          <w:szCs w:val="32"/>
          <w:lang w:val="en-US" w:eastAsia="zh-CN"/>
        </w:rPr>
        <w:t>四是</w:t>
      </w:r>
      <w:r>
        <w:rPr>
          <w:rFonts w:hint="default" w:ascii="Times New Roman" w:hAnsi="Times New Roman" w:eastAsia="方正楷体简体" w:cs="Times New Roman"/>
          <w:b/>
          <w:color w:val="000000"/>
          <w:sz w:val="32"/>
          <w:szCs w:val="32"/>
        </w:rPr>
        <w:t>提高监测系统的敏感性和及时性</w:t>
      </w:r>
      <w:r>
        <w:rPr>
          <w:rFonts w:hint="default" w:ascii="Times New Roman" w:hAnsi="Times New Roman" w:eastAsia="方正楷体简体" w:cs="Times New Roman"/>
          <w:b/>
          <w:color w:val="000000"/>
          <w:sz w:val="32"/>
          <w:szCs w:val="32"/>
          <w:lang w:eastAsia="zh-CN"/>
        </w:rPr>
        <w:t>。</w:t>
      </w:r>
      <w:r>
        <w:rPr>
          <w:rFonts w:hint="default" w:ascii="Times New Roman" w:hAnsi="Times New Roman" w:eastAsia="方正仿宋简体" w:cs="Times New Roman"/>
          <w:color w:val="000000"/>
          <w:sz w:val="32"/>
          <w:szCs w:val="32"/>
        </w:rPr>
        <w:t>无漏报、迟报监测病例，</w:t>
      </w:r>
      <w:r>
        <w:rPr>
          <w:rFonts w:hint="default" w:ascii="Times New Roman" w:hAnsi="Times New Roman" w:eastAsia="方正仿宋简体" w:cs="Times New Roman"/>
          <w:color w:val="000000"/>
          <w:sz w:val="32"/>
          <w:szCs w:val="32"/>
          <w:lang w:val="en-US" w:eastAsia="zh-CN"/>
        </w:rPr>
        <w:t>各项监测指标均达到相关监测方案要求，</w:t>
      </w:r>
      <w:r>
        <w:rPr>
          <w:rFonts w:hint="default" w:ascii="Times New Roman" w:hAnsi="Times New Roman" w:eastAsia="方正仿宋简体" w:cs="Times New Roman"/>
          <w:color w:val="000000"/>
          <w:sz w:val="32"/>
          <w:szCs w:val="32"/>
        </w:rPr>
        <w:t>全区无</w:t>
      </w:r>
      <w:r>
        <w:rPr>
          <w:rFonts w:hint="default" w:ascii="Times New Roman" w:hAnsi="Times New Roman" w:eastAsia="方正仿宋简体" w:cs="Times New Roman"/>
          <w:color w:val="000000"/>
          <w:sz w:val="32"/>
          <w:szCs w:val="32"/>
          <w:lang w:val="en-US" w:eastAsia="zh-CN"/>
        </w:rPr>
        <w:t>流脑、乙脑病例报告，无</w:t>
      </w:r>
      <w:r>
        <w:rPr>
          <w:rFonts w:hint="default" w:ascii="Times New Roman" w:hAnsi="Times New Roman" w:eastAsia="方正仿宋简体" w:cs="Times New Roman"/>
          <w:color w:val="000000"/>
          <w:sz w:val="32"/>
          <w:szCs w:val="32"/>
        </w:rPr>
        <w:t>疫苗针对性传染病暴发疫情发生，</w:t>
      </w:r>
      <w:r>
        <w:rPr>
          <w:rFonts w:hint="default" w:ascii="Times New Roman" w:hAnsi="Times New Roman" w:eastAsia="方正仿宋简体" w:cs="Times New Roman"/>
          <w:color w:val="000000"/>
          <w:sz w:val="32"/>
          <w:szCs w:val="32"/>
          <w:lang w:val="en-US" w:eastAsia="zh-CN"/>
        </w:rPr>
        <w:t>也</w:t>
      </w:r>
      <w:r>
        <w:rPr>
          <w:rFonts w:hint="default" w:ascii="Times New Roman" w:hAnsi="Times New Roman" w:eastAsia="方正仿宋简体" w:cs="Times New Roman"/>
          <w:color w:val="000000"/>
          <w:sz w:val="32"/>
          <w:szCs w:val="32"/>
        </w:rPr>
        <w:t>无群体性预防接种异常反应和预防接种事故发生。</w:t>
      </w:r>
      <w:r>
        <w:rPr>
          <w:rFonts w:hint="default" w:ascii="Times New Roman" w:hAnsi="Times New Roman" w:eastAsia="方正楷体简体" w:cs="Times New Roman"/>
          <w:b/>
          <w:color w:val="000000"/>
          <w:kern w:val="0"/>
          <w:sz w:val="32"/>
          <w:szCs w:val="32"/>
          <w:lang w:val="en-US" w:eastAsia="zh-CN"/>
        </w:rPr>
        <w:t>五是强化乙肝疫苗和麻腮风疫苗补种。</w:t>
      </w:r>
      <w:r>
        <w:rPr>
          <w:rFonts w:hint="default" w:ascii="Times New Roman" w:hAnsi="Times New Roman" w:eastAsia="方正仿宋简体" w:cs="Times New Roman"/>
          <w:color w:val="000000"/>
          <w:kern w:val="2"/>
          <w:sz w:val="32"/>
          <w:szCs w:val="32"/>
          <w:lang w:val="en-US" w:eastAsia="zh-CN" w:bidi="ar-SA"/>
        </w:rPr>
        <w:t xml:space="preserve">全区1-7岁人群共摸底登记66099人，其中乙肝疫苗补种率为97.39% </w:t>
      </w:r>
      <w:r>
        <w:rPr>
          <w:rFonts w:hint="eastAsia" w:eastAsia="方正仿宋简体" w:cs="Times New Roman"/>
          <w:color w:val="000000"/>
          <w:kern w:val="2"/>
          <w:sz w:val="32"/>
          <w:szCs w:val="32"/>
          <w:lang w:val="en-US" w:eastAsia="zh-CN" w:bidi="ar-SA"/>
        </w:rPr>
        <w:t>，</w:t>
      </w:r>
      <w:r>
        <w:rPr>
          <w:rFonts w:hint="default" w:ascii="Times New Roman" w:hAnsi="Times New Roman" w:eastAsia="方正仿宋简体" w:cs="Times New Roman"/>
          <w:color w:val="000000"/>
          <w:kern w:val="2"/>
          <w:sz w:val="32"/>
          <w:szCs w:val="32"/>
          <w:lang w:val="en-US" w:eastAsia="zh-CN" w:bidi="ar-SA"/>
        </w:rPr>
        <w:t>麻腮风疫苗补种率为95.94% ，均达到上级≥95.00%的考核要求。</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（5）卫生监测</w:t>
      </w:r>
    </w:p>
    <w:p>
      <w:pPr>
        <w:keepNext w:val="0"/>
        <w:keepLines w:val="0"/>
        <w:pageBreakBefore w:val="0"/>
        <w:kinsoku/>
        <w:wordWrap/>
        <w:overflowPunct/>
        <w:topLinePunct w:val="0"/>
        <w:autoSpaceDE/>
        <w:autoSpaceDN/>
        <w:bidi w:val="0"/>
        <w:spacing w:line="600" w:lineRule="exact"/>
        <w:ind w:firstLine="643"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sz w:val="32"/>
          <w:szCs w:val="32"/>
        </w:rPr>
        <w:t>饮用水卫生监测</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bCs/>
          <w:sz w:val="32"/>
          <w:szCs w:val="32"/>
          <w:lang w:val="en-US" w:eastAsia="zh-CN"/>
        </w:rPr>
        <w:t>一是</w:t>
      </w:r>
      <w:r>
        <w:rPr>
          <w:rFonts w:hint="default" w:ascii="Times New Roman" w:hAnsi="Times New Roman" w:eastAsia="方正仿宋简体" w:cs="Times New Roman"/>
          <w:sz w:val="32"/>
          <w:szCs w:val="32"/>
          <w:lang w:val="en-US" w:eastAsia="zh-CN"/>
        </w:rPr>
        <w:t>完成农村饮水安全工程监测工作。按照监测方案要求完成了17个乡镇、44个监测点、88件样品的采集、检测、数据汇总。水质监测完成率100%，合格率94%。</w:t>
      </w:r>
      <w:r>
        <w:rPr>
          <w:rFonts w:hint="default" w:ascii="Times New Roman" w:hAnsi="Times New Roman" w:eastAsia="方正仿宋简体" w:cs="Times New Roman"/>
          <w:b/>
          <w:bCs/>
          <w:sz w:val="32"/>
          <w:szCs w:val="32"/>
          <w:lang w:val="en-US" w:eastAsia="zh-CN"/>
        </w:rPr>
        <w:t>二是</w:t>
      </w:r>
      <w:r>
        <w:rPr>
          <w:rFonts w:hint="default" w:ascii="Times New Roman" w:hAnsi="Times New Roman" w:eastAsia="方正仿宋简体" w:cs="Times New Roman"/>
          <w:sz w:val="32"/>
          <w:szCs w:val="32"/>
          <w:lang w:val="en-US" w:eastAsia="zh-CN"/>
        </w:rPr>
        <w:t>完成人大代表票决制民生实事项目—健康安全保障行动（水质监测）的水质监测工作。完成3大片区水厂每季度一次的“常规水”水质监测，采集水样67件，合格67件，合格率100%，水样监测完成率100%。</w:t>
      </w:r>
      <w:r>
        <w:rPr>
          <w:rFonts w:hint="default" w:ascii="Times New Roman" w:hAnsi="Times New Roman" w:eastAsia="方正仿宋简体" w:cs="Times New Roman"/>
          <w:b/>
          <w:bCs/>
          <w:sz w:val="32"/>
          <w:szCs w:val="32"/>
          <w:lang w:val="en-US" w:eastAsia="zh-CN"/>
        </w:rPr>
        <w:t>三是</w:t>
      </w:r>
      <w:r>
        <w:rPr>
          <w:rFonts w:hint="default" w:ascii="Times New Roman" w:hAnsi="Times New Roman" w:eastAsia="方正仿宋简体" w:cs="Times New Roman"/>
          <w:sz w:val="32"/>
          <w:szCs w:val="32"/>
          <w:lang w:val="en-US" w:eastAsia="zh-CN"/>
        </w:rPr>
        <w:t>完成辖区内28所使用自备水源中小学校的水质监测，采集水样28件，监测完成率100%。</w:t>
      </w:r>
      <w:r>
        <w:rPr>
          <w:rFonts w:hint="default" w:ascii="Times New Roman" w:hAnsi="Times New Roman" w:eastAsia="方正仿宋简体" w:cs="Times New Roman"/>
          <w:b/>
          <w:bCs/>
          <w:sz w:val="32"/>
          <w:szCs w:val="32"/>
          <w:lang w:val="en-US" w:eastAsia="zh-CN"/>
        </w:rPr>
        <w:t>四是</w:t>
      </w:r>
      <w:r>
        <w:rPr>
          <w:rFonts w:hint="default" w:ascii="Times New Roman" w:hAnsi="Times New Roman" w:eastAsia="方正仿宋简体" w:cs="Times New Roman"/>
          <w:sz w:val="32"/>
          <w:szCs w:val="32"/>
          <w:lang w:val="en-US" w:eastAsia="zh-CN"/>
        </w:rPr>
        <w:t>完成农村自备井及二次供水监测89家，合格65家，合格率73.03%。</w:t>
      </w:r>
    </w:p>
    <w:p>
      <w:pPr>
        <w:keepNext w:val="0"/>
        <w:keepLines w:val="0"/>
        <w:pageBreakBefore w:val="0"/>
        <w:kinsoku/>
        <w:wordWrap/>
        <w:overflowPunct/>
        <w:topLinePunct w:val="0"/>
        <w:autoSpaceDE/>
        <w:autoSpaceDN/>
        <w:bidi w:val="0"/>
        <w:spacing w:line="600" w:lineRule="exact"/>
        <w:ind w:firstLine="643"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sz w:val="32"/>
          <w:szCs w:val="32"/>
          <w:lang w:val="en-US" w:eastAsia="zh-CN"/>
        </w:rPr>
        <w:t>公共</w:t>
      </w:r>
      <w:r>
        <w:rPr>
          <w:rFonts w:hint="default" w:ascii="Times New Roman" w:hAnsi="Times New Roman" w:eastAsia="方正仿宋简体" w:cs="Times New Roman"/>
          <w:b/>
          <w:sz w:val="32"/>
          <w:szCs w:val="32"/>
        </w:rPr>
        <w:t>场所监测</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sz w:val="32"/>
          <w:szCs w:val="32"/>
          <w:lang w:val="en-US" w:eastAsia="zh-CN"/>
        </w:rPr>
        <w:t>根据四川省卫生健康委员会办公室关于印发《2022年四川省城乡饮用水水质监测工作方案等5个方案》（川卫办疾控便函〔2022〕31号）的通知要求，完成双随机公共场所监测</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合格率80.85%。</w:t>
      </w:r>
    </w:p>
    <w:p>
      <w:pPr>
        <w:keepNext w:val="0"/>
        <w:keepLines w:val="0"/>
        <w:pageBreakBefore w:val="0"/>
        <w:kinsoku/>
        <w:wordWrap/>
        <w:overflowPunct/>
        <w:topLinePunct w:val="0"/>
        <w:autoSpaceDE/>
        <w:autoSpaceDN/>
        <w:bidi w:val="0"/>
        <w:spacing w:line="600" w:lineRule="exact"/>
        <w:ind w:firstLine="643" w:firstLineChars="200"/>
        <w:jc w:val="lef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sz w:val="32"/>
          <w:szCs w:val="32"/>
        </w:rPr>
        <w:t>病媒生物防制</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color w:val="000000"/>
          <w:sz w:val="32"/>
          <w:szCs w:val="32"/>
        </w:rPr>
        <w:t>为推进资阳市创建国家</w:t>
      </w:r>
      <w:r>
        <w:rPr>
          <w:rFonts w:hint="default" w:ascii="Times New Roman" w:hAnsi="Times New Roman" w:eastAsia="方正仿宋简体" w:cs="Times New Roman"/>
          <w:color w:val="000000"/>
          <w:sz w:val="32"/>
          <w:szCs w:val="32"/>
          <w:lang w:val="en-US" w:eastAsia="zh-CN"/>
        </w:rPr>
        <w:t>文明</w:t>
      </w:r>
      <w:r>
        <w:rPr>
          <w:rFonts w:hint="default" w:ascii="Times New Roman" w:hAnsi="Times New Roman" w:eastAsia="方正仿宋简体" w:cs="Times New Roman"/>
          <w:color w:val="000000"/>
          <w:sz w:val="32"/>
          <w:szCs w:val="32"/>
        </w:rPr>
        <w:t>城市工作，围绕“政府组织、地方负责、部门协调、群众参与、科学监督、分类指导”的爱国卫生工作方针，</w:t>
      </w:r>
      <w:r>
        <w:rPr>
          <w:rFonts w:hint="default" w:ascii="Times New Roman" w:hAnsi="Times New Roman" w:eastAsia="方正仿宋简体" w:cs="Times New Roman"/>
          <w:color w:val="000000"/>
          <w:sz w:val="32"/>
          <w:szCs w:val="32"/>
          <w:lang w:eastAsia="zh-CN"/>
        </w:rPr>
        <w:t>督导</w:t>
      </w:r>
      <w:r>
        <w:rPr>
          <w:rFonts w:hint="default" w:ascii="Times New Roman" w:hAnsi="Times New Roman" w:eastAsia="方正仿宋简体" w:cs="Times New Roman"/>
          <w:color w:val="000000"/>
          <w:sz w:val="32"/>
          <w:szCs w:val="32"/>
        </w:rPr>
        <w:t>第三方消杀公司对“三镇</w:t>
      </w:r>
      <w:r>
        <w:rPr>
          <w:rFonts w:hint="default" w:ascii="Times New Roman" w:hAnsi="Times New Roman" w:eastAsia="方正仿宋简体" w:cs="Times New Roman"/>
          <w:color w:val="000000"/>
          <w:sz w:val="32"/>
          <w:szCs w:val="32"/>
          <w:lang w:val="en-US" w:eastAsia="zh-CN"/>
        </w:rPr>
        <w:t>五</w:t>
      </w:r>
      <w:r>
        <w:rPr>
          <w:rFonts w:hint="default" w:ascii="Times New Roman" w:hAnsi="Times New Roman" w:eastAsia="方正仿宋简体" w:cs="Times New Roman"/>
          <w:color w:val="000000"/>
          <w:sz w:val="32"/>
          <w:szCs w:val="32"/>
        </w:rPr>
        <w:t>处”的城中村、农贸市场、垃圾中转站等进行消杀，定期开展四害密度监测，四害密度得到了有效控制。</w:t>
      </w:r>
    </w:p>
    <w:p>
      <w:pPr>
        <w:keepNext w:val="0"/>
        <w:keepLines w:val="0"/>
        <w:pageBreakBefore w:val="0"/>
        <w:kinsoku/>
        <w:wordWrap/>
        <w:overflowPunct/>
        <w:topLinePunct w:val="0"/>
        <w:autoSpaceDE/>
        <w:autoSpaceDN/>
        <w:bidi w:val="0"/>
        <w:spacing w:line="600" w:lineRule="exact"/>
        <w:ind w:firstLine="643"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sz w:val="32"/>
          <w:szCs w:val="32"/>
        </w:rPr>
        <w:t>食源性疾病监测</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color w:val="000000"/>
          <w:sz w:val="32"/>
          <w:szCs w:val="32"/>
        </w:rPr>
        <w:t>按照《20</w:t>
      </w:r>
      <w:r>
        <w:rPr>
          <w:rFonts w:hint="default" w:ascii="Times New Roman" w:hAnsi="Times New Roman" w:eastAsia="方正仿宋简体" w:cs="Times New Roman"/>
          <w:color w:val="000000"/>
          <w:sz w:val="32"/>
          <w:szCs w:val="32"/>
          <w:lang w:val="en-US" w:eastAsia="zh-CN"/>
        </w:rPr>
        <w:t>22</w:t>
      </w:r>
      <w:r>
        <w:rPr>
          <w:rFonts w:hint="default" w:ascii="Times New Roman" w:hAnsi="Times New Roman" w:eastAsia="方正仿宋简体" w:cs="Times New Roman"/>
          <w:color w:val="000000"/>
          <w:sz w:val="32"/>
          <w:szCs w:val="32"/>
        </w:rPr>
        <w:t>年四川省食品安全风险监测工作手册》对哨点医院开</w:t>
      </w:r>
      <w:r>
        <w:rPr>
          <w:rFonts w:hint="default" w:ascii="Times New Roman" w:hAnsi="Times New Roman" w:eastAsia="方正仿宋简体" w:cs="Times New Roman"/>
          <w:sz w:val="32"/>
          <w:szCs w:val="32"/>
        </w:rPr>
        <w:t>展督导检查、辖区监测信息的审核汇总分析和报告、开展食源性疾病流行病学调查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1-12月辖区内未发生食源性疾病病例。</w:t>
      </w:r>
    </w:p>
    <w:p>
      <w:pPr>
        <w:keepNext w:val="0"/>
        <w:keepLines w:val="0"/>
        <w:pageBreakBefore w:val="0"/>
        <w:kinsoku/>
        <w:wordWrap/>
        <w:overflowPunct/>
        <w:topLinePunct w:val="0"/>
        <w:autoSpaceDE/>
        <w:autoSpaceDN/>
        <w:bidi w:val="0"/>
        <w:spacing w:line="600"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学校教学与生活环境卫生监测工作</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bCs/>
          <w:sz w:val="32"/>
          <w:szCs w:val="32"/>
          <w:lang w:val="en-US" w:eastAsia="zh-CN"/>
        </w:rPr>
        <w:t>一是</w:t>
      </w:r>
      <w:r>
        <w:rPr>
          <w:rFonts w:hint="default" w:ascii="Times New Roman" w:hAnsi="Times New Roman" w:eastAsia="方正仿宋简体" w:cs="Times New Roman"/>
          <w:sz w:val="32"/>
          <w:szCs w:val="32"/>
        </w:rPr>
        <w:t>完成对辖区内</w:t>
      </w:r>
      <w:r>
        <w:rPr>
          <w:rFonts w:hint="default" w:ascii="Times New Roman" w:hAnsi="Times New Roman" w:eastAsia="方正仿宋简体" w:cs="Times New Roman"/>
          <w:sz w:val="32"/>
          <w:szCs w:val="32"/>
          <w:lang w:val="en-US" w:eastAsia="zh-CN"/>
        </w:rPr>
        <w:t>19</w:t>
      </w:r>
      <w:r>
        <w:rPr>
          <w:rFonts w:hint="default" w:ascii="Times New Roman" w:hAnsi="Times New Roman" w:eastAsia="方正仿宋简体" w:cs="Times New Roman"/>
          <w:sz w:val="32"/>
          <w:szCs w:val="32"/>
        </w:rPr>
        <w:t>所</w:t>
      </w:r>
      <w:r>
        <w:rPr>
          <w:rFonts w:hint="default" w:ascii="Times New Roman" w:hAnsi="Times New Roman" w:eastAsia="方正仿宋简体" w:cs="Times New Roman"/>
          <w:sz w:val="32"/>
          <w:szCs w:val="32"/>
          <w:lang w:val="en-US" w:eastAsia="zh-CN"/>
        </w:rPr>
        <w:t>学校76</w:t>
      </w:r>
      <w:r>
        <w:rPr>
          <w:rFonts w:hint="default" w:ascii="Times New Roman" w:hAnsi="Times New Roman" w:eastAsia="方正仿宋简体" w:cs="Times New Roman"/>
          <w:sz w:val="32"/>
          <w:szCs w:val="32"/>
        </w:rPr>
        <w:t>间教室中小学校的采光、照明、噪声、微小气候、黑板等环境健康影响因素监测工作，监测完成率100%。</w:t>
      </w:r>
      <w:r>
        <w:rPr>
          <w:rFonts w:hint="default" w:ascii="Times New Roman" w:hAnsi="Times New Roman" w:eastAsia="方正仿宋简体" w:cs="Times New Roman"/>
          <w:b/>
          <w:bCs/>
          <w:sz w:val="32"/>
          <w:szCs w:val="32"/>
          <w:lang w:val="en-US" w:eastAsia="zh-CN"/>
        </w:rPr>
        <w:t>二是</w:t>
      </w:r>
      <w:r>
        <w:rPr>
          <w:rFonts w:hint="default" w:ascii="Times New Roman" w:hAnsi="Times New Roman" w:eastAsia="方正仿宋简体" w:cs="Times New Roman"/>
          <w:sz w:val="32"/>
          <w:szCs w:val="32"/>
          <w:lang w:val="en-US" w:eastAsia="zh-CN"/>
        </w:rPr>
        <w:t>完成</w:t>
      </w:r>
      <w:r>
        <w:rPr>
          <w:rFonts w:hint="default" w:ascii="Times New Roman" w:hAnsi="Times New Roman" w:eastAsia="方正仿宋简体" w:cs="Times New Roman"/>
          <w:sz w:val="32"/>
          <w:szCs w:val="32"/>
        </w:rPr>
        <w:t>对全区雁江区</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所学校（2所幼儿园、2所小学、2所初中、2所高中、1所职高、1所综合性大学）学生常见病监测，</w:t>
      </w:r>
      <w:r>
        <w:rPr>
          <w:rFonts w:hint="default" w:ascii="Times New Roman" w:hAnsi="Times New Roman" w:eastAsia="方正仿宋简体" w:cs="Times New Roman"/>
          <w:sz w:val="32"/>
          <w:szCs w:val="32"/>
          <w:lang w:val="en-US" w:eastAsia="zh-CN"/>
        </w:rPr>
        <w:t>合计</w:t>
      </w:r>
      <w:r>
        <w:rPr>
          <w:rFonts w:hint="default" w:ascii="Times New Roman" w:hAnsi="Times New Roman" w:eastAsia="方正仿宋简体" w:cs="Times New Roman"/>
          <w:sz w:val="32"/>
          <w:szCs w:val="32"/>
        </w:rPr>
        <w:t>监测学生3081人。</w:t>
      </w:r>
      <w:r>
        <w:rPr>
          <w:rFonts w:hint="default" w:ascii="Times New Roman" w:hAnsi="Times New Roman" w:eastAsia="方正仿宋简体" w:cs="Times New Roman"/>
          <w:b/>
          <w:bCs/>
          <w:sz w:val="32"/>
          <w:szCs w:val="32"/>
          <w:lang w:val="en-US" w:eastAsia="zh-CN"/>
        </w:rPr>
        <w:t>三是</w:t>
      </w:r>
      <w:r>
        <w:rPr>
          <w:rFonts w:hint="default" w:ascii="Times New Roman" w:hAnsi="Times New Roman" w:eastAsia="方正仿宋简体" w:cs="Times New Roman"/>
          <w:sz w:val="32"/>
          <w:szCs w:val="32"/>
        </w:rPr>
        <w:t>完成7所学42间校教学环境监测，</w:t>
      </w:r>
      <w:r>
        <w:rPr>
          <w:rFonts w:hint="default" w:ascii="Times New Roman" w:hAnsi="Times New Roman" w:eastAsia="方正仿宋简体" w:cs="Times New Roman"/>
          <w:sz w:val="32"/>
          <w:szCs w:val="32"/>
          <w:lang w:val="en-US" w:eastAsia="zh-CN"/>
        </w:rPr>
        <w:t>完成率100%。</w:t>
      </w:r>
      <w:r>
        <w:rPr>
          <w:rFonts w:hint="default" w:ascii="Times New Roman" w:hAnsi="Times New Roman" w:eastAsia="方正仿宋简体" w:cs="Times New Roman"/>
          <w:sz w:val="32"/>
          <w:szCs w:val="32"/>
        </w:rPr>
        <w:t xml:space="preserve">  </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（6）慢性病综合防治与基本公共卫生服务</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通过与死因监测系统数据对比及时清理了死亡档案，通过电话和走访核实及时完善和更新档案信息，</w:t>
      </w:r>
      <w:r>
        <w:rPr>
          <w:rFonts w:hint="default" w:ascii="Times New Roman" w:hAnsi="Times New Roman" w:eastAsia="方正仿宋简体" w:cs="Times New Roman"/>
          <w:sz w:val="32"/>
          <w:szCs w:val="32"/>
          <w:lang w:val="en-US" w:eastAsia="zh-CN"/>
        </w:rPr>
        <w:t>进一步提高</w:t>
      </w:r>
      <w:r>
        <w:rPr>
          <w:rFonts w:hint="default" w:ascii="Times New Roman" w:hAnsi="Times New Roman" w:eastAsia="方正仿宋简体" w:cs="Times New Roman"/>
          <w:sz w:val="32"/>
          <w:szCs w:val="32"/>
        </w:rPr>
        <w:t>健康档案规范率</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全区建档率</w:t>
      </w:r>
      <w:r>
        <w:rPr>
          <w:rFonts w:hint="eastAsia" w:eastAsia="方正仿宋简体" w:cs="Times New Roman"/>
          <w:sz w:val="32"/>
          <w:szCs w:val="32"/>
          <w:lang w:val="en-US" w:eastAsia="zh-CN"/>
        </w:rPr>
        <w:t>为</w:t>
      </w:r>
      <w:r>
        <w:rPr>
          <w:rFonts w:hint="default" w:ascii="Times New Roman" w:hAnsi="Times New Roman" w:eastAsia="方正仿宋简体" w:cs="Times New Roman"/>
          <w:sz w:val="32"/>
          <w:szCs w:val="32"/>
        </w:rPr>
        <w:t>94.33%。</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稳步推进全区65岁以上老年人免费健康体检工作，全区开展老年人免费健康体检80303人，较2021年增长7000余人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基层医疗卫生单位能针对体检结果对服务对象进行健康指导，老年人健康体检信息和档案信息逐步完善，老年人对体检服务的认可度</w:t>
      </w:r>
      <w:r>
        <w:rPr>
          <w:rFonts w:hint="default" w:ascii="Times New Roman" w:hAnsi="Times New Roman" w:eastAsia="方正仿宋简体" w:cs="Times New Roman"/>
          <w:sz w:val="32"/>
          <w:szCs w:val="32"/>
          <w:lang w:val="en-US" w:eastAsia="zh-CN"/>
        </w:rPr>
        <w:t>有所提高</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慢性病患者健康管理数据稳步提升，我区管理原发性高血压患者任务完成率100.35%；管理2型糖尿病患者任务完成率101.75%。</w:t>
      </w:r>
      <w:r>
        <w:rPr>
          <w:rFonts w:hint="default" w:ascii="Times New Roman" w:hAnsi="Times New Roman" w:eastAsia="方正仿宋简体" w:cs="Times New Roman"/>
          <w:b/>
          <w:bCs/>
          <w:sz w:val="32"/>
          <w:szCs w:val="32"/>
          <w:lang w:val="en-US" w:eastAsia="zh-CN"/>
        </w:rPr>
        <w:t>四是</w:t>
      </w:r>
      <w:r>
        <w:rPr>
          <w:rFonts w:hint="default" w:ascii="Times New Roman" w:hAnsi="Times New Roman" w:eastAsia="方正仿宋简体" w:cs="Times New Roman"/>
          <w:sz w:val="32"/>
          <w:szCs w:val="32"/>
        </w:rPr>
        <w:t>我区死因、肿瘤监测工作能力稳步提升，</w:t>
      </w:r>
      <w:r>
        <w:rPr>
          <w:rFonts w:hint="default" w:ascii="Times New Roman" w:hAnsi="Times New Roman" w:eastAsia="方正仿宋简体" w:cs="Times New Roman"/>
          <w:sz w:val="32"/>
          <w:szCs w:val="32"/>
          <w:lang w:val="en-US" w:eastAsia="zh-CN"/>
        </w:rPr>
        <w:t>作为</w:t>
      </w:r>
      <w:r>
        <w:rPr>
          <w:rFonts w:hint="default" w:ascii="Times New Roman" w:hAnsi="Times New Roman" w:eastAsia="方正仿宋简体" w:cs="Times New Roman"/>
          <w:sz w:val="32"/>
          <w:szCs w:val="32"/>
        </w:rPr>
        <w:t>国家级肿瘤监测点，肿瘤报告发病率226.95/10万，肿瘤报告死亡率146.51/10万，全人群死因登记报告粗死亡率378.55 / 10万，年终指标均可达到省、市要求。</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（7）健康教育与健康促进</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color w:val="000000"/>
          <w:kern w:val="0"/>
          <w:sz w:val="32"/>
          <w:szCs w:val="32"/>
          <w:lang w:val="en-US" w:eastAsia="zh-CN"/>
        </w:rPr>
      </w:pPr>
      <w:r>
        <w:rPr>
          <w:rFonts w:hint="default" w:ascii="Times New Roman" w:hAnsi="Times New Roman" w:eastAsia="方正仿宋简体" w:cs="Times New Roman"/>
          <w:sz w:val="32"/>
          <w:szCs w:val="32"/>
        </w:rPr>
        <w:t>截</w:t>
      </w:r>
      <w:r>
        <w:rPr>
          <w:rFonts w:hint="eastAsia" w:eastAsia="方正仿宋简体" w:cs="Times New Roman"/>
          <w:sz w:val="32"/>
          <w:szCs w:val="32"/>
          <w:lang w:eastAsia="zh-CN"/>
        </w:rPr>
        <w:t>止</w:t>
      </w:r>
      <w:r>
        <w:rPr>
          <w:rFonts w:hint="default" w:ascii="Times New Roman" w:hAnsi="Times New Roman" w:eastAsia="方正仿宋简体" w:cs="Times New Roman"/>
          <w:sz w:val="32"/>
          <w:szCs w:val="32"/>
        </w:rPr>
        <w:t>2022年12月21日，全区累计印制健康教育印刷材料551种，发放37万余份；播放音像材料619种，合19887小时；规范设置健康教育宣传栏385个，每2个月定期更换宣传栏内容；举办健康教育讲座948次，累计受益40779人次；开展健康咨询活动244次，累计受益31132人次</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雁江疾控</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微信平台</w:t>
      </w:r>
      <w:r>
        <w:rPr>
          <w:rFonts w:hint="default" w:ascii="Times New Roman" w:hAnsi="Times New Roman" w:eastAsia="方正仿宋简体" w:cs="Times New Roman"/>
          <w:color w:val="000000"/>
          <w:kern w:val="0"/>
          <w:sz w:val="32"/>
          <w:szCs w:val="32"/>
          <w:lang w:val="en-US" w:eastAsia="zh-CN"/>
        </w:rPr>
        <w:t>及时推送健康知识800余条，阅读次数达1408373人次。</w:t>
      </w:r>
    </w:p>
    <w:p>
      <w:pPr>
        <w:pStyle w:val="2"/>
        <w:keepNext w:val="0"/>
        <w:keepLines w:val="0"/>
        <w:pageBreakBefore w:val="0"/>
        <w:kinsoku/>
        <w:wordWrap/>
        <w:overflowPunct/>
        <w:topLinePunct w:val="0"/>
        <w:autoSpaceDE/>
        <w:autoSpaceDN/>
        <w:bidi w:val="0"/>
        <w:spacing w:line="600" w:lineRule="exact"/>
        <w:ind w:firstLine="643"/>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（8）检验检测</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kern w:val="0"/>
          <w:sz w:val="32"/>
          <w:szCs w:val="32"/>
          <w:lang w:val="en-US" w:eastAsia="zh-CN"/>
        </w:rPr>
        <w:t>中心检验科</w:t>
      </w:r>
      <w:r>
        <w:rPr>
          <w:rFonts w:hint="default" w:ascii="Times New Roman" w:hAnsi="Times New Roman" w:eastAsia="方正仿宋简体" w:cs="Times New Roman"/>
          <w:kern w:val="0"/>
          <w:sz w:val="32"/>
          <w:szCs w:val="32"/>
        </w:rPr>
        <w:t>完成农村饮用水</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常规生活饮用水</w:t>
      </w:r>
      <w:r>
        <w:rPr>
          <w:rFonts w:hint="default" w:ascii="Times New Roman" w:hAnsi="Times New Roman" w:eastAsia="方正仿宋简体" w:cs="Times New Roman"/>
          <w:kern w:val="0"/>
          <w:sz w:val="32"/>
          <w:szCs w:val="32"/>
          <w:lang w:eastAsia="zh-CN"/>
        </w:rPr>
        <w:t>、学校自备井水等</w:t>
      </w:r>
      <w:r>
        <w:rPr>
          <w:rFonts w:hint="default" w:ascii="Times New Roman" w:hAnsi="Times New Roman" w:eastAsia="方正仿宋简体" w:cs="Times New Roman"/>
          <w:kern w:val="0"/>
          <w:sz w:val="32"/>
          <w:szCs w:val="32"/>
        </w:rPr>
        <w:t>水质检测</w:t>
      </w:r>
      <w:r>
        <w:rPr>
          <w:rFonts w:hint="default" w:ascii="Times New Roman" w:hAnsi="Times New Roman" w:eastAsia="方正仿宋简体" w:cs="Times New Roman"/>
          <w:color w:val="auto"/>
          <w:kern w:val="0"/>
          <w:sz w:val="32"/>
          <w:szCs w:val="32"/>
          <w:lang w:val="en-US" w:eastAsia="zh-CN"/>
        </w:rPr>
        <w:t>244</w:t>
      </w:r>
      <w:r>
        <w:rPr>
          <w:rFonts w:hint="default" w:ascii="Times New Roman" w:hAnsi="Times New Roman" w:eastAsia="方正仿宋简体" w:cs="Times New Roman"/>
          <w:kern w:val="0"/>
          <w:sz w:val="32"/>
          <w:szCs w:val="32"/>
          <w:lang w:val="en-US" w:eastAsia="zh-CN"/>
        </w:rPr>
        <w:t>份；完成全区食盐碘含量检测300份，尿液中碘含量检测300份；</w:t>
      </w:r>
      <w:r>
        <w:rPr>
          <w:rFonts w:hint="default" w:ascii="Times New Roman" w:hAnsi="Times New Roman" w:eastAsia="方正仿宋简体" w:cs="Times New Roman"/>
          <w:kern w:val="0"/>
          <w:sz w:val="32"/>
          <w:szCs w:val="32"/>
        </w:rPr>
        <w:t>完成</w:t>
      </w:r>
      <w:r>
        <w:rPr>
          <w:rFonts w:hint="default" w:ascii="Times New Roman" w:hAnsi="Times New Roman" w:eastAsia="方正仿宋简体" w:cs="Times New Roman"/>
          <w:kern w:val="0"/>
          <w:sz w:val="32"/>
          <w:szCs w:val="32"/>
          <w:lang w:eastAsia="zh-CN"/>
        </w:rPr>
        <w:t>水质</w:t>
      </w:r>
      <w:r>
        <w:rPr>
          <w:rFonts w:hint="default" w:ascii="Times New Roman" w:hAnsi="Times New Roman" w:eastAsia="方正仿宋简体" w:cs="Times New Roman"/>
          <w:kern w:val="0"/>
          <w:sz w:val="32"/>
          <w:szCs w:val="32"/>
        </w:rPr>
        <w:t>微生物检测</w:t>
      </w:r>
      <w:r>
        <w:rPr>
          <w:rFonts w:hint="default" w:ascii="Times New Roman" w:hAnsi="Times New Roman" w:eastAsia="方正仿宋简体" w:cs="Times New Roman"/>
          <w:color w:val="auto"/>
          <w:kern w:val="0"/>
          <w:sz w:val="32"/>
          <w:szCs w:val="32"/>
          <w:lang w:val="en-US" w:eastAsia="zh-CN"/>
        </w:rPr>
        <w:t>193</w:t>
      </w:r>
      <w:r>
        <w:rPr>
          <w:rFonts w:hint="default" w:ascii="Times New Roman" w:hAnsi="Times New Roman" w:eastAsia="方正仿宋简体" w:cs="Times New Roman"/>
          <w:kern w:val="0"/>
          <w:sz w:val="32"/>
          <w:szCs w:val="32"/>
          <w:lang w:val="en-US" w:eastAsia="zh-CN"/>
        </w:rPr>
        <w:t>份</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lang w:val="en-US" w:eastAsia="zh-CN"/>
        </w:rPr>
        <w:t>公共场所检测</w:t>
      </w:r>
      <w:r>
        <w:rPr>
          <w:rFonts w:hint="default" w:ascii="Times New Roman" w:hAnsi="Times New Roman" w:eastAsia="方正仿宋简体" w:cs="Times New Roman"/>
          <w:color w:val="auto"/>
          <w:kern w:val="0"/>
          <w:sz w:val="32"/>
          <w:szCs w:val="32"/>
          <w:lang w:val="en-US" w:eastAsia="zh-CN"/>
        </w:rPr>
        <w:t>29家</w:t>
      </w:r>
      <w:r>
        <w:rPr>
          <w:rFonts w:hint="default" w:ascii="Times New Roman" w:hAnsi="Times New Roman" w:eastAsia="方正仿宋简体" w:cs="Times New Roman"/>
          <w:kern w:val="0"/>
          <w:sz w:val="32"/>
          <w:szCs w:val="32"/>
          <w:lang w:val="en-US" w:eastAsia="zh-CN"/>
        </w:rPr>
        <w:t>；</w:t>
      </w:r>
      <w:r>
        <w:rPr>
          <w:rFonts w:hint="default" w:ascii="Times New Roman" w:hAnsi="Times New Roman" w:eastAsia="方正仿宋简体" w:cs="Times New Roman"/>
          <w:color w:val="auto"/>
          <w:kern w:val="0"/>
          <w:sz w:val="32"/>
          <w:szCs w:val="32"/>
        </w:rPr>
        <w:t>全市的食品和公共场所从业人员体检肠道致病菌检测</w:t>
      </w:r>
      <w:r>
        <w:rPr>
          <w:rFonts w:hint="default" w:ascii="Times New Roman" w:hAnsi="Times New Roman" w:eastAsia="方正仿宋简体" w:cs="Times New Roman"/>
          <w:color w:val="auto"/>
          <w:kern w:val="0"/>
          <w:sz w:val="32"/>
          <w:szCs w:val="32"/>
          <w:lang w:eastAsia="zh-CN"/>
        </w:rPr>
        <w:t>共计</w:t>
      </w:r>
      <w:r>
        <w:rPr>
          <w:rFonts w:hint="default" w:ascii="Times New Roman" w:hAnsi="Times New Roman" w:eastAsia="方正仿宋简体" w:cs="Times New Roman"/>
          <w:color w:val="auto"/>
          <w:kern w:val="0"/>
          <w:sz w:val="32"/>
          <w:szCs w:val="32"/>
          <w:lang w:val="en-US" w:eastAsia="zh-CN"/>
        </w:rPr>
        <w:t>17200人份</w:t>
      </w:r>
      <w:r>
        <w:rPr>
          <w:rFonts w:hint="default" w:ascii="Times New Roman" w:hAnsi="Times New Roman" w:eastAsia="方正仿宋简体" w:cs="Times New Roman"/>
          <w:color w:val="auto"/>
          <w:kern w:val="0"/>
          <w:sz w:val="32"/>
          <w:szCs w:val="32"/>
          <w:lang w:eastAsia="zh-CN"/>
        </w:rPr>
        <w:t>，血清学肝功能检测</w:t>
      </w:r>
      <w:r>
        <w:rPr>
          <w:rFonts w:hint="default" w:ascii="Times New Roman" w:hAnsi="Times New Roman" w:eastAsia="方正仿宋简体" w:cs="Times New Roman"/>
          <w:color w:val="auto"/>
          <w:kern w:val="0"/>
          <w:sz w:val="32"/>
          <w:szCs w:val="32"/>
          <w:lang w:val="en-US" w:eastAsia="zh-CN"/>
        </w:rPr>
        <w:t>17200</w:t>
      </w:r>
      <w:r>
        <w:rPr>
          <w:rFonts w:hint="default" w:ascii="Times New Roman" w:hAnsi="Times New Roman" w:eastAsia="方正仿宋简体" w:cs="Times New Roman"/>
          <w:color w:val="auto"/>
          <w:kern w:val="0"/>
          <w:sz w:val="32"/>
          <w:szCs w:val="32"/>
          <w:lang w:eastAsia="zh-CN"/>
        </w:rPr>
        <w:t>份，甲肝、戊肝抗体检测</w:t>
      </w:r>
      <w:r>
        <w:rPr>
          <w:rFonts w:hint="default" w:ascii="Times New Roman" w:hAnsi="Times New Roman" w:eastAsia="方正仿宋简体" w:cs="Times New Roman"/>
          <w:color w:val="auto"/>
          <w:kern w:val="0"/>
          <w:sz w:val="32"/>
          <w:szCs w:val="32"/>
          <w:lang w:val="en-US" w:eastAsia="zh-CN"/>
        </w:rPr>
        <w:t>353</w:t>
      </w:r>
      <w:r>
        <w:rPr>
          <w:rFonts w:hint="default" w:ascii="Times New Roman" w:hAnsi="Times New Roman" w:eastAsia="方正仿宋简体" w:cs="Times New Roman"/>
          <w:color w:val="auto"/>
          <w:kern w:val="0"/>
          <w:sz w:val="32"/>
          <w:szCs w:val="32"/>
          <w:lang w:eastAsia="zh-CN"/>
        </w:rPr>
        <w:t>份</w:t>
      </w:r>
      <w:r>
        <w:rPr>
          <w:rFonts w:hint="default" w:ascii="Times New Roman" w:hAnsi="Times New Roman" w:eastAsia="方正仿宋简体" w:cs="Times New Roman"/>
          <w:color w:val="auto"/>
          <w:kern w:val="0"/>
          <w:sz w:val="32"/>
          <w:szCs w:val="32"/>
          <w:lang w:val="en-US" w:eastAsia="zh-CN"/>
        </w:rPr>
        <w:t>；疟原虫镜检复核2人份</w:t>
      </w:r>
      <w:r>
        <w:rPr>
          <w:rFonts w:hint="eastAsia" w:eastAsia="方正仿宋简体" w:cs="Times New Roman"/>
          <w:color w:val="auto"/>
          <w:kern w:val="0"/>
          <w:sz w:val="32"/>
          <w:szCs w:val="32"/>
          <w:lang w:val="en-US" w:eastAsia="zh-CN"/>
        </w:rPr>
        <w:t>；</w:t>
      </w:r>
      <w:r>
        <w:rPr>
          <w:rFonts w:hint="eastAsia" w:eastAsia="方正仿宋简体" w:cs="Times New Roman"/>
          <w:color w:val="auto"/>
          <w:sz w:val="32"/>
          <w:szCs w:val="32"/>
          <w:lang w:val="en-US" w:eastAsia="zh-CN"/>
        </w:rPr>
        <w:t>HIV抗体检测共17468份（VCT—自愿咨询：252份，检测点送阳性标本复查：84份，监管及哨点人群：1031份，健康体检：16100份）； 丙肝、梅毒各1052份，麻疹、风疹抗体检测各21人份；CD4 T淋巴细胞检测2123份</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kern w:val="0"/>
          <w:sz w:val="32"/>
          <w:szCs w:val="32"/>
          <w:lang w:val="en-US" w:eastAsia="zh-CN"/>
        </w:rPr>
        <w:t>对全区27个艾滋病检测点</w:t>
      </w:r>
      <w:r>
        <w:rPr>
          <w:rFonts w:hint="default" w:ascii="Times New Roman" w:hAnsi="Times New Roman" w:eastAsia="方正仿宋简体" w:cs="Times New Roman"/>
          <w:color w:val="auto"/>
          <w:sz w:val="32"/>
          <w:szCs w:val="32"/>
        </w:rPr>
        <w:t>实验室质量控制与管理情况、仪器设备的使用维护、试剂耗材采购及使用情况、日常检测工作及网络数据上报、实验室生物安全等</w:t>
      </w:r>
      <w:r>
        <w:rPr>
          <w:rFonts w:hint="default" w:ascii="Times New Roman" w:hAnsi="Times New Roman" w:eastAsia="方正仿宋简体" w:cs="Times New Roman"/>
          <w:color w:val="auto"/>
          <w:sz w:val="32"/>
          <w:szCs w:val="32"/>
          <w:lang w:val="en-US" w:eastAsia="zh-CN"/>
        </w:rPr>
        <w:t>内容进行现场考核，促进了各检测点实验室的能力的提高</w:t>
      </w:r>
      <w:r>
        <w:rPr>
          <w:rFonts w:hint="eastAsia" w:eastAsia="方正仿宋简体" w:cs="Times New Roman"/>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3.以全面发展为目标，统筹推进当前重点工作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default" w:ascii="Times New Roman" w:hAnsi="Times New Roman" w:eastAsia="方正仿宋简体" w:cs="Times New Roman"/>
          <w:color w:val="000000"/>
          <w:kern w:val="0"/>
          <w:sz w:val="32"/>
          <w:szCs w:val="32"/>
          <w:lang w:val="en-US" w:eastAsia="zh-CN"/>
        </w:rPr>
      </w:pPr>
      <w:r>
        <w:rPr>
          <w:rFonts w:hint="default" w:ascii="Times New Roman" w:hAnsi="Times New Roman" w:eastAsia="方正仿宋简体" w:cs="Times New Roman"/>
          <w:b/>
          <w:bCs/>
          <w:color w:val="000000"/>
          <w:sz w:val="32"/>
          <w:szCs w:val="32"/>
          <w:lang w:val="en-US" w:eastAsia="zh-CN"/>
        </w:rPr>
        <w:t>（1）</w:t>
      </w:r>
      <w:r>
        <w:rPr>
          <w:rFonts w:hint="default" w:ascii="Times New Roman" w:hAnsi="Times New Roman" w:eastAsia="方正仿宋简体" w:cs="Times New Roman"/>
          <w:b/>
          <w:bCs/>
          <w:color w:val="000000"/>
          <w:sz w:val="32"/>
          <w:szCs w:val="32"/>
          <w:lang w:eastAsia="zh-CN"/>
        </w:rPr>
        <w:t>“</w:t>
      </w:r>
      <w:r>
        <w:rPr>
          <w:rFonts w:hint="default" w:ascii="Times New Roman" w:hAnsi="Times New Roman" w:eastAsia="方正仿宋简体" w:cs="Times New Roman"/>
          <w:b/>
          <w:bCs/>
          <w:color w:val="000000"/>
          <w:sz w:val="32"/>
          <w:szCs w:val="32"/>
          <w:lang w:val="en-US" w:eastAsia="zh-CN"/>
        </w:rPr>
        <w:t>三化</w:t>
      </w:r>
      <w:r>
        <w:rPr>
          <w:rFonts w:hint="default" w:ascii="Times New Roman" w:hAnsi="Times New Roman" w:eastAsia="方正仿宋简体" w:cs="Times New Roman"/>
          <w:b/>
          <w:bCs/>
          <w:color w:val="000000"/>
          <w:sz w:val="32"/>
          <w:szCs w:val="32"/>
          <w:lang w:eastAsia="zh-CN"/>
        </w:rPr>
        <w:t>”</w:t>
      </w:r>
      <w:r>
        <w:rPr>
          <w:rFonts w:hint="default" w:ascii="Times New Roman" w:hAnsi="Times New Roman" w:eastAsia="方正仿宋简体" w:cs="Times New Roman"/>
          <w:b/>
          <w:bCs/>
          <w:color w:val="000000"/>
          <w:sz w:val="32"/>
          <w:szCs w:val="32"/>
          <w:lang w:val="en-US" w:eastAsia="zh-CN"/>
        </w:rPr>
        <w:t>导向，促进可持续发展。</w:t>
      </w:r>
      <w:r>
        <w:rPr>
          <w:rFonts w:hint="default" w:ascii="Times New Roman" w:hAnsi="Times New Roman" w:eastAsia="方正仿宋简体" w:cs="Times New Roman"/>
          <w:color w:val="000000"/>
          <w:kern w:val="0"/>
          <w:sz w:val="32"/>
          <w:szCs w:val="32"/>
          <w:lang w:val="en-US" w:eastAsia="zh-CN"/>
        </w:rPr>
        <w:t>“法治化”改善执业环境，每月推送法治科普，强化法律风险意识，增强法治观念；“规范化”强化内部流程，优化各类管理制度13个，优化管理流程7个。“智慧化”提升服务效率，优化信息管理系统，实现物资管理，应急作业板块线上线下实时跟踪等。</w:t>
      </w:r>
    </w:p>
    <w:p>
      <w:pPr>
        <w:pStyle w:val="2"/>
        <w:keepNext w:val="0"/>
        <w:keepLines w:val="0"/>
        <w:pageBreakBefore w:val="0"/>
        <w:kinsoku/>
        <w:wordWrap/>
        <w:overflowPunct/>
        <w:topLinePunct w:val="0"/>
        <w:autoSpaceDE/>
        <w:autoSpaceDN/>
        <w:bidi w:val="0"/>
        <w:spacing w:line="600" w:lineRule="exact"/>
        <w:ind w:left="0" w:leftChars="0" w:firstLine="643" w:firstLineChars="200"/>
        <w:jc w:val="both"/>
        <w:textAlignment w:val="auto"/>
        <w:rPr>
          <w:rFonts w:hint="default" w:ascii="Times New Roman" w:hAnsi="Times New Roman" w:eastAsia="方正仿宋简体" w:cs="Times New Roman"/>
          <w:b/>
          <w:bCs/>
          <w:color w:val="000000"/>
          <w:kern w:val="2"/>
          <w:sz w:val="32"/>
          <w:szCs w:val="32"/>
          <w:lang w:val="en-US" w:eastAsia="zh-CN" w:bidi="ar-SA"/>
        </w:rPr>
      </w:pPr>
      <w:r>
        <w:rPr>
          <w:rFonts w:hint="default" w:ascii="Times New Roman" w:hAnsi="Times New Roman" w:eastAsia="方正仿宋简体" w:cs="Times New Roman"/>
          <w:b/>
          <w:bCs/>
          <w:color w:val="000000"/>
          <w:kern w:val="2"/>
          <w:sz w:val="32"/>
          <w:szCs w:val="32"/>
          <w:lang w:val="en-US" w:eastAsia="zh-CN" w:bidi="ar-SA"/>
        </w:rPr>
        <w:t>（2）持续发力，抓好成资同城化建设。</w:t>
      </w:r>
    </w:p>
    <w:p>
      <w:pPr>
        <w:keepNext w:val="0"/>
        <w:keepLines w:val="0"/>
        <w:pageBreakBefore w:val="0"/>
        <w:kinsoku/>
        <w:wordWrap/>
        <w:overflowPunct/>
        <w:topLinePunct w:val="0"/>
        <w:autoSpaceDE/>
        <w:autoSpaceDN/>
        <w:bidi w:val="0"/>
        <w:spacing w:line="600" w:lineRule="exact"/>
        <w:ind w:firstLine="640"/>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color w:val="000000"/>
          <w:sz w:val="32"/>
          <w:szCs w:val="32"/>
        </w:rPr>
        <w:t>一是与龙泉驿区疾控</w:t>
      </w:r>
      <w:r>
        <w:rPr>
          <w:rFonts w:hint="default" w:ascii="Times New Roman" w:hAnsi="Times New Roman" w:eastAsia="方正仿宋简体" w:cs="Times New Roman"/>
          <w:color w:val="000000"/>
          <w:sz w:val="32"/>
          <w:szCs w:val="32"/>
        </w:rPr>
        <w:t>建立疫情监测信息交换机制，每月定期交换辖区传染病疫情监测信息，对可能流行或爆发的传染病进行了预警分析，制定了相应的防控措施；</w:t>
      </w:r>
      <w:r>
        <w:rPr>
          <w:rFonts w:hint="default" w:ascii="Times New Roman" w:hAnsi="Times New Roman" w:eastAsia="方正仿宋简体" w:cs="Times New Roman"/>
          <w:b/>
          <w:bCs/>
          <w:color w:val="000000"/>
          <w:sz w:val="32"/>
          <w:szCs w:val="32"/>
        </w:rPr>
        <w:t>二是与成都医学院</w:t>
      </w:r>
      <w:r>
        <w:rPr>
          <w:rFonts w:hint="default" w:ascii="Times New Roman" w:hAnsi="Times New Roman" w:eastAsia="方正仿宋简体" w:cs="Times New Roman"/>
          <w:b/>
          <w:bCs/>
          <w:color w:val="000000"/>
          <w:sz w:val="32"/>
          <w:szCs w:val="32"/>
          <w:lang w:val="en-US" w:eastAsia="zh-CN"/>
        </w:rPr>
        <w:t>建立人才培养机制</w:t>
      </w:r>
      <w:r>
        <w:rPr>
          <w:rFonts w:hint="default" w:ascii="Times New Roman" w:hAnsi="Times New Roman" w:eastAsia="方正仿宋简体" w:cs="Times New Roman"/>
          <w:b/>
          <w:bCs/>
          <w:color w:val="000000"/>
          <w:sz w:val="32"/>
          <w:szCs w:val="32"/>
        </w:rPr>
        <w:t>。</w:t>
      </w:r>
      <w:r>
        <w:rPr>
          <w:rFonts w:hint="default" w:ascii="Times New Roman" w:hAnsi="Times New Roman" w:eastAsia="方正仿宋简体" w:cs="Times New Roman"/>
          <w:color w:val="000000"/>
          <w:sz w:val="32"/>
          <w:szCs w:val="32"/>
          <w:lang w:val="en-US" w:eastAsia="zh-CN"/>
        </w:rPr>
        <w:t>近年来招聘</w:t>
      </w:r>
      <w:r>
        <w:rPr>
          <w:rFonts w:hint="default" w:ascii="Times New Roman" w:hAnsi="Times New Roman" w:eastAsia="方正仿宋简体" w:cs="Times New Roman"/>
          <w:color w:val="000000"/>
          <w:sz w:val="32"/>
          <w:szCs w:val="32"/>
        </w:rPr>
        <w:t>成都医学院优秀应届毕业生学生15名；</w:t>
      </w:r>
      <w:r>
        <w:rPr>
          <w:rFonts w:hint="default" w:ascii="Times New Roman" w:hAnsi="Times New Roman" w:eastAsia="方正仿宋简体" w:cs="Times New Roman"/>
          <w:sz w:val="32"/>
          <w:szCs w:val="32"/>
        </w:rPr>
        <w:t>顺利完成实习生的带教工作五批</w:t>
      </w:r>
      <w:r>
        <w:rPr>
          <w:rFonts w:hint="default" w:ascii="Times New Roman" w:hAnsi="Times New Roman" w:eastAsia="方正仿宋简体" w:cs="Times New Roman"/>
          <w:sz w:val="32"/>
          <w:szCs w:val="32"/>
          <w:lang w:val="en-US" w:eastAsia="zh-CN"/>
        </w:rPr>
        <w:t>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rPr>
        <w:t>三是与简阳市疾控中心</w:t>
      </w:r>
      <w:r>
        <w:rPr>
          <w:rFonts w:hint="default" w:ascii="Times New Roman" w:hAnsi="Times New Roman" w:eastAsia="方正仿宋简体" w:cs="Times New Roman"/>
          <w:b/>
          <w:bCs/>
          <w:sz w:val="32"/>
          <w:szCs w:val="32"/>
          <w:lang w:val="en-US" w:eastAsia="zh-CN"/>
        </w:rPr>
        <w:t>建立</w:t>
      </w:r>
      <w:r>
        <w:rPr>
          <w:rFonts w:hint="default" w:ascii="Times New Roman" w:hAnsi="Times New Roman" w:eastAsia="方正仿宋简体" w:cs="Times New Roman"/>
          <w:b/>
          <w:bCs/>
          <w:sz w:val="32"/>
          <w:szCs w:val="32"/>
        </w:rPr>
        <w:t>全员核酸检测战略合作</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签订核酸检测战略合作协议，通过双方实验室人员的沟通与交流，互通有无、资源共享，进行技术探讨和学习，在出现大规模新冠病毒应急检测时提升检验检测能力。</w:t>
      </w:r>
    </w:p>
    <w:p>
      <w:pPr>
        <w:pStyle w:val="2"/>
        <w:keepNext w:val="0"/>
        <w:keepLines w:val="0"/>
        <w:pageBreakBefore w:val="0"/>
        <w:kinsoku/>
        <w:wordWrap/>
        <w:overflowPunct/>
        <w:topLinePunct w:val="0"/>
        <w:autoSpaceDE/>
        <w:autoSpaceDN/>
        <w:bidi w:val="0"/>
        <w:spacing w:line="600" w:lineRule="exact"/>
        <w:ind w:left="0" w:leftChars="0" w:firstLine="643" w:firstLineChars="200"/>
        <w:jc w:val="both"/>
        <w:textAlignment w:val="auto"/>
        <w:rPr>
          <w:rFonts w:hint="default" w:ascii="Times New Roman" w:hAnsi="Times New Roman" w:eastAsia="方正仿宋简体" w:cs="Times New Roman"/>
          <w:b/>
          <w:bCs/>
          <w:color w:val="000000"/>
          <w:kern w:val="2"/>
          <w:sz w:val="32"/>
          <w:szCs w:val="32"/>
          <w:lang w:val="en-US" w:eastAsia="zh-CN" w:bidi="ar-SA"/>
        </w:rPr>
      </w:pPr>
      <w:r>
        <w:rPr>
          <w:rFonts w:hint="default" w:ascii="Times New Roman" w:hAnsi="Times New Roman" w:eastAsia="方正仿宋简体" w:cs="Times New Roman"/>
          <w:b/>
          <w:bCs/>
          <w:color w:val="000000"/>
          <w:kern w:val="2"/>
          <w:sz w:val="32"/>
          <w:szCs w:val="32"/>
          <w:lang w:val="en-US" w:eastAsia="zh-CN" w:bidi="ar-SA"/>
        </w:rPr>
        <w:t>（3）抓实安全生产，筑牢安全防线。</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color w:val="000000"/>
          <w:sz w:val="32"/>
          <w:szCs w:val="32"/>
          <w:lang w:val="en-US" w:eastAsia="zh-CN"/>
        </w:rPr>
        <w:t>一</w:t>
      </w:r>
      <w:r>
        <w:rPr>
          <w:rFonts w:hint="default" w:ascii="Times New Roman" w:hAnsi="Times New Roman" w:eastAsia="方正仿宋简体" w:cs="Times New Roman"/>
          <w:b/>
          <w:color w:val="000000"/>
          <w:sz w:val="32"/>
          <w:szCs w:val="32"/>
        </w:rPr>
        <w:t>是</w:t>
      </w:r>
      <w:r>
        <w:rPr>
          <w:rFonts w:hint="default" w:ascii="Times New Roman" w:hAnsi="Times New Roman" w:eastAsia="方正仿宋简体" w:cs="Times New Roman"/>
          <w:b/>
          <w:sz w:val="32"/>
          <w:szCs w:val="32"/>
        </w:rPr>
        <w:t>强化目标管理。</w:t>
      </w:r>
      <w:r>
        <w:rPr>
          <w:rFonts w:hint="default" w:ascii="Times New Roman" w:hAnsi="Times New Roman" w:eastAsia="方正仿宋简体" w:cs="Times New Roman"/>
          <w:sz w:val="32"/>
          <w:szCs w:val="32"/>
        </w:rPr>
        <w:t>将安全生产工作纳入全年综合目标考核内容，与业务工作同部署、同检查、同考核、同奖惩。做到任务明确，责任到人，层层落实，形成了至上而下，覆盖安全生产责任网络。</w:t>
      </w:r>
      <w:r>
        <w:rPr>
          <w:rFonts w:hint="default" w:ascii="Times New Roman" w:hAnsi="Times New Roman" w:eastAsia="方正仿宋简体" w:cs="Times New Roman"/>
          <w:b/>
          <w:sz w:val="32"/>
          <w:szCs w:val="32"/>
          <w:lang w:val="en-US" w:eastAsia="zh-CN"/>
        </w:rPr>
        <w:t>二</w:t>
      </w:r>
      <w:r>
        <w:rPr>
          <w:rFonts w:hint="default" w:ascii="Times New Roman" w:hAnsi="Times New Roman" w:eastAsia="方正仿宋简体" w:cs="Times New Roman"/>
          <w:b/>
          <w:sz w:val="32"/>
          <w:szCs w:val="32"/>
        </w:rPr>
        <w:t>是加强宣传教育。</w:t>
      </w:r>
      <w:r>
        <w:rPr>
          <w:rFonts w:hint="default" w:ascii="Times New Roman" w:hAnsi="Times New Roman" w:eastAsia="方正仿宋简体" w:cs="Times New Roman"/>
          <w:b w:val="0"/>
          <w:bCs/>
          <w:color w:val="000000"/>
          <w:sz w:val="32"/>
          <w:szCs w:val="32"/>
          <w:lang w:val="en-US" w:eastAsia="zh-CN"/>
        </w:rPr>
        <w:t>组织学习宣传</w:t>
      </w:r>
      <w:r>
        <w:rPr>
          <w:rFonts w:hint="default" w:ascii="Times New Roman" w:hAnsi="Times New Roman" w:eastAsia="方正仿宋简体" w:cs="Times New Roman"/>
          <w:color w:val="000000"/>
          <w:sz w:val="32"/>
          <w:szCs w:val="32"/>
        </w:rPr>
        <w:t>贯彻习近平总书记关于安全生产的重要论述及省、市、区关于安全生产的重要安排部署</w:t>
      </w:r>
      <w:r>
        <w:rPr>
          <w:rFonts w:hint="default" w:ascii="Times New Roman" w:hAnsi="Times New Roman" w:eastAsia="方正仿宋简体" w:cs="Times New Roman"/>
          <w:color w:val="000000"/>
          <w:sz w:val="32"/>
          <w:szCs w:val="32"/>
          <w:lang w:val="en-US" w:eastAsia="zh-CN"/>
        </w:rPr>
        <w:t>10次</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auto"/>
          <w:sz w:val="32"/>
          <w:szCs w:val="32"/>
        </w:rPr>
        <w:t>集中组织观看安全生产电视专题片</w:t>
      </w:r>
      <w:r>
        <w:rPr>
          <w:rFonts w:hint="default" w:ascii="Times New Roman" w:hAnsi="Times New Roman" w:eastAsia="方正仿宋简体" w:cs="Times New Roman"/>
          <w:color w:val="auto"/>
          <w:sz w:val="32"/>
          <w:szCs w:val="32"/>
          <w:lang w:val="en-US" w:eastAsia="zh-CN"/>
        </w:rPr>
        <w:t>5次</w:t>
      </w:r>
      <w:r>
        <w:rPr>
          <w:rFonts w:hint="default" w:ascii="Times New Roman" w:hAnsi="Times New Roman" w:eastAsia="方正仿宋简体" w:cs="Times New Roman"/>
          <w:color w:val="auto"/>
          <w:sz w:val="32"/>
          <w:szCs w:val="32"/>
        </w:rPr>
        <w:t>；对干部职工的安全生产法律法规知识进行培训</w:t>
      </w:r>
      <w:r>
        <w:rPr>
          <w:rFonts w:hint="default" w:ascii="Times New Roman" w:hAnsi="Times New Roman" w:eastAsia="方正仿宋简体" w:cs="Times New Roman"/>
          <w:color w:val="auto"/>
          <w:sz w:val="32"/>
          <w:szCs w:val="32"/>
          <w:lang w:val="en-US" w:eastAsia="zh-CN"/>
        </w:rPr>
        <w:t>3次</w:t>
      </w:r>
      <w:r>
        <w:rPr>
          <w:rFonts w:hint="default" w:ascii="Times New Roman" w:hAnsi="Times New Roman" w:eastAsia="方正仿宋简体" w:cs="Times New Roman"/>
          <w:color w:val="auto"/>
          <w:sz w:val="32"/>
          <w:szCs w:val="32"/>
        </w:rPr>
        <w:t>，做到人人讲安全、事事重安全；充分利用防震减灾日、安全生产月等时间点开展宣传活动，通过悬挂横幅、LED播放宣传标语、面对面讲解</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安全生产法</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、开展消防安全知识培训暨消防应急演练等，强化安全隐患排查意识，从源头杜绝安全事故的发生。</w:t>
      </w:r>
      <w:r>
        <w:rPr>
          <w:rFonts w:hint="default" w:ascii="Times New Roman" w:hAnsi="Times New Roman" w:eastAsia="方正仿宋简体" w:cs="Times New Roman"/>
          <w:b/>
          <w:color w:val="000000"/>
          <w:sz w:val="32"/>
          <w:szCs w:val="32"/>
          <w:lang w:val="en-US" w:eastAsia="zh-CN"/>
        </w:rPr>
        <w:t>三</w:t>
      </w:r>
      <w:r>
        <w:rPr>
          <w:rFonts w:hint="default" w:ascii="Times New Roman" w:hAnsi="Times New Roman" w:eastAsia="方正仿宋简体" w:cs="Times New Roman"/>
          <w:b/>
          <w:color w:val="000000"/>
          <w:sz w:val="32"/>
          <w:szCs w:val="32"/>
        </w:rPr>
        <w:t>是认真开展大检查大排查大整治工作</w:t>
      </w:r>
      <w:r>
        <w:rPr>
          <w:rFonts w:hint="default"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lang w:val="en-US" w:eastAsia="zh-CN"/>
        </w:rPr>
        <w:t>开展安全排查20余次，</w:t>
      </w:r>
      <w:r>
        <w:rPr>
          <w:rFonts w:hint="default" w:ascii="Times New Roman" w:hAnsi="Times New Roman" w:eastAsia="方正仿宋简体" w:cs="Times New Roman"/>
          <w:color w:val="000000"/>
          <w:sz w:val="32"/>
          <w:szCs w:val="32"/>
          <w:lang w:val="en-US" w:eastAsia="zh-CN"/>
        </w:rPr>
        <w:t>排查</w:t>
      </w:r>
      <w:r>
        <w:rPr>
          <w:rFonts w:hint="default" w:ascii="Times New Roman" w:hAnsi="Times New Roman" w:eastAsia="方正仿宋简体" w:cs="Times New Roman"/>
          <w:color w:val="000000"/>
          <w:sz w:val="32"/>
          <w:szCs w:val="32"/>
        </w:rPr>
        <w:t>隐患和问题</w:t>
      </w:r>
      <w:r>
        <w:rPr>
          <w:rFonts w:hint="default" w:ascii="Times New Roman" w:hAnsi="Times New Roman" w:eastAsia="方正仿宋简体" w:cs="Times New Roman"/>
          <w:color w:val="000000"/>
          <w:sz w:val="32"/>
          <w:szCs w:val="32"/>
          <w:lang w:val="en-US" w:eastAsia="zh-CN"/>
        </w:rPr>
        <w:t>1个</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val="en-US" w:eastAsia="zh-CN"/>
        </w:rPr>
        <w:t>整改问题1项，开展警示约谈1次，对隐患问题整改实行“清单制”闭环管理。</w:t>
      </w:r>
    </w:p>
    <w:p>
      <w:pPr>
        <w:pStyle w:val="2"/>
        <w:keepNext w:val="0"/>
        <w:keepLines w:val="0"/>
        <w:pageBreakBefore w:val="0"/>
        <w:kinsoku/>
        <w:wordWrap/>
        <w:overflowPunct/>
        <w:topLinePunct w:val="0"/>
        <w:autoSpaceDE/>
        <w:autoSpaceDN/>
        <w:bidi w:val="0"/>
        <w:spacing w:line="600" w:lineRule="exact"/>
        <w:ind w:left="0" w:leftChars="0" w:firstLine="643" w:firstLineChars="200"/>
        <w:jc w:val="both"/>
        <w:textAlignment w:val="auto"/>
        <w:rPr>
          <w:rFonts w:hint="default" w:ascii="Times New Roman" w:hAnsi="Times New Roman" w:eastAsia="方正仿宋简体" w:cs="Times New Roman"/>
          <w:b/>
          <w:bCs/>
          <w:color w:val="000000"/>
          <w:kern w:val="2"/>
          <w:sz w:val="32"/>
          <w:szCs w:val="32"/>
          <w:lang w:val="en-US" w:eastAsia="zh-CN" w:bidi="ar-SA"/>
        </w:rPr>
      </w:pPr>
      <w:r>
        <w:rPr>
          <w:rFonts w:hint="default" w:ascii="Times New Roman" w:hAnsi="Times New Roman" w:eastAsia="方正仿宋简体" w:cs="Times New Roman"/>
          <w:b/>
          <w:bCs/>
          <w:color w:val="000000"/>
          <w:kern w:val="2"/>
          <w:sz w:val="32"/>
          <w:szCs w:val="32"/>
          <w:lang w:val="en-US" w:eastAsia="zh-CN" w:bidi="ar-SA"/>
        </w:rPr>
        <w:t>（4）持续推进创建文明城市，巩固成果提素质</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default" w:ascii="Times New Roman" w:hAnsi="Times New Roman" w:cs="Times New Roman"/>
          <w:lang w:val="en-US" w:eastAsia="zh-CN"/>
        </w:rPr>
      </w:pPr>
      <w:r>
        <w:rPr>
          <w:rFonts w:hint="default" w:ascii="Times New Roman" w:hAnsi="Times New Roman" w:eastAsia="方正仿宋简体" w:cs="Times New Roman"/>
          <w:b/>
          <w:bCs/>
          <w:sz w:val="32"/>
          <w:szCs w:val="32"/>
          <w:shd w:val="clear" w:color="auto" w:fill="FFFFFF"/>
        </w:rPr>
        <w:t>一是加强双创宣传氛围。</w:t>
      </w:r>
      <w:r>
        <w:rPr>
          <w:rFonts w:hint="default" w:ascii="Times New Roman" w:hAnsi="Times New Roman" w:eastAsia="方正仿宋简体" w:cs="Times New Roman"/>
          <w:sz w:val="32"/>
          <w:szCs w:val="32"/>
          <w:shd w:val="clear" w:color="auto" w:fill="FFFFFF"/>
        </w:rPr>
        <w:t>按照创建国家卫生城市和省级文明城市工作要求，中心加强双创阵地建设，营造浓厚宣传氛围，加强与包联社区的联动，积极开展双创志愿者和“双报到”活动。</w:t>
      </w:r>
      <w:r>
        <w:rPr>
          <w:rFonts w:hint="default" w:ascii="Times New Roman" w:hAnsi="Times New Roman" w:eastAsia="方正仿宋简体" w:cs="Times New Roman"/>
          <w:b/>
          <w:bCs/>
          <w:sz w:val="32"/>
          <w:szCs w:val="32"/>
          <w:shd w:val="clear" w:color="auto" w:fill="FFFFFF"/>
        </w:rPr>
        <w:t>二是加强健康教育宣传。</w:t>
      </w:r>
      <w:r>
        <w:rPr>
          <w:rFonts w:hint="default" w:ascii="Times New Roman" w:hAnsi="Times New Roman" w:eastAsia="方正仿宋简体" w:cs="Times New Roman"/>
          <w:sz w:val="32"/>
          <w:szCs w:val="32"/>
        </w:rPr>
        <w:t>结合新冠肺炎疫情防控及公共卫生服务要求，中心印制并发放了形式多样的健康教育宣传材料合</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万余份；利用“雁江疾控”官方微信公众号定期推送新冠肺炎疫情防控健康知识、健康提示、公益广告、传染病及慢性非传染病科普知识、全民健康生活方式行动核心信息、预防接种知识、职业病防治知识等内容781条，阅读次数达140余万人次，深受广大民众的喜爱。</w:t>
      </w:r>
      <w:r>
        <w:rPr>
          <w:rFonts w:hint="default" w:ascii="Times New Roman" w:hAnsi="Times New Roman" w:eastAsia="方正仿宋简体" w:cs="Times New Roman"/>
          <w:b/>
          <w:bCs/>
          <w:sz w:val="32"/>
          <w:szCs w:val="32"/>
          <w:shd w:val="clear" w:color="auto" w:fill="FFFFFF"/>
        </w:rPr>
        <w:t>三是持续督促指导全区病媒生物防制工作。</w:t>
      </w:r>
      <w:r>
        <w:rPr>
          <w:rFonts w:hint="default" w:ascii="Times New Roman" w:hAnsi="Times New Roman" w:eastAsia="方正仿宋简体" w:cs="Times New Roman"/>
          <w:sz w:val="32"/>
          <w:szCs w:val="32"/>
        </w:rPr>
        <w:t>中心先后对建成区49万平方公里内的小区、城中村、城乡</w:t>
      </w:r>
      <w:r>
        <w:rPr>
          <w:rFonts w:hint="eastAsia" w:eastAsia="方正仿宋简体" w:cs="Times New Roman"/>
          <w:sz w:val="32"/>
          <w:szCs w:val="32"/>
          <w:lang w:val="en-US" w:eastAsia="zh-CN"/>
        </w:rPr>
        <w:t>接</w:t>
      </w:r>
      <w:bookmarkStart w:id="66" w:name="_GoBack"/>
      <w:bookmarkEnd w:id="66"/>
      <w:r>
        <w:rPr>
          <w:rFonts w:hint="default" w:ascii="Times New Roman" w:hAnsi="Times New Roman" w:eastAsia="方正仿宋简体" w:cs="Times New Roman"/>
          <w:sz w:val="32"/>
          <w:szCs w:val="32"/>
        </w:rPr>
        <w:t>合部、车站、公园等场所病媒生物防制孳生地综合治理工作进行技术指导，督导第三方消杀公司对“三镇五处”的城中村、农贸市场、垃圾中转站等进行消杀，定期开展四害密度监测，为创建文明城市提供干净舒适的城市环境氛围。</w:t>
      </w:r>
    </w:p>
    <w:p>
      <w:pPr>
        <w:rPr>
          <w:rFonts w:hint="eastAsia"/>
          <w:lang w:val="en-US" w:eastAsia="zh-CN"/>
        </w:rPr>
      </w:pPr>
    </w:p>
    <w:p>
      <w:pPr>
        <w:numPr>
          <w:ilvl w:val="0"/>
          <w:numId w:val="0"/>
        </w:numPr>
        <w:rPr>
          <w:rFonts w:hint="default"/>
          <w:lang w:val="en-US" w:eastAsia="zh-CN"/>
        </w:rPr>
      </w:pPr>
    </w:p>
    <w:bookmarkEnd w:id="14"/>
    <w:bookmarkEnd w:id="15"/>
    <w:p>
      <w:pPr>
        <w:pStyle w:val="3"/>
        <w:pageBreakBefore w:val="0"/>
        <w:widowControl w:val="0"/>
        <w:kinsoku/>
        <w:wordWrap/>
        <w:overflowPunct/>
        <w:topLinePunct w:val="0"/>
        <w:autoSpaceDE/>
        <w:autoSpaceDN/>
        <w:bidi w:val="0"/>
        <w:adjustRightInd/>
        <w:snapToGrid/>
        <w:spacing w:line="600" w:lineRule="exact"/>
        <w:ind w:right="440"/>
        <w:jc w:val="center"/>
        <w:textAlignment w:val="auto"/>
        <w:rPr>
          <w:rFonts w:hint="eastAsia" w:ascii="黑体" w:hAnsi="黑体" w:eastAsia="黑体"/>
          <w:b w:val="0"/>
          <w:bCs/>
          <w:color w:val="auto"/>
          <w:highlight w:val="none"/>
        </w:rPr>
      </w:pPr>
      <w:bookmarkStart w:id="16" w:name="_Toc15377204"/>
      <w:bookmarkStart w:id="17" w:name="_Toc15396602"/>
    </w:p>
    <w:p>
      <w:pPr>
        <w:pStyle w:val="3"/>
        <w:pageBreakBefore w:val="0"/>
        <w:widowControl w:val="0"/>
        <w:kinsoku/>
        <w:wordWrap/>
        <w:overflowPunct/>
        <w:topLinePunct w:val="0"/>
        <w:autoSpaceDE/>
        <w:autoSpaceDN/>
        <w:bidi w:val="0"/>
        <w:adjustRightInd/>
        <w:snapToGrid/>
        <w:spacing w:line="600" w:lineRule="exact"/>
        <w:ind w:right="440"/>
        <w:jc w:val="both"/>
        <w:textAlignment w:val="auto"/>
        <w:rPr>
          <w:rFonts w:hint="eastAsia" w:ascii="黑体" w:hAnsi="黑体" w:eastAsia="黑体"/>
          <w:b w:val="0"/>
          <w:bCs/>
          <w:color w:val="auto"/>
          <w:highlight w:val="none"/>
        </w:rPr>
      </w:pPr>
    </w:p>
    <w:p>
      <w:pPr>
        <w:rPr>
          <w:rFonts w:hint="eastAsia" w:ascii="黑体" w:hAnsi="黑体" w:eastAsia="黑体"/>
          <w:b w:val="0"/>
          <w:bCs/>
          <w:color w:val="auto"/>
          <w:highlight w:val="none"/>
        </w:rPr>
      </w:pPr>
    </w:p>
    <w:p>
      <w:pPr>
        <w:pStyle w:val="3"/>
        <w:pageBreakBefore w:val="0"/>
        <w:widowControl w:val="0"/>
        <w:kinsoku/>
        <w:wordWrap/>
        <w:overflowPunct/>
        <w:topLinePunct w:val="0"/>
        <w:autoSpaceDE/>
        <w:autoSpaceDN/>
        <w:bidi w:val="0"/>
        <w:adjustRightInd/>
        <w:snapToGrid/>
        <w:spacing w:line="600" w:lineRule="exact"/>
        <w:ind w:right="440"/>
        <w:jc w:val="both"/>
        <w:textAlignment w:val="auto"/>
        <w:rPr>
          <w:rFonts w:hint="eastAsia" w:ascii="黑体" w:hAnsi="黑体" w:eastAsia="黑体"/>
          <w:b w:val="0"/>
          <w:bCs/>
          <w:color w:val="auto"/>
          <w:highlight w:val="none"/>
        </w:rPr>
      </w:pPr>
    </w:p>
    <w:p>
      <w:pPr>
        <w:rPr>
          <w:rFonts w:hint="eastAsia" w:ascii="黑体" w:hAnsi="黑体" w:eastAsia="黑体"/>
          <w:b w:val="0"/>
          <w:bCs/>
          <w:color w:val="auto"/>
          <w:highlight w:val="none"/>
        </w:rPr>
      </w:pPr>
    </w:p>
    <w:p>
      <w:pPr>
        <w:pStyle w:val="2"/>
        <w:rPr>
          <w:rFonts w:hint="eastAsia" w:ascii="黑体" w:hAnsi="黑体" w:eastAsia="黑体"/>
          <w:b w:val="0"/>
          <w:bCs/>
          <w:color w:val="auto"/>
          <w:highlight w:val="none"/>
        </w:rPr>
      </w:pPr>
    </w:p>
    <w:p>
      <w:pPr>
        <w:rPr>
          <w:rFonts w:hint="eastAsia" w:ascii="黑体" w:hAnsi="黑体" w:eastAsia="黑体"/>
          <w:b w:val="0"/>
          <w:bCs/>
          <w:color w:val="auto"/>
          <w:highlight w:val="none"/>
        </w:rPr>
      </w:pPr>
    </w:p>
    <w:p>
      <w:pPr>
        <w:pStyle w:val="2"/>
        <w:rPr>
          <w:rFonts w:hint="eastAsia" w:ascii="黑体" w:hAnsi="黑体" w:eastAsia="黑体"/>
          <w:b w:val="0"/>
          <w:bCs/>
          <w:color w:val="auto"/>
          <w:highlight w:val="none"/>
        </w:rPr>
      </w:pPr>
    </w:p>
    <w:p>
      <w:pPr>
        <w:rPr>
          <w:rFonts w:hint="eastAsia" w:ascii="黑体" w:hAnsi="黑体" w:eastAsia="黑体"/>
          <w:b w:val="0"/>
          <w:bCs/>
          <w:color w:val="auto"/>
          <w:highlight w:val="none"/>
        </w:rPr>
      </w:pPr>
    </w:p>
    <w:p>
      <w:pPr>
        <w:pStyle w:val="2"/>
        <w:rPr>
          <w:rFonts w:hint="eastAsia" w:ascii="黑体" w:hAnsi="黑体" w:eastAsia="黑体"/>
          <w:b w:val="0"/>
          <w:bCs/>
          <w:color w:val="auto"/>
          <w:highlight w:val="none"/>
        </w:rPr>
      </w:pPr>
    </w:p>
    <w:p>
      <w:pPr>
        <w:rPr>
          <w:rFonts w:hint="eastAsia"/>
        </w:rPr>
      </w:pPr>
    </w:p>
    <w:p>
      <w:pPr>
        <w:pStyle w:val="3"/>
        <w:pageBreakBefore w:val="0"/>
        <w:widowControl w:val="0"/>
        <w:kinsoku/>
        <w:wordWrap/>
        <w:overflowPunct/>
        <w:topLinePunct w:val="0"/>
        <w:autoSpaceDE/>
        <w:autoSpaceDN/>
        <w:bidi w:val="0"/>
        <w:adjustRightInd/>
        <w:snapToGrid/>
        <w:spacing w:line="600" w:lineRule="exact"/>
        <w:ind w:right="440"/>
        <w:jc w:val="center"/>
        <w:textAlignment w:val="auto"/>
        <w:rPr>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pStyle w:val="24"/>
        <w:pageBreakBefore w:val="0"/>
        <w:widowControl w:val="0"/>
        <w:numPr>
          <w:ilvl w:val="0"/>
          <w:numId w:val="2"/>
        </w:numPr>
        <w:kinsoku/>
        <w:wordWrap/>
        <w:overflowPunct/>
        <w:topLinePunct w:val="0"/>
        <w:autoSpaceDE/>
        <w:autoSpaceDN/>
        <w:bidi w:val="0"/>
        <w:adjustRightInd/>
        <w:snapToGrid/>
        <w:spacing w:line="600" w:lineRule="exact"/>
        <w:ind w:firstLineChars="0"/>
        <w:textAlignment w:val="auto"/>
        <w:outlineLvl w:val="1"/>
        <w:rPr>
          <w:rStyle w:val="26"/>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bidi w:val="0"/>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9544.52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年相比，收、支总计增加</w:t>
      </w:r>
      <w:r>
        <w:rPr>
          <w:rFonts w:hint="eastAsia" w:ascii="仿宋" w:hAnsi="仿宋" w:eastAsia="仿宋"/>
          <w:color w:val="auto"/>
          <w:sz w:val="32"/>
          <w:szCs w:val="32"/>
          <w:highlight w:val="none"/>
          <w:lang w:val="en-US" w:eastAsia="zh-CN"/>
        </w:rPr>
        <w:t>4214.77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79.08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eastAsia="仿宋_GB2312"/>
          <w:sz w:val="32"/>
          <w:szCs w:val="32"/>
        </w:rPr>
        <w:t>增加了预算财政本级项目</w:t>
      </w:r>
      <w:r>
        <w:rPr>
          <w:rFonts w:hint="eastAsia" w:ascii="仿宋_GB2312" w:eastAsia="仿宋_GB2312"/>
          <w:sz w:val="32"/>
          <w:szCs w:val="32"/>
          <w:lang w:val="en-US" w:eastAsia="zh-CN"/>
        </w:rPr>
        <w:t>收入和</w:t>
      </w:r>
      <w:r>
        <w:rPr>
          <w:rFonts w:hint="eastAsia" w:ascii="仿宋_GB2312" w:eastAsia="仿宋_GB2312"/>
          <w:sz w:val="32"/>
          <w:szCs w:val="32"/>
        </w:rPr>
        <w:t>支出</w:t>
      </w:r>
      <w:r>
        <w:rPr>
          <w:rFonts w:hint="eastAsia" w:ascii="仿宋_GB2312" w:eastAsia="仿宋_GB2312"/>
          <w:sz w:val="32"/>
          <w:szCs w:val="32"/>
          <w:lang w:eastAsia="zh-CN"/>
        </w:rPr>
        <w:t>，</w:t>
      </w:r>
      <w:r>
        <w:rPr>
          <w:rFonts w:hint="eastAsia" w:ascii="仿宋_GB2312" w:hAnsi="仿宋" w:eastAsia="仿宋_GB2312"/>
          <w:sz w:val="32"/>
          <w:szCs w:val="32"/>
          <w:lang w:val="en-US" w:eastAsia="zh-CN"/>
        </w:rPr>
        <w:t>切实</w:t>
      </w:r>
      <w:r>
        <w:rPr>
          <w:rFonts w:hint="eastAsia" w:ascii="仿宋_GB2312" w:hAnsi="仿宋" w:eastAsia="仿宋_GB2312"/>
          <w:sz w:val="32"/>
          <w:szCs w:val="32"/>
        </w:rPr>
        <w:t>提高</w:t>
      </w:r>
      <w:r>
        <w:rPr>
          <w:rFonts w:hint="eastAsia" w:ascii="仿宋_GB2312" w:hAnsi="仿宋" w:eastAsia="仿宋_GB2312"/>
          <w:sz w:val="32"/>
          <w:szCs w:val="32"/>
          <w:lang w:val="en-US" w:eastAsia="zh-CN"/>
        </w:rPr>
        <w:t>了</w:t>
      </w:r>
      <w:r>
        <w:rPr>
          <w:rFonts w:hint="eastAsia" w:ascii="仿宋_GB2312" w:hAnsi="仿宋" w:eastAsia="仿宋_GB2312"/>
          <w:sz w:val="32"/>
          <w:szCs w:val="32"/>
        </w:rPr>
        <w:t>疾病</w:t>
      </w:r>
      <w:r>
        <w:rPr>
          <w:rFonts w:hint="eastAsia" w:ascii="仿宋_GB2312" w:hAnsi="仿宋" w:eastAsia="仿宋_GB2312"/>
          <w:sz w:val="32"/>
          <w:szCs w:val="32"/>
          <w:lang w:val="en-US" w:eastAsia="zh-CN"/>
        </w:rPr>
        <w:t>预防控制</w:t>
      </w:r>
      <w:r>
        <w:rPr>
          <w:rFonts w:hint="eastAsia" w:ascii="仿宋_GB2312" w:hAnsi="仿宋" w:eastAsia="仿宋_GB2312"/>
          <w:sz w:val="32"/>
          <w:szCs w:val="32"/>
        </w:rPr>
        <w:t>能力</w:t>
      </w:r>
      <w:r>
        <w:rPr>
          <w:rFonts w:hint="eastAsia" w:ascii="仿宋" w:hAnsi="仿宋" w:eastAsia="仿宋"/>
          <w:color w:val="auto"/>
          <w:sz w:val="32"/>
          <w:szCs w:val="32"/>
          <w:highlight w:val="none"/>
          <w:lang w:eastAsia="zh-CN"/>
        </w:rPr>
        <w:t>。</w:t>
      </w:r>
    </w:p>
    <w:p>
      <w:pPr>
        <w:bidi w:val="0"/>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5408" behindDoc="1" locked="0" layoutInCell="1" allowOverlap="1">
            <wp:simplePos x="0" y="0"/>
            <wp:positionH relativeFrom="column">
              <wp:posOffset>548005</wp:posOffset>
            </wp:positionH>
            <wp:positionV relativeFrom="paragraph">
              <wp:posOffset>95250</wp:posOffset>
            </wp:positionV>
            <wp:extent cx="4476750" cy="3284220"/>
            <wp:effectExtent l="0" t="0" r="0" b="11430"/>
            <wp:wrapThrough wrapText="bothSides">
              <wp:wrapPolygon>
                <wp:start x="0" y="0"/>
                <wp:lineTo x="0" y="21425"/>
                <wp:lineTo x="21508" y="21425"/>
                <wp:lineTo x="21508" y="0"/>
                <wp:lineTo x="0" y="0"/>
              </wp:wrapPolygon>
            </wp:wrapThrough>
            <wp:docPr id="2" name="图片 2" descr="c036876395e7e5636759f18e0c47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036876395e7e5636759f18e0c4720c"/>
                    <pic:cNvPicPr>
                      <a:picLocks noChangeAspect="1"/>
                    </pic:cNvPicPr>
                  </pic:nvPicPr>
                  <pic:blipFill>
                    <a:blip r:embed="rId6"/>
                    <a:stretch>
                      <a:fillRect/>
                    </a:stretch>
                  </pic:blipFill>
                  <pic:spPr>
                    <a:xfrm>
                      <a:off x="0" y="0"/>
                      <a:ext cx="4476750" cy="3284220"/>
                    </a:xfrm>
                    <a:prstGeom prst="rect">
                      <a:avLst/>
                    </a:prstGeom>
                  </pic:spPr>
                </pic:pic>
              </a:graphicData>
            </a:graphic>
          </wp:anchor>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4772.26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4703.79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98.57</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68.47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385445</wp:posOffset>
            </wp:positionH>
            <wp:positionV relativeFrom="paragraph">
              <wp:posOffset>107950</wp:posOffset>
            </wp:positionV>
            <wp:extent cx="4236720" cy="3077210"/>
            <wp:effectExtent l="0" t="0" r="11430" b="8890"/>
            <wp:wrapNone/>
            <wp:docPr id="3" name="图片 3" descr="3XO]RTLCV]3(MQ_}K{L0V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XO]RTLCV]3(MQ_}K{L0VJA"/>
                    <pic:cNvPicPr>
                      <a:picLocks noChangeAspect="1"/>
                    </pic:cNvPicPr>
                  </pic:nvPicPr>
                  <pic:blipFill>
                    <a:blip r:embed="rId7"/>
                    <a:stretch>
                      <a:fillRect/>
                    </a:stretch>
                  </pic:blipFill>
                  <pic:spPr>
                    <a:xfrm>
                      <a:off x="0" y="0"/>
                      <a:ext cx="4236720" cy="3077210"/>
                    </a:xfrm>
                    <a:prstGeom prst="rect">
                      <a:avLst/>
                    </a:prstGeom>
                  </pic:spPr>
                </pic:pic>
              </a:graphicData>
            </a:graphic>
          </wp:anchor>
        </w:drawing>
      </w: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lang w:eastAsia="zh-CN"/>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outlineLvl w:val="1"/>
        <w:rPr>
          <w:rFonts w:hint="eastAsia" w:ascii="仿宋" w:hAnsi="仿宋" w:eastAsia="仿宋"/>
          <w:color w:val="auto"/>
          <w:sz w:val="32"/>
          <w:szCs w:val="32"/>
          <w:highlight w:val="none"/>
          <w:lang w:eastAsia="zh-CN"/>
        </w:rPr>
      </w:pP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4772.26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1537.8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32.22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3234.46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67.78</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hint="eastAsia" w:ascii="仿宋" w:hAnsi="仿宋" w:eastAsia="仿宋"/>
          <w:color w:val="auto"/>
          <w:sz w:val="32"/>
          <w:szCs w:val="32"/>
          <w:highlight w:val="none"/>
          <w:lang w:eastAsia="zh-CN"/>
        </w:rPr>
      </w:pP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406400</wp:posOffset>
            </wp:positionH>
            <wp:positionV relativeFrom="paragraph">
              <wp:posOffset>-2171700</wp:posOffset>
            </wp:positionV>
            <wp:extent cx="3494405" cy="2653030"/>
            <wp:effectExtent l="0" t="0" r="10795" b="13970"/>
            <wp:wrapNone/>
            <wp:docPr id="4" name="图片 4" descr="6]J@DB9S@I0FI(H$WA`9B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J@DB9S@I0FI(H$WA`9BTJ"/>
                    <pic:cNvPicPr>
                      <a:picLocks noChangeAspect="1"/>
                    </pic:cNvPicPr>
                  </pic:nvPicPr>
                  <pic:blipFill>
                    <a:blip r:embed="rId8"/>
                    <a:stretch>
                      <a:fillRect/>
                    </a:stretch>
                  </pic:blipFill>
                  <pic:spPr>
                    <a:xfrm>
                      <a:off x="0" y="0"/>
                      <a:ext cx="3494405" cy="2653030"/>
                    </a:xfrm>
                    <a:prstGeom prst="rect">
                      <a:avLst/>
                    </a:prstGeom>
                  </pic:spPr>
                </pic:pic>
              </a:graphicData>
            </a:graphic>
          </wp:anchor>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6"/>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eastAsia" w:ascii="仿宋_GB2312" w:hAnsi="仿宋" w:eastAsia="仿宋_GB2312"/>
          <w:sz w:val="32"/>
          <w:szCs w:val="32"/>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9407.58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年相比，财政拨款收、支总计增加</w:t>
      </w:r>
      <w:r>
        <w:rPr>
          <w:rFonts w:hint="eastAsia" w:ascii="仿宋" w:hAnsi="仿宋" w:eastAsia="仿宋"/>
          <w:color w:val="auto"/>
          <w:sz w:val="32"/>
          <w:szCs w:val="32"/>
          <w:highlight w:val="none"/>
          <w:lang w:val="en-US" w:eastAsia="zh-CN"/>
        </w:rPr>
        <w:t>4077.83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76.51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eastAsia="仿宋_GB2312"/>
          <w:sz w:val="32"/>
          <w:szCs w:val="32"/>
        </w:rPr>
        <w:t>增加了预算财政本级项目</w:t>
      </w:r>
      <w:r>
        <w:rPr>
          <w:rFonts w:hint="eastAsia" w:ascii="仿宋_GB2312" w:eastAsia="仿宋_GB2312"/>
          <w:sz w:val="32"/>
          <w:szCs w:val="32"/>
          <w:lang w:val="en-US" w:eastAsia="zh-CN"/>
        </w:rPr>
        <w:t>收入和</w:t>
      </w:r>
      <w:r>
        <w:rPr>
          <w:rFonts w:hint="eastAsia" w:ascii="仿宋_GB2312" w:eastAsia="仿宋_GB2312"/>
          <w:sz w:val="32"/>
          <w:szCs w:val="32"/>
        </w:rPr>
        <w:t>支出</w:t>
      </w:r>
      <w:r>
        <w:rPr>
          <w:rFonts w:hint="eastAsia" w:ascii="仿宋_GB2312" w:eastAsia="仿宋_GB2312"/>
          <w:sz w:val="32"/>
          <w:szCs w:val="32"/>
          <w:lang w:eastAsia="zh-CN"/>
        </w:rPr>
        <w:t>，</w:t>
      </w:r>
      <w:r>
        <w:rPr>
          <w:rFonts w:hint="eastAsia" w:ascii="仿宋_GB2312" w:hAnsi="仿宋" w:eastAsia="仿宋_GB2312"/>
          <w:sz w:val="32"/>
          <w:szCs w:val="32"/>
          <w:lang w:val="en-US" w:eastAsia="zh-CN"/>
        </w:rPr>
        <w:t>切实</w:t>
      </w:r>
      <w:r>
        <w:rPr>
          <w:rFonts w:hint="eastAsia" w:ascii="仿宋_GB2312" w:hAnsi="仿宋" w:eastAsia="仿宋_GB2312"/>
          <w:sz w:val="32"/>
          <w:szCs w:val="32"/>
        </w:rPr>
        <w:t>提高</w:t>
      </w:r>
      <w:r>
        <w:rPr>
          <w:rFonts w:hint="eastAsia" w:ascii="仿宋_GB2312" w:hAnsi="仿宋" w:eastAsia="仿宋_GB2312"/>
          <w:sz w:val="32"/>
          <w:szCs w:val="32"/>
          <w:lang w:val="en-US" w:eastAsia="zh-CN"/>
        </w:rPr>
        <w:t>了</w:t>
      </w:r>
      <w:r>
        <w:rPr>
          <w:rFonts w:hint="eastAsia" w:ascii="仿宋_GB2312" w:hAnsi="仿宋" w:eastAsia="仿宋_GB2312"/>
          <w:sz w:val="32"/>
          <w:szCs w:val="32"/>
        </w:rPr>
        <w:t>疾病</w:t>
      </w:r>
      <w:r>
        <w:rPr>
          <w:rFonts w:hint="eastAsia" w:ascii="仿宋_GB2312" w:hAnsi="仿宋" w:eastAsia="仿宋_GB2312"/>
          <w:sz w:val="32"/>
          <w:szCs w:val="32"/>
          <w:lang w:val="en-US" w:eastAsia="zh-CN"/>
        </w:rPr>
        <w:t>预防控制</w:t>
      </w:r>
      <w:r>
        <w:rPr>
          <w:rFonts w:hint="eastAsia" w:ascii="仿宋_GB2312" w:hAnsi="仿宋" w:eastAsia="仿宋_GB2312"/>
          <w:sz w:val="32"/>
          <w:szCs w:val="32"/>
        </w:rPr>
        <w:t>能力</w:t>
      </w:r>
      <w:r>
        <w:rPr>
          <w:rFonts w:hint="eastAsia" w:ascii="仿宋_GB2312" w:hAnsi="仿宋" w:eastAsia="仿宋_GB2312"/>
          <w:sz w:val="32"/>
          <w:szCs w:val="32"/>
          <w:lang w:eastAsia="zh-CN"/>
        </w:rPr>
        <w:t>。</w:t>
      </w:r>
    </w:p>
    <w:p>
      <w:pPr>
        <w:spacing w:line="600" w:lineRule="exact"/>
        <w:ind w:firstLine="640"/>
        <w:rPr>
          <w:rFonts w:hint="eastAsia" w:ascii="仿宋_GB2312" w:hAnsi="仿宋" w:eastAsia="仿宋_GB2312"/>
          <w:sz w:val="32"/>
          <w:szCs w:val="32"/>
          <w:lang w:eastAsia="zh-CN"/>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r>
        <w:rPr>
          <w:rFonts w:hint="eastAsia" w:ascii="仿宋_GB2312" w:hAnsi="仿宋" w:eastAsia="仿宋_GB2312"/>
          <w:sz w:val="32"/>
          <w:szCs w:val="32"/>
          <w:lang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-2171700</wp:posOffset>
            </wp:positionV>
            <wp:extent cx="5074920" cy="3268980"/>
            <wp:effectExtent l="0" t="0" r="11430" b="7620"/>
            <wp:wrapNone/>
            <wp:docPr id="5" name="图片 5" descr="HP$AD18DD0DOA}VON)4IN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P$AD18DD0DOA}VON)4IN1N"/>
                    <pic:cNvPicPr>
                      <a:picLocks noChangeAspect="1"/>
                    </pic:cNvPicPr>
                  </pic:nvPicPr>
                  <pic:blipFill>
                    <a:blip r:embed="rId9"/>
                    <a:stretch>
                      <a:fillRect/>
                    </a:stretch>
                  </pic:blipFill>
                  <pic:spPr>
                    <a:xfrm>
                      <a:off x="0" y="0"/>
                      <a:ext cx="5074920" cy="3268980"/>
                    </a:xfrm>
                    <a:prstGeom prst="rect">
                      <a:avLst/>
                    </a:prstGeom>
                  </pic:spPr>
                </pic:pic>
              </a:graphicData>
            </a:graphic>
          </wp:anchor>
        </w:drawing>
      </w: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6"/>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_GB2312" w:hAnsi="仿宋" w:eastAsia="仿宋_GB2312"/>
          <w:sz w:val="32"/>
          <w:szCs w:val="32"/>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4703.79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98.57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1383.15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41.65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eastAsia="仿宋_GB2312"/>
          <w:sz w:val="32"/>
          <w:szCs w:val="32"/>
        </w:rPr>
        <w:t>增加了预算财政本级项目</w:t>
      </w:r>
      <w:r>
        <w:rPr>
          <w:rFonts w:hint="eastAsia" w:ascii="仿宋_GB2312" w:eastAsia="仿宋_GB2312"/>
          <w:sz w:val="32"/>
          <w:szCs w:val="32"/>
          <w:lang w:val="en-US" w:eastAsia="zh-CN"/>
        </w:rPr>
        <w:t>收入和</w:t>
      </w:r>
      <w:r>
        <w:rPr>
          <w:rFonts w:hint="eastAsia" w:ascii="仿宋_GB2312" w:eastAsia="仿宋_GB2312"/>
          <w:sz w:val="32"/>
          <w:szCs w:val="32"/>
        </w:rPr>
        <w:t>支出</w:t>
      </w:r>
      <w:r>
        <w:rPr>
          <w:rFonts w:hint="eastAsia" w:ascii="仿宋_GB2312" w:eastAsia="仿宋_GB2312"/>
          <w:sz w:val="32"/>
          <w:szCs w:val="32"/>
          <w:lang w:eastAsia="zh-CN"/>
        </w:rPr>
        <w:t>，</w:t>
      </w:r>
      <w:r>
        <w:rPr>
          <w:rFonts w:hint="eastAsia" w:ascii="仿宋_GB2312" w:hAnsi="仿宋" w:eastAsia="仿宋_GB2312"/>
          <w:sz w:val="32"/>
          <w:szCs w:val="32"/>
          <w:lang w:val="en-US" w:eastAsia="zh-CN"/>
        </w:rPr>
        <w:t>切实</w:t>
      </w:r>
      <w:r>
        <w:rPr>
          <w:rFonts w:hint="eastAsia" w:ascii="仿宋_GB2312" w:hAnsi="仿宋" w:eastAsia="仿宋_GB2312"/>
          <w:sz w:val="32"/>
          <w:szCs w:val="32"/>
        </w:rPr>
        <w:t>提高</w:t>
      </w:r>
      <w:r>
        <w:rPr>
          <w:rFonts w:hint="eastAsia" w:ascii="仿宋_GB2312" w:hAnsi="仿宋" w:eastAsia="仿宋_GB2312"/>
          <w:sz w:val="32"/>
          <w:szCs w:val="32"/>
          <w:lang w:val="en-US" w:eastAsia="zh-CN"/>
        </w:rPr>
        <w:t>了</w:t>
      </w:r>
      <w:r>
        <w:rPr>
          <w:rFonts w:hint="eastAsia" w:ascii="仿宋_GB2312" w:hAnsi="仿宋" w:eastAsia="仿宋_GB2312"/>
          <w:sz w:val="32"/>
          <w:szCs w:val="32"/>
        </w:rPr>
        <w:t>疾病</w:t>
      </w:r>
      <w:r>
        <w:rPr>
          <w:rFonts w:hint="eastAsia" w:ascii="仿宋_GB2312" w:hAnsi="仿宋" w:eastAsia="仿宋_GB2312"/>
          <w:sz w:val="32"/>
          <w:szCs w:val="32"/>
          <w:lang w:val="en-US" w:eastAsia="zh-CN"/>
        </w:rPr>
        <w:t>预防控制</w:t>
      </w:r>
      <w:r>
        <w:rPr>
          <w:rFonts w:hint="eastAsia" w:ascii="仿宋_GB2312" w:hAnsi="仿宋" w:eastAsia="仿宋_GB2312"/>
          <w:sz w:val="32"/>
          <w:szCs w:val="32"/>
        </w:rPr>
        <w:t>能力</w:t>
      </w:r>
      <w:r>
        <w:rPr>
          <w:rFonts w:hint="eastAsia" w:ascii="仿宋_GB2312" w:hAnsi="仿宋" w:eastAsia="仿宋_GB2312"/>
          <w:sz w:val="32"/>
          <w:szCs w:val="32"/>
          <w:lang w:eastAsia="zh-CN"/>
        </w:rPr>
        <w:t>。</w:t>
      </w:r>
    </w:p>
    <w:p>
      <w:pPr>
        <w:spacing w:line="600" w:lineRule="exact"/>
        <w:ind w:firstLine="640" w:firstLineChars="200"/>
        <w:rPr>
          <w:rFonts w:hint="eastAsia" w:ascii="仿宋_GB2312" w:hAnsi="仿宋" w:eastAsia="仿宋_GB2312"/>
          <w:sz w:val="32"/>
          <w:szCs w:val="32"/>
          <w:lang w:eastAsia="zh-CN"/>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_GB2312" w:hAnsi="仿宋" w:eastAsia="仿宋_GB2312"/>
          <w:sz w:val="32"/>
          <w:szCs w:val="32"/>
          <w:lang w:eastAsia="zh-CN"/>
        </w:rPr>
      </w:pPr>
    </w:p>
    <w:p>
      <w:pPr>
        <w:spacing w:line="600" w:lineRule="exact"/>
        <w:ind w:firstLine="640" w:firstLineChars="200"/>
        <w:rPr>
          <w:rFonts w:hint="eastAsia" w:ascii="仿宋_GB2312" w:hAnsi="仿宋" w:eastAsia="仿宋_GB2312"/>
          <w:sz w:val="32"/>
          <w:szCs w:val="32"/>
          <w:lang w:eastAsia="zh-CN"/>
        </w:rPr>
      </w:pPr>
    </w:p>
    <w:p>
      <w:pPr>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anchor distT="0" distB="0" distL="114300" distR="114300" simplePos="0" relativeHeight="251662336" behindDoc="0" locked="0" layoutInCell="1" allowOverlap="1">
            <wp:simplePos x="0" y="0"/>
            <wp:positionH relativeFrom="column">
              <wp:posOffset>406400</wp:posOffset>
            </wp:positionH>
            <wp:positionV relativeFrom="paragraph">
              <wp:posOffset>-1733550</wp:posOffset>
            </wp:positionV>
            <wp:extent cx="4293235" cy="2770505"/>
            <wp:effectExtent l="0" t="0" r="12065" b="10795"/>
            <wp:wrapNone/>
            <wp:docPr id="6" name="图片 6" descr="B]_)QS8]%2F9IY6_L5V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_)QS8]%2F9IY6_L5VEN@4"/>
                    <pic:cNvPicPr>
                      <a:picLocks noChangeAspect="1"/>
                    </pic:cNvPicPr>
                  </pic:nvPicPr>
                  <pic:blipFill>
                    <a:blip r:embed="rId10"/>
                    <a:stretch>
                      <a:fillRect/>
                    </a:stretch>
                  </pic:blipFill>
                  <pic:spPr>
                    <a:xfrm>
                      <a:off x="0" y="0"/>
                      <a:ext cx="4293235" cy="2770505"/>
                    </a:xfrm>
                    <a:prstGeom prst="rect">
                      <a:avLst/>
                    </a:prstGeom>
                  </pic:spPr>
                </pic:pic>
              </a:graphicData>
            </a:graphic>
          </wp:anchor>
        </w:drawing>
      </w:r>
    </w:p>
    <w:p>
      <w:pPr>
        <w:spacing w:line="600" w:lineRule="exact"/>
        <w:ind w:firstLine="640" w:firstLineChars="200"/>
        <w:rPr>
          <w:rFonts w:hint="eastAsia" w:ascii="仿宋_GB2312" w:hAnsi="仿宋" w:eastAsia="仿宋_GB2312"/>
          <w:sz w:val="32"/>
          <w:szCs w:val="32"/>
          <w:lang w:eastAsia="zh-CN"/>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4703.79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272.73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5.80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4353.73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92.58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77.33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lang w:eastAsia="zh-CN"/>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406400</wp:posOffset>
            </wp:positionH>
            <wp:positionV relativeFrom="paragraph">
              <wp:posOffset>-2571750</wp:posOffset>
            </wp:positionV>
            <wp:extent cx="4394835" cy="2948940"/>
            <wp:effectExtent l="0" t="0" r="5715" b="3810"/>
            <wp:wrapNone/>
            <wp:docPr id="7" name="图片 7" descr="YHM9O%XOUO1BOP_Z49UQ(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YHM9O%XOUO1BOP_Z49UQ(CY"/>
                    <pic:cNvPicPr>
                      <a:picLocks noChangeAspect="1"/>
                    </pic:cNvPicPr>
                  </pic:nvPicPr>
                  <pic:blipFill>
                    <a:blip r:embed="rId11"/>
                    <a:stretch>
                      <a:fillRect/>
                    </a:stretch>
                  </pic:blipFill>
                  <pic:spPr>
                    <a:xfrm>
                      <a:off x="0" y="0"/>
                      <a:ext cx="4394835" cy="2948940"/>
                    </a:xfrm>
                    <a:prstGeom prst="rect">
                      <a:avLst/>
                    </a:prstGeom>
                  </pic:spPr>
                </pic:pic>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4703.79</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1.</w:t>
      </w:r>
      <w:r>
        <w:rPr>
          <w:rStyle w:val="15"/>
          <w:rFonts w:hint="eastAsia" w:ascii="仿宋" w:hAnsi="仿宋" w:eastAsia="仿宋"/>
          <w:bCs/>
          <w:color w:val="auto"/>
          <w:sz w:val="32"/>
          <w:szCs w:val="32"/>
          <w:highlight w:val="none"/>
        </w:rPr>
        <w:t>社会保障和就业（类）行政事业单位养老支出（款）  事业单位离退休（项）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104.39</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Cs/>
          <w:color w:val="auto"/>
          <w:sz w:val="32"/>
          <w:szCs w:val="32"/>
          <w:highlight w:val="none"/>
        </w:rPr>
        <w:t>社会保障和就业（类）行政事业单位养老支出（款）机关事业单位基本养老保险缴费支出（项）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114.39</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Cs/>
          <w:color w:val="auto"/>
          <w:sz w:val="32"/>
          <w:szCs w:val="32"/>
          <w:highlight w:val="none"/>
        </w:rPr>
        <w:t>社会保障和就业（类）行政事业单位养老支出（款） 机关事业单位职业年金缴费支出（项）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16.20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Cs/>
          <w:color w:val="auto"/>
          <w:sz w:val="32"/>
          <w:szCs w:val="32"/>
          <w:highlight w:val="none"/>
        </w:rPr>
        <w:t>社会保障和就业（类）抚恤（款）死亡抚恤（项）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37.73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ind w:firstLine="643" w:firstLineChars="200"/>
        <w:rPr>
          <w:rStyle w:val="15"/>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2.</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（类）公共卫生（款）疾病预防控制机构（项）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4348.22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（类）行政事业单位医疗（款）事业单位医疗（项）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3.61</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（类）行政事业单位医疗（款）公务员医疗补助（项）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1.90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3.</w:t>
      </w:r>
      <w:r>
        <w:rPr>
          <w:rFonts w:hint="eastAsia" w:ascii="仿宋" w:hAnsi="仿宋" w:eastAsia="仿宋"/>
          <w:b/>
          <w:bCs/>
          <w:color w:val="auto"/>
          <w:sz w:val="32"/>
          <w:szCs w:val="32"/>
          <w:highlight w:val="none"/>
        </w:rPr>
        <w:t>住房保障支出</w:t>
      </w:r>
      <w:r>
        <w:rPr>
          <w:rStyle w:val="15"/>
          <w:rFonts w:hint="eastAsia" w:ascii="仿宋" w:hAnsi="仿宋" w:eastAsia="仿宋"/>
          <w:bCs/>
          <w:color w:val="auto"/>
          <w:sz w:val="32"/>
          <w:szCs w:val="32"/>
          <w:highlight w:val="none"/>
        </w:rPr>
        <w:t>（类）住房改革支出（款）住房公积金（项）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77.33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26"/>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1537.80</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1463.07</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离休费、退休费、抚恤金、生活补助、奖励金、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74.73</w:t>
      </w:r>
      <w:r>
        <w:rPr>
          <w:rFonts w:hint="eastAsia" w:ascii="仿宋" w:hAnsi="仿宋" w:eastAsia="仿宋"/>
          <w:color w:val="auto"/>
          <w:sz w:val="32"/>
          <w:szCs w:val="32"/>
          <w:highlight w:val="none"/>
        </w:rPr>
        <w:t>万元，主要包括：办公费、水费、电费、邮电费、差旅费、维修（护）费、租赁费、会议费、培训费、公务接待费、劳务费、工会经费、福利费、公务用车运行维护费、其他商品和服务支出等。</w:t>
      </w:r>
    </w:p>
    <w:p>
      <w:pPr>
        <w:spacing w:line="600" w:lineRule="exact"/>
        <w:ind w:firstLine="640"/>
        <w:outlineLvl w:val="1"/>
        <w:rPr>
          <w:rStyle w:val="26"/>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2.34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71.97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减少116.02万元，下降98.02%。</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严格控制“三公”经费</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55.56</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1.04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占44.44</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4384" behindDoc="0" locked="0" layoutInCell="1" allowOverlap="1">
            <wp:simplePos x="0" y="0"/>
            <wp:positionH relativeFrom="column">
              <wp:posOffset>374650</wp:posOffset>
            </wp:positionH>
            <wp:positionV relativeFrom="paragraph">
              <wp:posOffset>59690</wp:posOffset>
            </wp:positionV>
            <wp:extent cx="4105275" cy="2837180"/>
            <wp:effectExtent l="0" t="0" r="9525" b="1270"/>
            <wp:wrapNone/>
            <wp:docPr id="8" name="图片 8" descr="MNA0B9D%[OFBCUC$IGC8K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MNA0B9D%[OFBCUC$IGC8KRG"/>
                    <pic:cNvPicPr>
                      <a:picLocks noChangeAspect="1"/>
                    </pic:cNvPicPr>
                  </pic:nvPicPr>
                  <pic:blipFill>
                    <a:blip r:embed="rId12"/>
                    <a:stretch>
                      <a:fillRect/>
                    </a:stretch>
                  </pic:blipFill>
                  <pic:spPr>
                    <a:xfrm>
                      <a:off x="0" y="0"/>
                      <a:ext cx="4105275" cy="2837180"/>
                    </a:xfrm>
                    <a:prstGeom prst="rect">
                      <a:avLst/>
                    </a:prstGeom>
                  </pic:spPr>
                </pic:pic>
              </a:graphicData>
            </a:graphic>
          </wp:anchor>
        </w:drawing>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115.5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98.89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2021年使用</w:t>
      </w:r>
      <w:r>
        <w:rPr>
          <w:rFonts w:hint="eastAsia" w:ascii="仿宋_GB2312" w:eastAsia="仿宋_GB2312"/>
          <w:color w:val="auto"/>
          <w:sz w:val="32"/>
          <w:szCs w:val="32"/>
          <w:highlight w:val="none"/>
        </w:rPr>
        <w:t>公务用车购置及运行维护费</w:t>
      </w:r>
      <w:r>
        <w:rPr>
          <w:rFonts w:hint="eastAsia" w:ascii="仿宋_GB2312" w:eastAsia="仿宋_GB2312"/>
          <w:color w:val="auto"/>
          <w:sz w:val="32"/>
          <w:szCs w:val="32"/>
          <w:highlight w:val="none"/>
          <w:lang w:val="en-US" w:eastAsia="zh-CN"/>
        </w:rPr>
        <w:t>购置公务用车满足业务工作需要，2022年未采购公务用车</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w:t>
      </w:r>
      <w:r>
        <w:rPr>
          <w:rFonts w:hint="eastAsia" w:ascii="仿宋_GB2312" w:eastAsia="仿宋_GB2312"/>
          <w:color w:val="auto"/>
          <w:sz w:val="32"/>
          <w:szCs w:val="32"/>
          <w:highlight w:val="none"/>
          <w:lang w:eastAsia="zh-CN"/>
        </w:rPr>
        <w:t>止</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开展疫情流调、采样、督导、防控</w:t>
      </w:r>
      <w:r>
        <w:rPr>
          <w:rFonts w:hint="eastAsia" w:ascii="仿宋_GB2312" w:eastAsia="仿宋_GB2312"/>
          <w:color w:val="auto"/>
          <w:sz w:val="32"/>
          <w:szCs w:val="32"/>
          <w:highlight w:val="none"/>
        </w:rPr>
        <w:t>等所需的公务用车燃料费、维修费、过路费、保险费等支出。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1.04</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52</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0.52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33.3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严格控制公务接待支出</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1.04</w:t>
      </w:r>
      <w:r>
        <w:rPr>
          <w:rFonts w:hint="eastAsia" w:ascii="仿宋_GB2312" w:eastAsia="仿宋_GB2312"/>
          <w:color w:val="auto"/>
          <w:sz w:val="32"/>
          <w:szCs w:val="32"/>
          <w:highlight w:val="none"/>
        </w:rPr>
        <w:t>万元，主要用于开展业务活动开支的用餐费。国内公务接待</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120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1.04</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创建三级乙等疾控中心0.88万元；学校结核病防治工作情况调研0.07万元；免疫规划信息化建设工作调研0.09万元</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未产生外事接待费用</w:t>
      </w:r>
      <w:r>
        <w:rPr>
          <w:rFonts w:hint="eastAsia" w:ascii="仿宋_GB2312" w:eastAsia="仿宋_GB2312"/>
          <w:color w:val="auto"/>
          <w:sz w:val="32"/>
          <w:szCs w:val="32"/>
          <w:highlight w:val="none"/>
        </w:rPr>
        <w:t>。</w:t>
      </w:r>
      <w:bookmarkStart w:id="40" w:name="_Toc15377218"/>
      <w:bookmarkStart w:id="41" w:name="_Toc15396610"/>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ascii="黑体" w:hAnsi="黑体" w:eastAsia="黑体"/>
          <w:b w:val="0"/>
          <w:color w:val="auto"/>
          <w:highlight w:val="none"/>
        </w:rPr>
      </w:pPr>
      <w:bookmarkStart w:id="42" w:name="_Toc15377219"/>
      <w:bookmarkStart w:id="43" w:name="_Toc15396611"/>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hint="eastAsia" w:ascii="黑体" w:hAnsi="黑体" w:eastAsia="黑体"/>
          <w:b w:val="0"/>
          <w:color w:val="auto"/>
          <w:highlight w:val="none"/>
        </w:rPr>
      </w:pPr>
      <w:bookmarkStart w:id="44" w:name="_Toc15377221"/>
      <w:bookmarkStart w:id="45" w:name="_Toc15396612"/>
      <w:r>
        <w:rPr>
          <w:rStyle w:val="26"/>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年决算数持平</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99.3</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86.15</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13.15</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采购物业管理</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w:t>
      </w:r>
      <w:r>
        <w:rPr>
          <w:rFonts w:hint="eastAsia" w:ascii="仿宋_GB2312" w:eastAsia="仿宋_GB2312"/>
          <w:color w:val="auto"/>
          <w:sz w:val="32"/>
          <w:szCs w:val="32"/>
          <w:highlight w:val="none"/>
          <w:lang w:eastAsia="zh-CN"/>
        </w:rPr>
        <w:t>止</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日，共有车辆</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6"/>
        <w:ind w:firstLine="640" w:firstLineChars="200"/>
        <w:rPr>
          <w:rFonts w:hint="eastAsia" w:eastAsia="仿宋_GB2312"/>
          <w:color w:val="auto"/>
          <w:highlight w:val="yellow"/>
          <w:lang w:eastAsia="zh-CN"/>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取消收费项目、生活饮用水监测项目、疫苗冷链运转项目</w:t>
      </w:r>
      <w:r>
        <w:rPr>
          <w:rFonts w:hint="eastAsia" w:ascii="仿宋_GB2312" w:hAnsi="仿宋_GB2312" w:eastAsia="仿宋_GB2312" w:cs="仿宋_GB2312"/>
          <w:color w:val="auto"/>
          <w:sz w:val="32"/>
          <w:szCs w:val="32"/>
          <w:highlight w:val="none"/>
        </w:rPr>
        <w:t>等</w:t>
      </w:r>
      <w:r>
        <w:rPr>
          <w:rFonts w:hint="eastAsia" w:hAnsi="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个项目开展绩效自评</w:t>
      </w:r>
      <w:r>
        <w:rPr>
          <w:rFonts w:hint="eastAsia" w:hAnsi="仿宋_GB2312" w:cs="仿宋_GB2312"/>
          <w:color w:val="auto"/>
          <w:sz w:val="32"/>
          <w:szCs w:val="32"/>
          <w:highlight w:val="none"/>
          <w:lang w:eastAsia="zh-CN"/>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3"/>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val="en-US" w:eastAsia="zh-CN"/>
        </w:rPr>
        <w:t>区卫生健康局拨款收入</w:t>
      </w:r>
      <w:r>
        <w:rPr>
          <w:rFonts w:hint="eastAsia" w:ascii="仿宋_GB2312" w:eastAsia="仿宋_GB2312"/>
          <w:color w:val="auto"/>
          <w:sz w:val="32"/>
          <w:szCs w:val="32"/>
          <w:highlight w:val="none"/>
        </w:rPr>
        <w:t>。</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hint="eastAsia" w:ascii="仿宋" w:hAnsi="仿宋" w:eastAsia="仿宋"/>
          <w:b/>
          <w:color w:val="auto"/>
          <w:sz w:val="32"/>
          <w:szCs w:val="32"/>
          <w:highlight w:val="none"/>
        </w:rPr>
      </w:pPr>
    </w:p>
    <w:p>
      <w:pPr>
        <w:ind w:firstLine="643" w:firstLineChars="200"/>
        <w:rPr>
          <w:rFonts w:hint="eastAsia" w:ascii="仿宋" w:hAnsi="仿宋" w:eastAsia="仿宋"/>
          <w:b/>
          <w:color w:val="auto"/>
          <w:sz w:val="32"/>
          <w:szCs w:val="32"/>
          <w:highlight w:val="none"/>
        </w:rPr>
      </w:pPr>
    </w:p>
    <w:p>
      <w:pPr>
        <w:ind w:firstLine="643" w:firstLineChars="200"/>
        <w:rPr>
          <w:rFonts w:hint="eastAsia" w:ascii="仿宋" w:hAnsi="仿宋" w:eastAsia="仿宋"/>
          <w:b/>
          <w:color w:val="auto"/>
          <w:sz w:val="32"/>
          <w:szCs w:val="32"/>
          <w:highlight w:val="none"/>
        </w:rPr>
      </w:pPr>
    </w:p>
    <w:p>
      <w:pPr>
        <w:ind w:firstLine="643" w:firstLineChars="200"/>
        <w:rPr>
          <w:rFonts w:hint="eastAsia" w:ascii="仿宋" w:hAnsi="仿宋" w:eastAsia="仿宋"/>
          <w:b/>
          <w:color w:val="auto"/>
          <w:sz w:val="32"/>
          <w:szCs w:val="32"/>
          <w:highlight w:val="none"/>
        </w:rPr>
      </w:pPr>
    </w:p>
    <w:p>
      <w:pPr>
        <w:ind w:firstLine="643" w:firstLineChars="200"/>
        <w:rPr>
          <w:rFonts w:hint="eastAsia" w:ascii="仿宋" w:hAnsi="仿宋" w:eastAsia="仿宋"/>
          <w:b/>
          <w:color w:val="auto"/>
          <w:sz w:val="32"/>
          <w:szCs w:val="32"/>
          <w:highlight w:val="none"/>
        </w:rPr>
      </w:pPr>
    </w:p>
    <w:p>
      <w:pPr>
        <w:ind w:firstLine="643" w:firstLineChars="200"/>
        <w:rPr>
          <w:rFonts w:hint="eastAsia" w:ascii="仿宋" w:hAnsi="仿宋" w:eastAsia="仿宋"/>
          <w:b/>
          <w:color w:val="auto"/>
          <w:sz w:val="32"/>
          <w:szCs w:val="32"/>
          <w:highlight w:val="none"/>
        </w:rPr>
      </w:pPr>
    </w:p>
    <w:p>
      <w:pPr>
        <w:ind w:firstLine="643" w:firstLineChars="200"/>
        <w:rPr>
          <w:rFonts w:hint="eastAsia" w:ascii="仿宋" w:hAnsi="仿宋" w:eastAsia="仿宋"/>
          <w:b/>
          <w:color w:val="auto"/>
          <w:sz w:val="32"/>
          <w:szCs w:val="32"/>
          <w:highlight w:val="none"/>
        </w:rPr>
      </w:pPr>
    </w:p>
    <w:p>
      <w:pPr>
        <w:ind w:firstLine="643" w:firstLineChars="200"/>
        <w:rPr>
          <w:rFonts w:hint="eastAsia" w:ascii="仿宋" w:hAnsi="仿宋" w:eastAsia="仿宋"/>
          <w:b/>
          <w:color w:val="auto"/>
          <w:sz w:val="32"/>
          <w:szCs w:val="32"/>
          <w:highlight w:val="none"/>
        </w:rPr>
      </w:pPr>
    </w:p>
    <w:p>
      <w:pPr>
        <w:ind w:firstLine="643" w:firstLineChars="200"/>
        <w:rPr>
          <w:rFonts w:hint="eastAsia" w:ascii="仿宋" w:hAnsi="仿宋" w:eastAsia="仿宋"/>
          <w:b/>
          <w:color w:val="auto"/>
          <w:sz w:val="32"/>
          <w:szCs w:val="32"/>
          <w:highlight w:val="none"/>
        </w:rPr>
      </w:pPr>
    </w:p>
    <w:p>
      <w:pPr>
        <w:rPr>
          <w:rFonts w:hint="eastAsia" w:ascii="仿宋" w:hAnsi="仿宋" w:eastAsia="仿宋"/>
          <w:b/>
          <w:color w:val="auto"/>
          <w:sz w:val="32"/>
          <w:szCs w:val="32"/>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spacing w:line="600" w:lineRule="exact"/>
        <w:jc w:val="center"/>
        <w:outlineLvl w:val="0"/>
        <w:rPr>
          <w:rStyle w:val="25"/>
          <w:rFonts w:hint="eastAsia" w:ascii="黑体" w:hAnsi="黑体" w:eastAsia="黑体"/>
          <w:b w:val="0"/>
          <w:color w:val="auto"/>
          <w:highlight w:val="none"/>
          <w:lang w:val="en-US" w:eastAsia="zh-CN"/>
        </w:rPr>
      </w:pPr>
      <w:bookmarkStart w:id="51" w:name="_Toc15377226"/>
      <w:bookmarkStart w:id="52" w:name="_Toc15396618"/>
      <w:r>
        <w:rPr>
          <w:rFonts w:hint="eastAsia" w:ascii="黑体" w:hAnsi="黑体" w:eastAsia="黑体"/>
          <w:color w:val="auto"/>
          <w:sz w:val="44"/>
          <w:szCs w:val="44"/>
          <w:highlight w:val="none"/>
        </w:rPr>
        <w:t>第</w:t>
      </w:r>
      <w:r>
        <w:rPr>
          <w:rFonts w:hint="eastAsia" w:ascii="黑体" w:hAnsi="黑体" w:eastAsia="黑体"/>
          <w:color w:val="auto"/>
          <w:sz w:val="44"/>
          <w:szCs w:val="44"/>
          <w:highlight w:val="none"/>
          <w:lang w:val="en-US" w:eastAsia="zh-CN"/>
        </w:rPr>
        <w:t>四</w:t>
      </w:r>
      <w:r>
        <w:rPr>
          <w:rStyle w:val="25"/>
          <w:rFonts w:hint="eastAsia" w:ascii="黑体" w:hAnsi="黑体" w:eastAsia="黑体"/>
          <w:b w:val="0"/>
          <w:color w:val="auto"/>
          <w:highlight w:val="none"/>
        </w:rPr>
        <w:t>部分 附</w:t>
      </w:r>
      <w:bookmarkEnd w:id="51"/>
      <w:bookmarkEnd w:id="52"/>
      <w:bookmarkStart w:id="53" w:name="_Toc15396619"/>
      <w:r>
        <w:rPr>
          <w:rStyle w:val="25"/>
          <w:rFonts w:hint="eastAsia" w:ascii="黑体" w:hAnsi="黑体" w:eastAsia="黑体"/>
          <w:b w:val="0"/>
          <w:color w:val="auto"/>
          <w:highlight w:val="none"/>
          <w:lang w:val="en-US" w:eastAsia="zh-CN"/>
        </w:rPr>
        <w:t>件</w:t>
      </w:r>
    </w:p>
    <w:p>
      <w:pPr>
        <w:spacing w:line="600" w:lineRule="exact"/>
        <w:jc w:val="both"/>
        <w:outlineLvl w:val="0"/>
        <w:rPr>
          <w:rFonts w:hint="eastAsia" w:ascii="仿宋" w:hAnsi="仿宋" w:eastAsia="仿宋" w:cstheme="majorBidi"/>
          <w:b w:val="0"/>
          <w:bCs/>
          <w:color w:val="auto"/>
          <w:kern w:val="2"/>
          <w:sz w:val="32"/>
          <w:szCs w:val="32"/>
          <w:highlight w:val="none"/>
          <w:lang w:val="en-US" w:eastAsia="zh-CN" w:bidi="ar-SA"/>
        </w:rPr>
      </w:pPr>
      <w:r>
        <w:rPr>
          <w:rFonts w:hint="eastAsia" w:ascii="仿宋" w:hAnsi="仿宋" w:eastAsia="仿宋" w:cstheme="majorBidi"/>
          <w:b w:val="0"/>
          <w:bCs/>
          <w:color w:val="auto"/>
          <w:kern w:val="2"/>
          <w:sz w:val="32"/>
          <w:szCs w:val="32"/>
          <w:highlight w:val="none"/>
          <w:lang w:val="en-US" w:eastAsia="zh-CN" w:bidi="ar-SA"/>
        </w:rPr>
        <w:t>一、收入支出决算总表</w:t>
      </w:r>
      <w:bookmarkEnd w:id="53"/>
    </w:p>
    <w:p>
      <w:pPr>
        <w:pStyle w:val="4"/>
        <w:rPr>
          <w:rFonts w:ascii="仿宋" w:hAnsi="仿宋" w:eastAsia="仿宋"/>
          <w:color w:val="auto"/>
          <w:highlight w:val="none"/>
        </w:rPr>
      </w:pPr>
      <w:bookmarkStart w:id="54"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4"/>
    </w:p>
    <w:p>
      <w:pPr>
        <w:pStyle w:val="4"/>
        <w:rPr>
          <w:rFonts w:ascii="仿宋" w:hAnsi="仿宋" w:eastAsia="仿宋"/>
          <w:color w:val="auto"/>
          <w:highlight w:val="none"/>
        </w:rPr>
      </w:pPr>
      <w:bookmarkStart w:id="55"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5"/>
    </w:p>
    <w:p>
      <w:pPr>
        <w:pStyle w:val="4"/>
        <w:rPr>
          <w:rFonts w:ascii="仿宋" w:hAnsi="仿宋" w:eastAsia="仿宋"/>
          <w:b w:val="0"/>
          <w:color w:val="auto"/>
          <w:highlight w:val="none"/>
        </w:rPr>
      </w:pPr>
      <w:bookmarkStart w:id="56"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6"/>
    </w:p>
    <w:p>
      <w:pPr>
        <w:pStyle w:val="4"/>
        <w:rPr>
          <w:rStyle w:val="26"/>
          <w:rFonts w:ascii="仿宋" w:hAnsi="仿宋" w:eastAsia="仿宋"/>
          <w:b w:val="0"/>
          <w:bCs w:val="0"/>
          <w:color w:val="auto"/>
          <w:highlight w:val="none"/>
        </w:rPr>
      </w:pPr>
      <w:bookmarkStart w:id="57"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7"/>
      <w:bookmarkStart w:id="58"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8"/>
    </w:p>
    <w:p>
      <w:pPr>
        <w:pStyle w:val="4"/>
        <w:rPr>
          <w:rFonts w:ascii="仿宋" w:hAnsi="仿宋" w:eastAsia="仿宋"/>
          <w:color w:val="auto"/>
          <w:highlight w:val="none"/>
        </w:rPr>
      </w:pPr>
      <w:bookmarkStart w:id="59"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59"/>
    </w:p>
    <w:p>
      <w:pPr>
        <w:pStyle w:val="4"/>
        <w:rPr>
          <w:rFonts w:ascii="仿宋" w:hAnsi="仿宋" w:eastAsia="仿宋"/>
          <w:color w:val="auto"/>
          <w:highlight w:val="none"/>
        </w:rPr>
      </w:pPr>
      <w:bookmarkStart w:id="60"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0"/>
    </w:p>
    <w:p>
      <w:pPr>
        <w:pStyle w:val="4"/>
        <w:rPr>
          <w:rFonts w:ascii="仿宋" w:hAnsi="仿宋" w:eastAsia="仿宋"/>
          <w:color w:val="auto"/>
          <w:highlight w:val="none"/>
        </w:rPr>
      </w:pPr>
      <w:bookmarkStart w:id="61"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1"/>
    </w:p>
    <w:p>
      <w:pPr>
        <w:pStyle w:val="4"/>
        <w:rPr>
          <w:rFonts w:ascii="仿宋" w:hAnsi="仿宋" w:eastAsia="仿宋"/>
          <w:color w:val="auto"/>
          <w:highlight w:val="none"/>
        </w:rPr>
      </w:pPr>
      <w:bookmarkStart w:id="62" w:name="_Toc15396628"/>
      <w:r>
        <w:rPr>
          <w:rStyle w:val="26"/>
          <w:rFonts w:hint="eastAsia" w:ascii="仿宋" w:hAnsi="仿宋" w:eastAsia="仿宋"/>
          <w:b w:val="0"/>
          <w:bCs w:val="0"/>
          <w:color w:val="auto"/>
          <w:highlight w:val="none"/>
        </w:rPr>
        <w:t>十、</w:t>
      </w:r>
      <w:bookmarkEnd w:id="62"/>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3" w:name="_Toc15396629"/>
      <w:r>
        <w:rPr>
          <w:rStyle w:val="26"/>
          <w:rFonts w:hint="eastAsia" w:ascii="仿宋" w:hAnsi="仿宋" w:eastAsia="仿宋"/>
          <w:b w:val="0"/>
          <w:bCs w:val="0"/>
          <w:color w:val="auto"/>
          <w:highlight w:val="none"/>
        </w:rPr>
        <w:t>十一、</w:t>
      </w:r>
      <w:bookmarkEnd w:id="63"/>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4" w:name="_Toc15396630"/>
      <w:r>
        <w:rPr>
          <w:rStyle w:val="26"/>
          <w:rFonts w:hint="eastAsia" w:ascii="仿宋" w:hAnsi="仿宋" w:eastAsia="仿宋"/>
          <w:b w:val="0"/>
          <w:bCs w:val="0"/>
          <w:color w:val="auto"/>
          <w:highlight w:val="none"/>
        </w:rPr>
        <w:t>十二、</w:t>
      </w:r>
      <w:bookmarkEnd w:id="64"/>
      <w:r>
        <w:rPr>
          <w:rStyle w:val="26"/>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5" w:name="_Toc15396631"/>
      <w:r>
        <w:rPr>
          <w:rStyle w:val="26"/>
          <w:rFonts w:hint="eastAsia" w:ascii="仿宋" w:hAnsi="仿宋" w:eastAsia="仿宋"/>
          <w:b w:val="0"/>
          <w:bCs w:val="0"/>
          <w:color w:val="auto"/>
          <w:highlight w:val="none"/>
        </w:rPr>
        <w:t>十三、</w:t>
      </w:r>
      <w:bookmarkEnd w:id="65"/>
      <w:r>
        <w:rPr>
          <w:rStyle w:val="26"/>
          <w:rFonts w:hint="eastAsia" w:ascii="仿宋" w:hAnsi="仿宋" w:eastAsia="仿宋"/>
          <w:b w:val="0"/>
          <w:bCs w:val="0"/>
          <w:color w:val="auto"/>
          <w:highlight w:val="none"/>
          <w:lang w:eastAsia="zh-CN"/>
        </w:rPr>
        <w:t>财政拨款“三公”经费支出决算表</w:t>
      </w:r>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CE49D76"/>
    <w:multiLevelType w:val="singleLevel"/>
    <w:tmpl w:val="DCE49D76"/>
    <w:lvl w:ilvl="0" w:tentative="0">
      <w:start w:val="3"/>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zYyNWViZTE4NGNmNTBhZGFiZTNkZDY4MWIwOT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0753B1"/>
    <w:rsid w:val="053A62B5"/>
    <w:rsid w:val="0A2032A3"/>
    <w:rsid w:val="0A56459C"/>
    <w:rsid w:val="0B8A37D8"/>
    <w:rsid w:val="10743084"/>
    <w:rsid w:val="10C055FF"/>
    <w:rsid w:val="118107EC"/>
    <w:rsid w:val="11DD6519"/>
    <w:rsid w:val="134277F0"/>
    <w:rsid w:val="13CB3A86"/>
    <w:rsid w:val="142E5C9F"/>
    <w:rsid w:val="16BB723D"/>
    <w:rsid w:val="18015F3F"/>
    <w:rsid w:val="18CB384E"/>
    <w:rsid w:val="1A2749CA"/>
    <w:rsid w:val="1BE8440E"/>
    <w:rsid w:val="1D155CEE"/>
    <w:rsid w:val="20F57F95"/>
    <w:rsid w:val="240371BF"/>
    <w:rsid w:val="2477022E"/>
    <w:rsid w:val="25711CC6"/>
    <w:rsid w:val="25C741E6"/>
    <w:rsid w:val="25F0544D"/>
    <w:rsid w:val="27465223"/>
    <w:rsid w:val="27842671"/>
    <w:rsid w:val="29FD04D3"/>
    <w:rsid w:val="2A9C3F00"/>
    <w:rsid w:val="2ABE7A3E"/>
    <w:rsid w:val="2CA234A8"/>
    <w:rsid w:val="2EFA178C"/>
    <w:rsid w:val="30B46D73"/>
    <w:rsid w:val="319F7F4E"/>
    <w:rsid w:val="383D272C"/>
    <w:rsid w:val="388163D9"/>
    <w:rsid w:val="391F2488"/>
    <w:rsid w:val="39AE70AB"/>
    <w:rsid w:val="3C0C0783"/>
    <w:rsid w:val="3F9F3A96"/>
    <w:rsid w:val="419C3370"/>
    <w:rsid w:val="41AD3223"/>
    <w:rsid w:val="44366156"/>
    <w:rsid w:val="474C297B"/>
    <w:rsid w:val="48BF60AB"/>
    <w:rsid w:val="493C27E9"/>
    <w:rsid w:val="496F39ED"/>
    <w:rsid w:val="49FF41D3"/>
    <w:rsid w:val="4A1470AD"/>
    <w:rsid w:val="4BE068DB"/>
    <w:rsid w:val="4BF6002B"/>
    <w:rsid w:val="4C280AD7"/>
    <w:rsid w:val="4C491754"/>
    <w:rsid w:val="4E631F53"/>
    <w:rsid w:val="4ECE2238"/>
    <w:rsid w:val="51DB4B86"/>
    <w:rsid w:val="551A107B"/>
    <w:rsid w:val="55333C3E"/>
    <w:rsid w:val="5C841B60"/>
    <w:rsid w:val="61AC6287"/>
    <w:rsid w:val="62BD5AD4"/>
    <w:rsid w:val="64CA39A1"/>
    <w:rsid w:val="66574FC2"/>
    <w:rsid w:val="69630ADE"/>
    <w:rsid w:val="6A2603BF"/>
    <w:rsid w:val="6A4964A7"/>
    <w:rsid w:val="6C334CDE"/>
    <w:rsid w:val="6C4A05C8"/>
    <w:rsid w:val="6D3B1A89"/>
    <w:rsid w:val="71BF4EC2"/>
    <w:rsid w:val="722853DA"/>
    <w:rsid w:val="72734D90"/>
    <w:rsid w:val="7412278C"/>
    <w:rsid w:val="75BC18A6"/>
    <w:rsid w:val="79E7B28D"/>
    <w:rsid w:val="7DAB093C"/>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autoRedefine/>
    <w:unhideWhenUsed/>
    <w:qFormat/>
    <w:uiPriority w:val="9"/>
    <w:pPr>
      <w:keepNext/>
      <w:keepLines/>
      <w:spacing w:before="260" w:after="260" w:line="416" w:lineRule="auto"/>
      <w:outlineLvl w:val="2"/>
    </w:pPr>
    <w:rPr>
      <w:b/>
      <w:bCs/>
      <w:sz w:val="32"/>
      <w:szCs w:val="32"/>
    </w:rPr>
  </w:style>
  <w:style w:type="character" w:default="1" w:styleId="14">
    <w:name w:val="Default Paragraph Font"/>
    <w:autoRedefine/>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6">
    <w:name w:val="Body Text"/>
    <w:basedOn w:val="1"/>
    <w:link w:val="22"/>
    <w:autoRedefine/>
    <w:qFormat/>
    <w:uiPriority w:val="99"/>
    <w:pPr>
      <w:spacing w:beforeLines="30"/>
    </w:pPr>
    <w:rPr>
      <w:rFonts w:ascii="仿宋_GB2312" w:eastAsia="仿宋_GB2312"/>
      <w:kern w:val="0"/>
      <w:sz w:val="30"/>
    </w:rPr>
  </w:style>
  <w:style w:type="paragraph" w:styleId="7">
    <w:name w:val="toc 3"/>
    <w:basedOn w:val="1"/>
    <w:next w:val="1"/>
    <w:autoRedefine/>
    <w:unhideWhenUsed/>
    <w:qFormat/>
    <w:uiPriority w:val="39"/>
    <w:pPr>
      <w:tabs>
        <w:tab w:val="right" w:leader="dot" w:pos="8296"/>
      </w:tabs>
      <w:ind w:left="840" w:leftChars="400"/>
    </w:pPr>
  </w:style>
  <w:style w:type="paragraph" w:styleId="8">
    <w:name w:val="Balloon Text"/>
    <w:basedOn w:val="1"/>
    <w:link w:val="28"/>
    <w:autoRedefine/>
    <w:semiHidden/>
    <w:unhideWhenUsed/>
    <w:qFormat/>
    <w:uiPriority w:val="99"/>
    <w:rPr>
      <w:sz w:val="18"/>
      <w:szCs w:val="18"/>
    </w:rPr>
  </w:style>
  <w:style w:type="paragraph" w:styleId="9">
    <w:name w:val="footer"/>
    <w:basedOn w:val="1"/>
    <w:link w:val="20"/>
    <w:autoRedefine/>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autoRedefine/>
    <w:unhideWhenUsed/>
    <w:qFormat/>
    <w:uiPriority w:val="39"/>
    <w:pPr>
      <w:tabs>
        <w:tab w:val="right" w:leader="dot" w:pos="8296"/>
      </w:tabs>
      <w:ind w:left="420" w:leftChars="200"/>
    </w:pPr>
  </w:style>
  <w:style w:type="character" w:styleId="15">
    <w:name w:val="Strong"/>
    <w:basedOn w:val="14"/>
    <w:autoRedefine/>
    <w:qFormat/>
    <w:uiPriority w:val="99"/>
    <w:rPr>
      <w:b/>
    </w:rPr>
  </w:style>
  <w:style w:type="character" w:styleId="16">
    <w:name w:val="Hyperlink"/>
    <w:basedOn w:val="14"/>
    <w:autoRedefine/>
    <w:unhideWhenUsed/>
    <w:qFormat/>
    <w:uiPriority w:val="99"/>
    <w:rPr>
      <w:color w:val="0000FF" w:themeColor="hyperlink"/>
      <w:u w:val="single"/>
      <w14:textFill>
        <w14:solidFill>
          <w14:schemeClr w14:val="hlink"/>
        </w14:solidFill>
      </w14:textFill>
    </w:rPr>
  </w:style>
  <w:style w:type="character" w:customStyle="1" w:styleId="17">
    <w:name w:val="Header Char"/>
    <w:basedOn w:val="14"/>
    <w:autoRedefine/>
    <w:semiHidden/>
    <w:qFormat/>
    <w:uiPriority w:val="99"/>
    <w:rPr>
      <w:rFonts w:ascii="Times New Roman" w:hAnsi="Times New Roman"/>
      <w:sz w:val="18"/>
      <w:szCs w:val="18"/>
    </w:rPr>
  </w:style>
  <w:style w:type="character" w:customStyle="1" w:styleId="18">
    <w:name w:val="页眉 Char"/>
    <w:link w:val="10"/>
    <w:autoRedefine/>
    <w:semiHidden/>
    <w:qFormat/>
    <w:locked/>
    <w:uiPriority w:val="99"/>
    <w:rPr>
      <w:sz w:val="18"/>
    </w:rPr>
  </w:style>
  <w:style w:type="character" w:customStyle="1" w:styleId="19">
    <w:name w:val="Footer Char"/>
    <w:basedOn w:val="14"/>
    <w:autoRedefine/>
    <w:semiHidden/>
    <w:qFormat/>
    <w:uiPriority w:val="99"/>
    <w:rPr>
      <w:rFonts w:ascii="Times New Roman" w:hAnsi="Times New Roman"/>
      <w:sz w:val="18"/>
      <w:szCs w:val="18"/>
    </w:rPr>
  </w:style>
  <w:style w:type="character" w:customStyle="1" w:styleId="20">
    <w:name w:val="页脚 Char"/>
    <w:link w:val="9"/>
    <w:autoRedefine/>
    <w:qFormat/>
    <w:locked/>
    <w:uiPriority w:val="99"/>
    <w:rPr>
      <w:sz w:val="18"/>
    </w:rPr>
  </w:style>
  <w:style w:type="character" w:customStyle="1" w:styleId="21">
    <w:name w:val="Body Text Char"/>
    <w:basedOn w:val="14"/>
    <w:autoRedefine/>
    <w:semiHidden/>
    <w:qFormat/>
    <w:uiPriority w:val="99"/>
    <w:rPr>
      <w:rFonts w:ascii="Times New Roman" w:hAnsi="Times New Roman"/>
      <w:szCs w:val="24"/>
    </w:rPr>
  </w:style>
  <w:style w:type="character" w:customStyle="1" w:styleId="22">
    <w:name w:val="正文文本 Char"/>
    <w:link w:val="6"/>
    <w:autoRedefine/>
    <w:qFormat/>
    <w:locked/>
    <w:uiPriority w:val="99"/>
    <w:rPr>
      <w:rFonts w:ascii="仿宋_GB2312" w:hAnsi="Times New Roman" w:eastAsia="仿宋_GB2312"/>
      <w:sz w:val="24"/>
    </w:rPr>
  </w:style>
  <w:style w:type="paragraph" w:customStyle="1" w:styleId="23">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autoRedefine/>
    <w:qFormat/>
    <w:uiPriority w:val="34"/>
    <w:pPr>
      <w:ind w:firstLine="420" w:firstLineChars="200"/>
    </w:pPr>
  </w:style>
  <w:style w:type="character" w:customStyle="1" w:styleId="25">
    <w:name w:val="标题 1 Char"/>
    <w:basedOn w:val="14"/>
    <w:link w:val="3"/>
    <w:autoRedefine/>
    <w:qFormat/>
    <w:uiPriority w:val="9"/>
    <w:rPr>
      <w:rFonts w:ascii="Times New Roman" w:hAnsi="Times New Roman"/>
      <w:b/>
      <w:bCs/>
      <w:kern w:val="44"/>
      <w:sz w:val="44"/>
      <w:szCs w:val="44"/>
    </w:rPr>
  </w:style>
  <w:style w:type="character" w:customStyle="1" w:styleId="26">
    <w:name w:val="标题 2 Char"/>
    <w:basedOn w:val="14"/>
    <w:link w:val="4"/>
    <w:autoRedefine/>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autoRedefine/>
    <w:semiHidden/>
    <w:qFormat/>
    <w:uiPriority w:val="99"/>
    <w:rPr>
      <w:rFonts w:ascii="Times New Roman" w:hAnsi="Times New Roman"/>
      <w:kern w:val="2"/>
      <w:sz w:val="18"/>
      <w:szCs w:val="18"/>
    </w:rPr>
  </w:style>
  <w:style w:type="character" w:customStyle="1" w:styleId="29">
    <w:name w:val="标题 3 Char"/>
    <w:basedOn w:val="14"/>
    <w:link w:val="5"/>
    <w:autoRedefine/>
    <w:qFormat/>
    <w:uiPriority w:val="9"/>
    <w:rPr>
      <w:rFonts w:ascii="Times New Roman" w:hAnsi="Times New Roman"/>
      <w:b/>
      <w:bCs/>
      <w:kern w:val="2"/>
      <w:sz w:val="32"/>
      <w:szCs w:val="32"/>
    </w:rPr>
  </w:style>
  <w:style w:type="paragraph" w:customStyle="1" w:styleId="30">
    <w:name w:val="TOC Heading"/>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22</TotalTime>
  <ScaleCrop>false</ScaleCrop>
  <LinksUpToDate>false</LinksUpToDate>
  <CharactersWithSpaces>8692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一科飘儿</cp:lastModifiedBy>
  <cp:lastPrinted>2023-08-28T08:11:00Z</cp:lastPrinted>
  <dcterms:modified xsi:type="dcterms:W3CDTF">2024-02-21T09:31:15Z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7E80E4B9318A431C9B654D27D2DF54D2_13</vt:lpwstr>
  </property>
</Properties>
</file>