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color w:val="auto"/>
          <w:sz w:val="72"/>
          <w:szCs w:val="72"/>
          <w:highlight w:val="none"/>
        </w:rPr>
      </w:pPr>
      <w:bookmarkStart w:id="0" w:name="_Toc15377425"/>
      <w:bookmarkStart w:id="1" w:name="_Toc15377193"/>
      <w:bookmarkStart w:id="2" w:name="_Toc15396475"/>
      <w:bookmarkStart w:id="3" w:name="_Toc15306267"/>
      <w:bookmarkStart w:id="4" w:name="_Toc15378441"/>
      <w:bookmarkStart w:id="5" w:name="_Toc15396597"/>
    </w:p>
    <w:p>
      <w:pPr>
        <w:spacing w:line="600" w:lineRule="exact"/>
        <w:jc w:val="center"/>
        <w:outlineLvl w:val="0"/>
        <w:rPr>
          <w:rFonts w:ascii="方正小标宋简体" w:hAnsi="宋体" w:eastAsia="方正小标宋简体"/>
          <w:color w:val="auto"/>
          <w:sz w:val="72"/>
          <w:szCs w:val="72"/>
          <w:highlight w:val="none"/>
        </w:rPr>
      </w:pPr>
    </w:p>
    <w:p>
      <w:pPr>
        <w:spacing w:line="600" w:lineRule="exact"/>
        <w:jc w:val="center"/>
        <w:outlineLvl w:val="0"/>
        <w:rPr>
          <w:rFonts w:ascii="方正小标宋简体" w:hAnsi="宋体" w:eastAsia="方正小标宋简体"/>
          <w:color w:val="auto"/>
          <w:sz w:val="72"/>
          <w:szCs w:val="72"/>
          <w:highlight w:val="none"/>
        </w:rPr>
      </w:pPr>
    </w:p>
    <w:bookmarkEnd w:id="0"/>
    <w:bookmarkEnd w:id="1"/>
    <w:bookmarkEnd w:id="2"/>
    <w:bookmarkEnd w:id="3"/>
    <w:bookmarkEnd w:id="4"/>
    <w:bookmarkEnd w:id="5"/>
    <w:p>
      <w:pPr>
        <w:adjustRightInd w:val="0"/>
        <w:snapToGrid w:val="0"/>
        <w:spacing w:line="360" w:lineRule="auto"/>
        <w:jc w:val="center"/>
        <w:outlineLvl w:val="0"/>
        <w:rPr>
          <w:rFonts w:eastAsia="方正小标宋简体"/>
          <w:color w:val="000000"/>
          <w:sz w:val="72"/>
          <w:szCs w:val="72"/>
        </w:rPr>
      </w:pPr>
      <w:bookmarkStart w:id="6" w:name="_Toc28326"/>
      <w:r>
        <w:rPr>
          <w:rFonts w:eastAsia="黑体"/>
          <w:color w:val="000000"/>
          <w:sz w:val="72"/>
          <w:szCs w:val="72"/>
        </w:rPr>
        <w:t>202</w:t>
      </w:r>
      <w:r>
        <w:rPr>
          <w:rFonts w:hint="eastAsia" w:eastAsia="黑体"/>
          <w:color w:val="000000"/>
          <w:sz w:val="72"/>
          <w:szCs w:val="72"/>
          <w:lang w:val="en-US" w:eastAsia="zh-CN"/>
        </w:rPr>
        <w:t>2</w:t>
      </w:r>
      <w:r>
        <w:rPr>
          <w:rFonts w:eastAsia="方正小标宋简体"/>
          <w:color w:val="000000"/>
          <w:sz w:val="72"/>
          <w:szCs w:val="72"/>
        </w:rPr>
        <w:t>年度</w:t>
      </w:r>
      <w:bookmarkEnd w:id="6"/>
    </w:p>
    <w:p>
      <w:pPr>
        <w:adjustRightInd w:val="0"/>
        <w:snapToGrid w:val="0"/>
        <w:spacing w:line="360" w:lineRule="auto"/>
        <w:jc w:val="center"/>
        <w:outlineLvl w:val="0"/>
        <w:rPr>
          <w:rFonts w:hint="eastAsia" w:eastAsia="方正小标宋简体"/>
          <w:color w:val="000000"/>
          <w:sz w:val="72"/>
          <w:szCs w:val="72"/>
          <w:highlight w:val="yellow"/>
        </w:rPr>
      </w:pPr>
      <w:bookmarkStart w:id="7" w:name="_Toc15396476"/>
      <w:bookmarkStart w:id="8" w:name="_Toc15378442"/>
      <w:bookmarkStart w:id="9" w:name="_Toc15396598"/>
      <w:bookmarkStart w:id="10" w:name="_Toc15377426"/>
      <w:bookmarkStart w:id="11" w:name="_Toc15377194"/>
      <w:bookmarkStart w:id="12" w:name="_Toc15058"/>
      <w:r>
        <w:rPr>
          <w:rFonts w:eastAsia="方正小标宋简体"/>
          <w:color w:val="000000"/>
          <w:sz w:val="72"/>
          <w:szCs w:val="72"/>
        </w:rPr>
        <w:t>资</w:t>
      </w:r>
      <w:bookmarkEnd w:id="7"/>
      <w:bookmarkEnd w:id="8"/>
      <w:bookmarkEnd w:id="9"/>
      <w:bookmarkEnd w:id="10"/>
      <w:bookmarkEnd w:id="11"/>
      <w:bookmarkStart w:id="13" w:name="_Toc15306268"/>
      <w:r>
        <w:rPr>
          <w:rFonts w:eastAsia="方正小标宋简体"/>
          <w:color w:val="000000"/>
          <w:sz w:val="72"/>
          <w:szCs w:val="72"/>
        </w:rPr>
        <w:t>阳市</w:t>
      </w:r>
      <w:r>
        <w:rPr>
          <w:rFonts w:hint="eastAsia" w:eastAsia="方正小标宋简体"/>
          <w:color w:val="000000"/>
          <w:sz w:val="72"/>
          <w:szCs w:val="72"/>
        </w:rPr>
        <w:t>雁江区财政局</w:t>
      </w:r>
      <w:bookmarkEnd w:id="12"/>
    </w:p>
    <w:p>
      <w:pPr>
        <w:adjustRightInd w:val="0"/>
        <w:snapToGrid w:val="0"/>
        <w:spacing w:line="360" w:lineRule="auto"/>
        <w:jc w:val="center"/>
        <w:outlineLvl w:val="0"/>
        <w:rPr>
          <w:rFonts w:eastAsia="方正小标宋简体"/>
          <w:color w:val="000000"/>
          <w:sz w:val="72"/>
          <w:szCs w:val="72"/>
        </w:rPr>
      </w:pPr>
      <w:bookmarkStart w:id="14" w:name="_Toc24423"/>
      <w:r>
        <w:rPr>
          <w:rFonts w:eastAsia="方正小标宋简体"/>
          <w:color w:val="000000"/>
          <w:sz w:val="72"/>
          <w:szCs w:val="72"/>
        </w:rPr>
        <w:t>部门决算</w:t>
      </w:r>
      <w:bookmarkEnd w:id="13"/>
      <w:bookmarkEnd w:id="14"/>
    </w:p>
    <w:p>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pPr>
        <w:widowControl/>
        <w:jc w:val="center"/>
        <w:rPr>
          <w:rFonts w:ascii="黑体" w:hAnsi="黑体" w:eastAsia="黑体" w:cstheme="minorBidi"/>
          <w:color w:val="auto"/>
          <w:sz w:val="28"/>
          <w:szCs w:val="28"/>
          <w:highlight w:val="none"/>
        </w:rPr>
      </w:pPr>
    </w:p>
    <w:p>
      <w:pPr>
        <w:pStyle w:val="14"/>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w:t>
      </w:r>
      <w:r>
        <w:rPr>
          <w:rFonts w:hint="eastAsia"/>
          <w:color w:val="auto"/>
          <w:highlight w:val="none"/>
        </w:rPr>
        <w:t>日</w:t>
      </w:r>
    </w:p>
    <w:p>
      <w:pPr>
        <w:rPr>
          <w:color w:val="auto"/>
          <w:highlight w:val="none"/>
        </w:rPr>
      </w:pPr>
    </w:p>
    <w:p>
      <w:pPr>
        <w:pStyle w:val="14"/>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第一部分</w:t>
      </w:r>
      <w:r>
        <w:rPr>
          <w:color w:val="auto"/>
          <w:sz w:val="24"/>
          <w:highlight w:val="none"/>
        </w:rPr>
        <w:t xml:space="preserve"> </w:t>
      </w:r>
      <w:r>
        <w:rPr>
          <w:rFonts w:hint="eastAsia"/>
          <w:color w:val="auto"/>
          <w:sz w:val="24"/>
          <w:highlight w:val="none"/>
        </w:rPr>
        <w:t>部门概况</w:t>
      </w:r>
      <w:r>
        <w:rPr>
          <w:rFonts w:hint="eastAsia"/>
          <w:color w:val="auto"/>
          <w:sz w:val="24"/>
          <w:highlight w:val="none"/>
          <w:lang w:val="en-US" w:eastAsia="zh-CN"/>
        </w:rPr>
        <w:t xml:space="preserve">                                            4</w:t>
      </w:r>
    </w:p>
    <w:p>
      <w:pPr>
        <w:pStyle w:val="15"/>
        <w:adjustRightInd w:val="0"/>
        <w:snapToGrid w:val="0"/>
        <w:spacing w:line="440" w:lineRule="exact"/>
        <w:jc w:val="left"/>
        <w:rPr>
          <w:rFonts w:hint="default" w:ascii="仿宋" w:hAnsi="仿宋" w:eastAsia="仿宋"/>
          <w:color w:val="auto"/>
          <w:sz w:val="24"/>
          <w:highlight w:val="none"/>
          <w:lang w:val="en-US"/>
        </w:rPr>
      </w:pPr>
      <w:r>
        <w:rPr>
          <w:rFonts w:hint="eastAsia"/>
          <w:color w:val="auto"/>
          <w:sz w:val="24"/>
          <w:highlight w:val="none"/>
        </w:rPr>
        <w:t>一、</w:t>
      </w:r>
      <w:r>
        <w:rPr>
          <w:rFonts w:hint="eastAsia"/>
          <w:color w:val="auto"/>
          <w:sz w:val="24"/>
          <w:highlight w:val="none"/>
          <w:lang w:eastAsia="zh-CN"/>
        </w:rPr>
        <w:t>部门职责</w:t>
      </w:r>
      <w:r>
        <w:rPr>
          <w:rFonts w:hint="eastAsia"/>
          <w:color w:val="auto"/>
          <w:sz w:val="24"/>
          <w:highlight w:val="none"/>
          <w:lang w:val="en-US" w:eastAsia="zh-CN"/>
        </w:rPr>
        <w:t xml:space="preserve">                                             4</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二、机构设置</w:t>
      </w:r>
      <w:r>
        <w:rPr>
          <w:rFonts w:hint="eastAsia"/>
          <w:color w:val="auto"/>
          <w:sz w:val="24"/>
          <w:highlight w:val="none"/>
          <w:lang w:val="en-US" w:eastAsia="zh-CN"/>
        </w:rPr>
        <w:t xml:space="preserve">                                             6</w:t>
      </w:r>
    </w:p>
    <w:p>
      <w:pPr>
        <w:pStyle w:val="14"/>
        <w:adjustRightInd w:val="0"/>
        <w:snapToGrid w:val="0"/>
        <w:spacing w:before="0" w:line="440" w:lineRule="exact"/>
        <w:jc w:val="left"/>
        <w:rPr>
          <w:rFonts w:hint="default" w:eastAsia="仿宋"/>
          <w:color w:val="auto"/>
          <w:sz w:val="24"/>
          <w:szCs w:val="24"/>
          <w:highlight w:val="none"/>
          <w:lang w:val="en-US" w:eastAsia="zh-CN"/>
        </w:rPr>
      </w:pPr>
      <w:r>
        <w:rPr>
          <w:rFonts w:hint="eastAsia"/>
          <w:color w:val="auto"/>
          <w:sz w:val="24"/>
          <w:highlight w:val="none"/>
        </w:rPr>
        <w:t>第二部分</w:t>
      </w:r>
      <w:r>
        <w:rPr>
          <w:rFonts w:hint="eastAsia"/>
          <w:color w:val="auto"/>
          <w:sz w:val="24"/>
          <w:highlight w:val="none"/>
          <w:lang w:val="en-US" w:eastAsia="zh-CN"/>
        </w:rPr>
        <w:t xml:space="preserve"> 2022年度</w:t>
      </w:r>
      <w:r>
        <w:rPr>
          <w:rFonts w:hint="eastAsia"/>
          <w:color w:val="auto"/>
          <w:sz w:val="24"/>
          <w:highlight w:val="none"/>
        </w:rPr>
        <w:t>部门决算情况说明</w:t>
      </w:r>
      <w:r>
        <w:rPr>
          <w:rFonts w:hint="eastAsia"/>
          <w:color w:val="auto"/>
          <w:sz w:val="24"/>
          <w:highlight w:val="none"/>
          <w:lang w:val="en-US" w:eastAsia="zh-CN"/>
        </w:rPr>
        <w:t xml:space="preserve">                           7</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一、收入支出决算总体情况说明</w:t>
      </w:r>
      <w:r>
        <w:rPr>
          <w:rFonts w:hint="eastAsia"/>
          <w:color w:val="auto"/>
          <w:sz w:val="24"/>
          <w:highlight w:val="none"/>
          <w:lang w:val="en-US" w:eastAsia="zh-CN"/>
        </w:rPr>
        <w:t xml:space="preserve">                             7</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二、收入决算情况说明</w:t>
      </w:r>
      <w:r>
        <w:rPr>
          <w:rFonts w:hint="eastAsia"/>
          <w:color w:val="auto"/>
          <w:sz w:val="24"/>
          <w:highlight w:val="none"/>
          <w:lang w:val="en-US" w:eastAsia="zh-CN"/>
        </w:rPr>
        <w:t xml:space="preserve">                                     7</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三、支出决算情况说明</w:t>
      </w:r>
      <w:r>
        <w:rPr>
          <w:rFonts w:hint="eastAsia"/>
          <w:color w:val="auto"/>
          <w:sz w:val="24"/>
          <w:highlight w:val="none"/>
          <w:lang w:val="en-US" w:eastAsia="zh-CN"/>
        </w:rPr>
        <w:t xml:space="preserve">                                     8</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四、财政拨款收入支出决算总体情况说明</w:t>
      </w:r>
      <w:r>
        <w:rPr>
          <w:rFonts w:hint="eastAsia"/>
          <w:color w:val="auto"/>
          <w:sz w:val="24"/>
          <w:highlight w:val="none"/>
          <w:lang w:val="en-US" w:eastAsia="zh-CN"/>
        </w:rPr>
        <w:t xml:space="preserve">                     9</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五、一般公共预算财政拨款支出决算情况说明</w:t>
      </w:r>
      <w:r>
        <w:rPr>
          <w:rFonts w:hint="eastAsia"/>
          <w:color w:val="auto"/>
          <w:sz w:val="24"/>
          <w:highlight w:val="none"/>
          <w:lang w:val="en-US" w:eastAsia="zh-CN"/>
        </w:rPr>
        <w:t xml:space="preserve">                 10</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六、一般公共预算财政拨款基本支出决算情况说明</w:t>
      </w:r>
      <w:r>
        <w:rPr>
          <w:rFonts w:hint="eastAsia"/>
          <w:color w:val="auto"/>
          <w:sz w:val="24"/>
          <w:highlight w:val="none"/>
          <w:lang w:val="en-US" w:eastAsia="zh-CN"/>
        </w:rPr>
        <w:t xml:space="preserve">             12</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color w:val="auto"/>
          <w:sz w:val="24"/>
          <w:highlight w:val="none"/>
          <w:lang w:val="en-US" w:eastAsia="zh-CN"/>
        </w:rPr>
        <w:t xml:space="preserve">                 13</w:t>
      </w:r>
    </w:p>
    <w:p>
      <w:pPr>
        <w:pStyle w:val="15"/>
        <w:adjustRightInd w:val="0"/>
        <w:snapToGrid w:val="0"/>
        <w:spacing w:line="440" w:lineRule="exact"/>
        <w:jc w:val="left"/>
        <w:rPr>
          <w:rFonts w:hint="default" w:ascii="仿宋" w:hAnsi="仿宋" w:eastAsia="宋体" w:cstheme="minorBidi"/>
          <w:color w:val="auto"/>
          <w:sz w:val="24"/>
          <w:highlight w:val="none"/>
          <w:lang w:val="en-US" w:eastAsia="zh-CN"/>
        </w:rPr>
      </w:pPr>
      <w:r>
        <w:rPr>
          <w:rFonts w:hint="eastAsia"/>
          <w:color w:val="auto"/>
          <w:sz w:val="24"/>
          <w:highlight w:val="none"/>
        </w:rPr>
        <w:t>八、政府性基金预算支出决算情况说明</w:t>
      </w:r>
      <w:r>
        <w:rPr>
          <w:rFonts w:hint="eastAsia"/>
          <w:color w:val="auto"/>
          <w:sz w:val="24"/>
          <w:highlight w:val="none"/>
          <w:lang w:val="en-US" w:eastAsia="zh-CN"/>
        </w:rPr>
        <w:t xml:space="preserve">                       15</w:t>
      </w:r>
    </w:p>
    <w:p>
      <w:pPr>
        <w:pStyle w:val="15"/>
        <w:adjustRightInd w:val="0"/>
        <w:snapToGrid w:val="0"/>
        <w:spacing w:line="440" w:lineRule="exact"/>
        <w:ind w:leftChars="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九、</w:t>
      </w:r>
      <w:r>
        <w:rPr>
          <w:rFonts w:hint="eastAsia" w:asciiTheme="minorEastAsia" w:hAnsiTheme="minorEastAsia" w:eastAsiaTheme="minorEastAsia" w:cstheme="minorEastAsia"/>
          <w:color w:val="auto"/>
          <w:sz w:val="24"/>
          <w:highlight w:val="none"/>
          <w:lang w:eastAsia="zh-CN"/>
        </w:rPr>
        <w:t>国</w:t>
      </w:r>
      <w:r>
        <w:rPr>
          <w:rFonts w:hint="eastAsia" w:asciiTheme="minorEastAsia" w:hAnsiTheme="minorEastAsia" w:eastAsiaTheme="minorEastAsia" w:cstheme="minorEastAsia"/>
          <w:color w:val="auto"/>
          <w:sz w:val="24"/>
          <w:highlight w:val="none"/>
        </w:rPr>
        <w:t>有资本经营预算支出决算情况说明</w:t>
      </w:r>
      <w:r>
        <w:rPr>
          <w:rFonts w:hint="eastAsia" w:asciiTheme="minorEastAsia" w:hAnsiTheme="minorEastAsia" w:eastAsiaTheme="minorEastAsia" w:cstheme="minorEastAsia"/>
          <w:color w:val="auto"/>
          <w:sz w:val="24"/>
          <w:highlight w:val="none"/>
          <w:lang w:val="en-US" w:eastAsia="zh-CN"/>
        </w:rPr>
        <w:t xml:space="preserve">                     15</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20" w:firstLineChars="175"/>
        <w:jc w:val="left"/>
        <w:textAlignment w:val="auto"/>
        <w:rPr>
          <w:rFonts w:hint="default" w:asciiTheme="minorEastAsia" w:hAnsiTheme="minorEastAsia" w:eastAsiaTheme="minorEastAsia" w:cstheme="minorEastAsia"/>
          <w:color w:val="auto"/>
          <w:sz w:val="24"/>
          <w:highlight w:val="none"/>
          <w:lang w:val="en-US" w:eastAsia="zh-CN"/>
        </w:rPr>
      </w:pPr>
      <w:r>
        <w:rPr>
          <w:rStyle w:val="21"/>
          <w:rFonts w:hint="eastAsia" w:asciiTheme="minorEastAsia" w:hAnsiTheme="minorEastAsia" w:eastAsiaTheme="minorEastAsia" w:cstheme="minorEastAsia"/>
          <w:color w:val="auto"/>
          <w:sz w:val="24"/>
          <w:highlight w:val="none"/>
          <w:u w:val="none"/>
          <w:lang w:eastAsia="zh-CN"/>
        </w:rPr>
        <w:t>十</w:t>
      </w:r>
      <w:r>
        <w:rPr>
          <w:rStyle w:val="21"/>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rPr>
        <w:t>其他重要事项的情况说明</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lang w:val="en-US" w:eastAsia="zh-CN"/>
        </w:rPr>
        <w:t xml:space="preserve">                             15</w:t>
      </w:r>
    </w:p>
    <w:p>
      <w:pPr>
        <w:pStyle w:val="14"/>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eastAsia"/>
          <w:color w:val="auto"/>
          <w:sz w:val="24"/>
          <w:highlight w:val="none"/>
          <w:lang w:val="en-US" w:eastAsia="zh-CN"/>
        </w:rPr>
        <w:t xml:space="preserve">                                            19</w:t>
      </w:r>
    </w:p>
    <w:p>
      <w:pPr>
        <w:pStyle w:val="14"/>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olor w:val="auto"/>
          <w:sz w:val="24"/>
          <w:highlight w:val="none"/>
          <w:lang w:val="en-US" w:eastAsia="zh-CN"/>
        </w:rPr>
        <w:t xml:space="preserve">                                                23</w:t>
      </w:r>
    </w:p>
    <w:p>
      <w:pPr>
        <w:pStyle w:val="14"/>
        <w:adjustRightInd w:val="0"/>
        <w:snapToGrid w:val="0"/>
        <w:spacing w:before="0" w:line="440" w:lineRule="exact"/>
        <w:jc w:val="left"/>
        <w:rPr>
          <w:rFonts w:hint="default" w:eastAsia="仿宋" w:cstheme="minorBidi"/>
          <w:color w:val="auto"/>
          <w:sz w:val="24"/>
          <w:szCs w:val="24"/>
          <w:highlight w:val="none"/>
          <w:lang w:val="en-US" w:eastAsia="zh-CN"/>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一、收入支出决算总表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二、收入决算表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三、支出决算表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四、财政拨款收入支出决算总表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五、财政拨款支出决算明细表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六、一般公共预算财政拨款支出决算表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七、一般公共预算财政拨款支出决算明细表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九、一般公共预算财政拨款项目支出决算表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十、政府性基金预算财政拨款收入支出决算表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十一、国有资本经营预算财政拨款收入支出决算表</w:t>
      </w:r>
      <w:r>
        <w:rPr>
          <w:rFonts w:hint="eastAsia"/>
          <w:color w:val="auto"/>
          <w:sz w:val="24"/>
          <w:highlight w:val="none"/>
          <w:lang w:val="en-US" w:eastAsia="zh-CN"/>
        </w:rPr>
        <w:t xml:space="preserve">               152</w:t>
      </w:r>
    </w:p>
    <w:p>
      <w:pPr>
        <w:pStyle w:val="15"/>
        <w:adjustRightInd w:val="0"/>
        <w:snapToGrid w:val="0"/>
        <w:spacing w:line="440" w:lineRule="exact"/>
        <w:jc w:val="left"/>
        <w:rPr>
          <w:rFonts w:hint="default"/>
          <w:color w:val="auto"/>
          <w:sz w:val="24"/>
          <w:highlight w:val="none"/>
          <w:lang w:val="en-US"/>
        </w:rPr>
      </w:pPr>
      <w:r>
        <w:rPr>
          <w:rFonts w:hint="eastAsia"/>
          <w:color w:val="auto"/>
          <w:sz w:val="24"/>
          <w:highlight w:val="none"/>
        </w:rPr>
        <w:t>十二、</w:t>
      </w:r>
      <w:r>
        <w:rPr>
          <w:rFonts w:hint="eastAsia"/>
          <w:color w:val="auto"/>
          <w:sz w:val="24"/>
          <w:highlight w:val="none"/>
          <w:lang w:val="en-US" w:eastAsia="zh-CN"/>
        </w:rPr>
        <w:t>国有资本经营预算财政拨款支出决算表                   152</w:t>
      </w:r>
    </w:p>
    <w:p>
      <w:pPr>
        <w:pStyle w:val="15"/>
        <w:adjustRightInd w:val="0"/>
        <w:snapToGrid w:val="0"/>
        <w:spacing w:line="440" w:lineRule="exact"/>
        <w:jc w:val="left"/>
        <w:rPr>
          <w:rFonts w:hint="default" w:eastAsia="宋体" w:asciiTheme="minorEastAsia" w:hAnsiTheme="minorEastAsia" w:cstheme="minorEastAsia"/>
          <w:color w:val="auto"/>
          <w:sz w:val="24"/>
          <w:highlight w:val="none"/>
          <w:lang w:val="en-US" w:eastAsia="zh-CN"/>
        </w:rPr>
      </w:pPr>
      <w:r>
        <w:rPr>
          <w:rFonts w:hint="eastAsia"/>
          <w:color w:val="auto"/>
          <w:sz w:val="24"/>
          <w:highlight w:val="none"/>
        </w:rPr>
        <w:t>十三、财政拨款“三公”经费支出决算表</w:t>
      </w:r>
      <w:r>
        <w:rPr>
          <w:rFonts w:hint="eastAsia"/>
          <w:color w:val="auto"/>
          <w:sz w:val="24"/>
          <w:highlight w:val="none"/>
          <w:lang w:val="en-US" w:eastAsia="zh-CN"/>
        </w:rPr>
        <w:t xml:space="preserve">                       152</w:t>
      </w:r>
    </w:p>
    <w:p>
      <w:pPr>
        <w:widowControl/>
        <w:spacing w:line="440" w:lineRule="exact"/>
        <w:jc w:val="left"/>
        <w:rPr>
          <w:rFonts w:ascii="仿宋" w:hAnsi="仿宋" w:eastAsia="仿宋"/>
          <w:bCs/>
          <w:color w:val="auto"/>
          <w:kern w:val="44"/>
          <w:sz w:val="24"/>
          <w:highlight w:val="none"/>
        </w:rPr>
      </w:pPr>
      <w:bookmarkStart w:id="15" w:name="_Toc15396599"/>
      <w:bookmarkStart w:id="16" w:name="_Toc15377196"/>
      <w:r>
        <w:rPr>
          <w:rFonts w:ascii="仿宋" w:hAnsi="仿宋" w:eastAsia="仿宋"/>
          <w:b/>
          <w:color w:val="auto"/>
          <w:sz w:val="24"/>
          <w:highlight w:val="none"/>
        </w:rPr>
        <w:br w:type="page"/>
      </w:r>
    </w:p>
    <w:p>
      <w:pPr>
        <w:pStyle w:val="3"/>
        <w:jc w:val="center"/>
        <w:rPr>
          <w:rStyle w:val="31"/>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Style w:val="31"/>
          <w:rFonts w:hint="eastAsia" w:ascii="黑体" w:hAnsi="黑体" w:eastAsia="黑体"/>
          <w:b w:val="0"/>
          <w:bCs w:val="0"/>
          <w:color w:val="auto"/>
          <w:highlight w:val="none"/>
        </w:rPr>
        <w:t>部门概况</w:t>
      </w:r>
      <w:bookmarkEnd w:id="15"/>
      <w:bookmarkEnd w:id="16"/>
    </w:p>
    <w:p>
      <w:pPr>
        <w:pStyle w:val="4"/>
        <w:numPr>
          <w:ilvl w:val="0"/>
          <w:numId w:val="1"/>
        </w:numPr>
        <w:rPr>
          <w:rFonts w:hint="eastAsia" w:ascii="黑体" w:hAnsi="黑体" w:eastAsia="黑体"/>
          <w:b w:val="0"/>
          <w:color w:val="auto"/>
          <w:highlight w:val="none"/>
          <w:lang w:eastAsia="zh-CN"/>
        </w:rPr>
      </w:pPr>
      <w:r>
        <w:rPr>
          <w:rFonts w:hint="eastAsia" w:ascii="黑体" w:hAnsi="黑体" w:eastAsia="黑体"/>
          <w:b w:val="0"/>
          <w:color w:val="auto"/>
          <w:highlight w:val="none"/>
          <w:lang w:eastAsia="zh-CN"/>
        </w:rPr>
        <w:t>部门职责</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bookmarkStart w:id="17" w:name="_Toc15396601"/>
      <w:bookmarkStart w:id="18" w:name="_Toc15377200"/>
      <w:r>
        <w:rPr>
          <w:rFonts w:hint="eastAsia" w:ascii="Times New Roman" w:hAnsi="Times New Roman" w:eastAsia="仿宋_GB2312" w:cs="Times New Roman"/>
          <w:color w:val="000000"/>
          <w:sz w:val="32"/>
          <w:szCs w:val="32"/>
          <w:lang w:val="zh-CN" w:eastAsia="zh-CN"/>
        </w:rPr>
        <w:t>1．拟订全区财税发展战略、规划、政策和改革方案并组织实施。分析预测宏观经济形势，参与制定各项经济政策，提出运用财税政策实施宏观调控和综合平衡社会财力的建议。拟订区和乡（镇）、国家与企业的分配政策，完善鼓励公益事业发展的财税政策。</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2．贯彻执行财政、税收、财务、会计管理的法律法规和规章，拟订全区财税管理有关政策并组织实施。按照管理权限管理全区税政事项。</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3．负责管理区级各项财政收支。编制年度区级预决算草案并组织执行。组织制定经费开支标准、定额，审核批复区级部门（单位）年度预决算。受区政府委托，向区人大及其常委会报告财政预算、执行和决算等情况。负责政府投资基金区级财政出资的资产管理。负责区级预决算公开。负责全面实施预算绩效管理。</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4．按分工负责政府非税收入管理。负责政府性基金管理，按规定管理行政事业性收费等其他非税收入。管理财政票据。按规定管理彩票资金。</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5．组织制定全区国库管理制度、国库集中收付制度，负责区级国库业务，开展国库现金管理工作。负责编制政府财务报告。负责制定全区政府采购制度并监督管理。</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6．贯彻执行地方政府债务管理制度和政策，制定全区地方政府债务管理具体办法并组织实施，按规定负责地方政府债券使用、管理和监督。负责统一管理全区政府外债，按规定协调管理多边开发机构和外国政府的贷（赠）款，防范财政风险。</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7．牵头编制区级国有资产管理情况报告。根据区政府授权，集中统一履行区级国有金融资本出资人职责。贯彻执行国有金融资本管理规章制度。制定区级行政事业单位国有资产管理制度并组织实施。制定需要全区统一规定的开支标准和支出政策。</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8．负责审核并汇总编制全区国有资本经营预决算草案，制定全区国有资本经营预算制度和办法，收取区级企业国有资本收益。负责区级国有资本经营预算编制、执行和监督。组织实施企业财务制度。负责财政预算内行政事业单位和社会团体的非贸易外汇管理。</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9．负责审核并汇总编制全区社会保险基金预决算草案。会同有关部门拟订有关资金（基金）财务管理制度，承担社会保险基金财政监管工作。</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10．负责办理和监督区级财政的经济发展支出、政府性投资项目的财政拨款，负责财政投资评审管理工作，参与拟订区级基建投资有关政策，贯彻执行基建财务管理制度。</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11．组织实施国家统一的会计制度，监督和规范会计行为。指导和管理社会审计。会同有关部门组织管理全区会计专业资格考试。依法管理资产评估有关工作。</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12．负责职责范围内的安全生产和职业健康、生态环境保护、审批服务便民化等工作。</w:t>
      </w:r>
    </w:p>
    <w:p>
      <w:pPr>
        <w:spacing w:line="600" w:lineRule="exact"/>
        <w:ind w:firstLine="640" w:firstLineChars="200"/>
        <w:outlineLvl w:val="9"/>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13．根据区政府授权，依法依规履行国有企业出资人职责，监管区属企业的国有资产，加强国有企业资产的管理。拟订国有企业资产管理的办法和政策草案。承担监管企业国有资产保值增值的责任，负责所监管企业工资分配管理工作。指导推进国有企业改革和重组。依法对国有股权以及国有资本金的监督管理。负责对所监管企业负责人的任免、考核、奖惩工作。参与制定国有资本经营预算有关管理制度。负责对所监管企业重大投融资进行监管。</w:t>
      </w:r>
    </w:p>
    <w:p>
      <w:pPr>
        <w:pStyle w:val="4"/>
        <w:rPr>
          <w:rStyle w:val="32"/>
          <w:b w:val="0"/>
          <w:bCs w:val="0"/>
          <w:color w:val="auto"/>
          <w:highlight w:val="none"/>
        </w:rPr>
      </w:pPr>
      <w:r>
        <w:rPr>
          <w:rFonts w:hint="eastAsia" w:ascii="黑体" w:eastAsia="黑体"/>
          <w:b w:val="0"/>
          <w:color w:val="auto"/>
          <w:highlight w:val="none"/>
        </w:rPr>
        <w:t>二、</w:t>
      </w:r>
      <w:r>
        <w:rPr>
          <w:rFonts w:hint="eastAsia" w:ascii="黑体" w:hAnsi="黑体" w:eastAsia="黑体"/>
          <w:b w:val="0"/>
          <w:color w:val="auto"/>
          <w:highlight w:val="none"/>
        </w:rPr>
        <w:t>机</w:t>
      </w:r>
      <w:r>
        <w:rPr>
          <w:rStyle w:val="32"/>
          <w:rFonts w:hint="eastAsia" w:ascii="黑体" w:hAnsi="黑体" w:eastAsia="黑体"/>
          <w:b w:val="0"/>
          <w:bCs w:val="0"/>
          <w:color w:val="auto"/>
          <w:highlight w:val="none"/>
        </w:rPr>
        <w:t>构设置</w:t>
      </w:r>
      <w:bookmarkEnd w:id="17"/>
      <w:bookmarkEnd w:id="18"/>
    </w:p>
    <w:p>
      <w:pPr>
        <w:spacing w:line="600" w:lineRule="exact"/>
        <w:ind w:firstLine="640" w:firstLineChars="200"/>
        <w:rPr>
          <w:rFonts w:hint="eastAsia" w:ascii="Times New Roman" w:hAnsi="Times New Roman" w:eastAsia="仿宋_GB2312" w:cs="Times New Roman"/>
          <w:color w:val="000000"/>
          <w:sz w:val="32"/>
          <w:szCs w:val="32"/>
          <w:lang w:val="zh-CN" w:eastAsia="zh-CN"/>
        </w:rPr>
      </w:pPr>
      <w:bookmarkStart w:id="19" w:name="_Toc15396602"/>
      <w:bookmarkStart w:id="20" w:name="_Toc15377204"/>
      <w:r>
        <w:rPr>
          <w:rFonts w:hint="eastAsia" w:ascii="Times New Roman" w:hAnsi="Times New Roman" w:eastAsia="仿宋_GB2312" w:cs="Times New Roman"/>
          <w:color w:val="000000"/>
          <w:sz w:val="32"/>
          <w:szCs w:val="32"/>
          <w:lang w:val="zh-CN" w:eastAsia="zh-CN"/>
        </w:rPr>
        <w:t>雁江区财政局部门属一级预算单位，下属预算单位4个，其中行政单位0个，参照公务员法管理的事业单位1个，其他事业单位3个。</w:t>
      </w:r>
    </w:p>
    <w:p>
      <w:pPr>
        <w:spacing w:line="600" w:lineRule="exact"/>
        <w:ind w:firstLine="640" w:firstLineChars="200"/>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纳入202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zh-CN" w:eastAsia="zh-CN"/>
        </w:rPr>
        <w:t>年度部门决算编制范围的二级预算单位包括：</w:t>
      </w:r>
    </w:p>
    <w:p>
      <w:pPr>
        <w:spacing w:line="600" w:lineRule="exact"/>
        <w:ind w:firstLine="640" w:firstLineChars="200"/>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en-US" w:eastAsia="zh-CN"/>
        </w:rPr>
        <w:t>1.</w:t>
      </w:r>
      <w:r>
        <w:rPr>
          <w:rFonts w:hint="eastAsia" w:ascii="Times New Roman" w:hAnsi="Times New Roman" w:eastAsia="仿宋_GB2312" w:cs="Times New Roman"/>
          <w:color w:val="000000"/>
          <w:sz w:val="32"/>
          <w:szCs w:val="32"/>
          <w:lang w:val="zh-CN" w:eastAsia="zh-CN"/>
        </w:rPr>
        <w:t>资阳市雁江区财政国库支付中心</w:t>
      </w:r>
      <w:bookmarkStart w:id="21" w:name="_Toc15378449"/>
      <w:bookmarkStart w:id="22" w:name="_Toc15306276"/>
      <w:bookmarkStart w:id="23" w:name="_Toc15377433"/>
      <w:bookmarkStart w:id="24" w:name="_Toc15377202"/>
    </w:p>
    <w:bookmarkEnd w:id="21"/>
    <w:bookmarkEnd w:id="22"/>
    <w:bookmarkEnd w:id="23"/>
    <w:bookmarkEnd w:id="24"/>
    <w:p>
      <w:pPr>
        <w:spacing w:line="600" w:lineRule="exact"/>
        <w:ind w:firstLine="640" w:firstLineChars="200"/>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zh-CN" w:eastAsia="zh-CN"/>
        </w:rPr>
        <w:t>资阳市雁江区财政投资评审中心</w:t>
      </w:r>
    </w:p>
    <w:p>
      <w:pPr>
        <w:spacing w:line="600" w:lineRule="exact"/>
        <w:ind w:firstLine="640" w:firstLineChars="200"/>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en-US" w:eastAsia="zh-CN"/>
        </w:rPr>
        <w:t>3.</w:t>
      </w:r>
      <w:r>
        <w:rPr>
          <w:rFonts w:hint="eastAsia" w:ascii="Times New Roman" w:hAnsi="Times New Roman" w:eastAsia="仿宋_GB2312" w:cs="Times New Roman"/>
          <w:color w:val="000000"/>
          <w:sz w:val="32"/>
          <w:szCs w:val="32"/>
          <w:lang w:val="zh-CN" w:eastAsia="zh-CN"/>
        </w:rPr>
        <w:t>资阳市雁江区财政票据和信息中心</w:t>
      </w:r>
    </w:p>
    <w:p>
      <w:pPr>
        <w:spacing w:line="600" w:lineRule="exact"/>
        <w:ind w:firstLine="640" w:firstLineChars="200"/>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en-US" w:eastAsia="zh-CN"/>
        </w:rPr>
        <w:t>4.</w:t>
      </w:r>
      <w:r>
        <w:rPr>
          <w:rFonts w:hint="eastAsia" w:ascii="Times New Roman" w:hAnsi="Times New Roman" w:eastAsia="仿宋_GB2312" w:cs="Times New Roman"/>
          <w:color w:val="000000"/>
          <w:sz w:val="32"/>
          <w:szCs w:val="32"/>
          <w:lang w:val="zh-CN" w:eastAsia="zh-CN"/>
        </w:rPr>
        <w:t>资阳市雁江区政府与社会资本合作中心</w:t>
      </w:r>
    </w:p>
    <w:p>
      <w:pPr>
        <w:pStyle w:val="2"/>
        <w:rPr>
          <w:rFonts w:hint="eastAsia"/>
        </w:rPr>
      </w:pPr>
    </w:p>
    <w:p>
      <w:pPr>
        <w:pStyle w:val="3"/>
        <w:ind w:right="440"/>
        <w:jc w:val="center"/>
        <w:rPr>
          <w:rStyle w:val="31"/>
          <w:rFonts w:ascii="黑体" w:hAnsi="黑体" w:eastAsia="黑体"/>
          <w:b w:val="0"/>
          <w:bCs/>
          <w:color w:val="auto"/>
          <w:highlight w:val="none"/>
        </w:rPr>
      </w:pPr>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31"/>
          <w:rFonts w:hint="eastAsia" w:ascii="黑体" w:hAnsi="黑体" w:eastAsia="黑体"/>
          <w:b w:val="0"/>
          <w:bCs/>
          <w:color w:val="auto"/>
          <w:highlight w:val="none"/>
        </w:rPr>
        <w:t>部门决算情况说明</w:t>
      </w:r>
      <w:bookmarkEnd w:id="19"/>
      <w:bookmarkEnd w:id="20"/>
    </w:p>
    <w:p>
      <w:pPr>
        <w:rPr>
          <w:color w:val="auto"/>
          <w:highlight w:val="none"/>
        </w:rPr>
      </w:pPr>
    </w:p>
    <w:p>
      <w:pPr>
        <w:pStyle w:val="30"/>
        <w:numPr>
          <w:ilvl w:val="0"/>
          <w:numId w:val="2"/>
        </w:numPr>
        <w:spacing w:line="600" w:lineRule="exact"/>
        <w:ind w:firstLineChars="0"/>
        <w:outlineLvl w:val="1"/>
        <w:rPr>
          <w:rStyle w:val="32"/>
          <w:rFonts w:ascii="黑体" w:hAnsi="黑体" w:eastAsia="黑体"/>
          <w:b w:val="0"/>
          <w:color w:val="auto"/>
          <w:highlight w:val="none"/>
        </w:rPr>
      </w:pPr>
      <w:bookmarkStart w:id="25" w:name="_Toc15377205"/>
      <w:bookmarkStart w:id="26" w:name="_Toc15396603"/>
      <w:r>
        <w:rPr>
          <w:rFonts w:hint="eastAsia" w:ascii="黑体" w:hAnsi="黑体" w:eastAsia="黑体"/>
          <w:color w:val="auto"/>
          <w:sz w:val="32"/>
          <w:szCs w:val="32"/>
          <w:highlight w:val="none"/>
        </w:rPr>
        <w:t>收</w:t>
      </w:r>
      <w:r>
        <w:rPr>
          <w:rStyle w:val="32"/>
          <w:rFonts w:hint="eastAsia" w:ascii="黑体" w:hAnsi="黑体" w:eastAsia="黑体"/>
          <w:b w:val="0"/>
          <w:color w:val="auto"/>
          <w:highlight w:val="none"/>
        </w:rPr>
        <w:t>入支出决算总体情况说明</w:t>
      </w:r>
      <w:bookmarkEnd w:id="25"/>
      <w:bookmarkEnd w:id="26"/>
    </w:p>
    <w:p>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1829.76</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1825.26万元</w:t>
      </w:r>
      <w:r>
        <w:rPr>
          <w:rFonts w:hint="eastAsia" w:ascii="仿宋" w:hAnsi="仿宋" w:eastAsia="仿宋"/>
          <w:color w:val="auto"/>
          <w:sz w:val="32"/>
          <w:szCs w:val="32"/>
          <w:highlight w:val="none"/>
        </w:rPr>
        <w:t>相比，收、支总计各</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4.5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0.25</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Times New Roman" w:hAnsi="Times New Roman" w:eastAsia="仿宋_GB2312" w:cs="Times New Roman"/>
          <w:color w:val="000000"/>
          <w:sz w:val="32"/>
          <w:szCs w:val="32"/>
          <w:lang w:val="zh-CN" w:eastAsia="zh-CN"/>
        </w:rPr>
        <w:t>人员调动</w:t>
      </w:r>
      <w:r>
        <w:rPr>
          <w:rFonts w:hint="eastAsia" w:eastAsia="仿宋_GB2312" w:cs="Times New Roman"/>
          <w:color w:val="000000"/>
          <w:sz w:val="32"/>
          <w:szCs w:val="32"/>
          <w:lang w:val="zh-CN" w:eastAsia="zh-CN"/>
        </w:rPr>
        <w:t>增加</w:t>
      </w:r>
      <w:r>
        <w:rPr>
          <w:rFonts w:hint="eastAsia" w:ascii="仿宋" w:hAnsi="仿宋" w:eastAsia="仿宋"/>
          <w:color w:val="auto"/>
          <w:sz w:val="32"/>
          <w:szCs w:val="32"/>
          <w:highlight w:val="none"/>
          <w:lang w:eastAsia="zh-CN"/>
        </w:rPr>
        <w:t>。</w:t>
      </w:r>
    </w:p>
    <w:p>
      <w:pPr>
        <w:pStyle w:val="2"/>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drawing>
          <wp:inline distT="0" distB="0" distL="114300" distR="114300">
            <wp:extent cx="5269230" cy="4065905"/>
            <wp:effectExtent l="0" t="0" r="7620" b="10795"/>
            <wp:docPr id="8" name="图片 8"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1"/>
                    <pic:cNvPicPr>
                      <a:picLocks noChangeAspect="1"/>
                    </pic:cNvPicPr>
                  </pic:nvPicPr>
                  <pic:blipFill>
                    <a:blip r:embed="rId9"/>
                    <a:stretch>
                      <a:fillRect/>
                    </a:stretch>
                  </pic:blipFill>
                  <pic:spPr>
                    <a:xfrm>
                      <a:off x="0" y="0"/>
                      <a:ext cx="5269230" cy="4065905"/>
                    </a:xfrm>
                    <a:prstGeom prst="rect">
                      <a:avLst/>
                    </a:prstGeom>
                  </pic:spPr>
                </pic:pic>
              </a:graphicData>
            </a:graphic>
          </wp:inline>
        </w:drawing>
      </w:r>
    </w:p>
    <w:p>
      <w:pPr>
        <w:pStyle w:val="30"/>
        <w:numPr>
          <w:ilvl w:val="0"/>
          <w:numId w:val="2"/>
        </w:numPr>
        <w:spacing w:line="600" w:lineRule="exact"/>
        <w:ind w:firstLineChars="0"/>
        <w:outlineLvl w:val="1"/>
        <w:rPr>
          <w:rStyle w:val="32"/>
          <w:rFonts w:ascii="黑体" w:hAnsi="黑体" w:eastAsia="黑体"/>
          <w:b w:val="0"/>
          <w:color w:val="auto"/>
          <w:highlight w:val="none"/>
        </w:rPr>
      </w:pPr>
      <w:bookmarkStart w:id="27" w:name="_Toc15377206"/>
      <w:bookmarkStart w:id="28" w:name="_Toc15396604"/>
      <w:r>
        <w:rPr>
          <w:rFonts w:hint="eastAsia" w:ascii="黑体" w:hAnsi="黑体" w:eastAsia="黑体"/>
          <w:color w:val="auto"/>
          <w:sz w:val="32"/>
          <w:szCs w:val="32"/>
          <w:highlight w:val="none"/>
        </w:rPr>
        <w:t>收</w:t>
      </w:r>
      <w:r>
        <w:rPr>
          <w:rStyle w:val="32"/>
          <w:rFonts w:hint="eastAsia" w:ascii="黑体" w:hAnsi="黑体" w:eastAsia="黑体"/>
          <w:b w:val="0"/>
          <w:color w:val="auto"/>
          <w:highlight w:val="none"/>
        </w:rPr>
        <w:t>入决算情况说明</w:t>
      </w:r>
      <w:bookmarkEnd w:id="27"/>
      <w:bookmarkEnd w:id="28"/>
    </w:p>
    <w:p>
      <w:pPr>
        <w:spacing w:line="600" w:lineRule="exact"/>
        <w:ind w:firstLine="640" w:firstLineChars="200"/>
        <w:outlineLvl w:val="1"/>
        <w:rPr>
          <w:rFonts w:ascii="仿宋" w:hAnsi="仿宋" w:eastAsia="仿宋"/>
          <w:color w:val="auto"/>
          <w:sz w:val="32"/>
          <w:szCs w:val="32"/>
          <w:highlight w:val="none"/>
        </w:rPr>
      </w:pPr>
      <w:r>
        <w:rPr>
          <w:rFonts w:hint="eastAsia" w:ascii="Times New Roman" w:hAnsi="Times New Roman" w:eastAsia="仿宋_GB2312" w:cs="Times New Roman"/>
          <w:color w:val="000000"/>
          <w:sz w:val="32"/>
          <w:szCs w:val="32"/>
          <w:lang w:val="zh-CN" w:eastAsia="zh-CN"/>
        </w:rPr>
        <w:t>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zh-CN" w:eastAsia="zh-CN"/>
        </w:rPr>
        <w:t>年本年收入合计</w:t>
      </w:r>
      <w:r>
        <w:rPr>
          <w:rFonts w:hint="eastAsia" w:eastAsia="仿宋_GB2312" w:cs="Times New Roman"/>
          <w:color w:val="000000"/>
          <w:sz w:val="32"/>
          <w:szCs w:val="32"/>
          <w:lang w:val="en-US" w:eastAsia="zh-CN"/>
        </w:rPr>
        <w:t>1811.68</w:t>
      </w:r>
      <w:r>
        <w:rPr>
          <w:rFonts w:hint="eastAsia" w:ascii="Times New Roman" w:hAnsi="Times New Roman" w:eastAsia="仿宋_GB2312" w:cs="Times New Roman"/>
          <w:color w:val="000000"/>
          <w:sz w:val="32"/>
          <w:szCs w:val="32"/>
          <w:lang w:val="zh-CN" w:eastAsia="zh-CN"/>
        </w:rPr>
        <w:t>万元，其中：一般公共预算财政拨款收入</w:t>
      </w:r>
      <w:r>
        <w:rPr>
          <w:rFonts w:hint="eastAsia" w:eastAsia="仿宋_GB2312" w:cs="Times New Roman"/>
          <w:color w:val="000000"/>
          <w:sz w:val="32"/>
          <w:szCs w:val="32"/>
          <w:lang w:val="en-US" w:eastAsia="zh-CN"/>
        </w:rPr>
        <w:t>1811.68</w:t>
      </w:r>
      <w:r>
        <w:rPr>
          <w:rFonts w:hint="eastAsia" w:ascii="Times New Roman" w:hAnsi="Times New Roman" w:eastAsia="仿宋_GB2312" w:cs="Times New Roman"/>
          <w:color w:val="000000"/>
          <w:sz w:val="32"/>
          <w:szCs w:val="32"/>
          <w:lang w:val="zh-CN" w:eastAsia="zh-CN"/>
        </w:rPr>
        <w:t>万元，占100%；政府性基金预算财政拨款收入0万元，占0%；国有资本经营预算财政拨款收入0万元，占0%；上级补助收入0万元，占0%；事业收入0万元，占0%；经营收入0万元，占0%；附属单位上缴收入0万元，占0%；其他收入0万元，占0%。</w:t>
      </w:r>
    </w:p>
    <w:p>
      <w:pPr>
        <w:rPr>
          <w:rFonts w:hint="eastAsia"/>
        </w:rPr>
      </w:pPr>
    </w:p>
    <w:p>
      <w:pPr>
        <w:pStyle w:val="2"/>
        <w:rPr>
          <w:rFonts w:hint="eastAsia" w:eastAsia="仿宋_GB2312"/>
          <w:lang w:eastAsia="zh-CN"/>
        </w:rPr>
      </w:pPr>
      <w:r>
        <w:rPr>
          <w:rFonts w:hint="eastAsia" w:eastAsia="仿宋_GB2312"/>
          <w:lang w:eastAsia="zh-CN"/>
        </w:rPr>
        <w:drawing>
          <wp:inline distT="0" distB="0" distL="114300" distR="114300">
            <wp:extent cx="5272405" cy="4284345"/>
            <wp:effectExtent l="0" t="0" r="4445" b="1905"/>
            <wp:docPr id="9" name="图片 9"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2"/>
                    <pic:cNvPicPr>
                      <a:picLocks noChangeAspect="1"/>
                    </pic:cNvPicPr>
                  </pic:nvPicPr>
                  <pic:blipFill>
                    <a:blip r:embed="rId10"/>
                    <a:stretch>
                      <a:fillRect/>
                    </a:stretch>
                  </pic:blipFill>
                  <pic:spPr>
                    <a:xfrm>
                      <a:off x="0" y="0"/>
                      <a:ext cx="5272405" cy="4284345"/>
                    </a:xfrm>
                    <a:prstGeom prst="rect">
                      <a:avLst/>
                    </a:prstGeom>
                  </pic:spPr>
                </pic:pic>
              </a:graphicData>
            </a:graphic>
          </wp:inline>
        </w:drawing>
      </w:r>
    </w:p>
    <w:p>
      <w:pPr>
        <w:pStyle w:val="2"/>
        <w:rPr>
          <w:rFonts w:hint="eastAsia"/>
        </w:rPr>
      </w:pPr>
    </w:p>
    <w:p>
      <w:pPr>
        <w:pStyle w:val="30"/>
        <w:numPr>
          <w:ilvl w:val="0"/>
          <w:numId w:val="2"/>
        </w:numPr>
        <w:spacing w:line="600" w:lineRule="exact"/>
        <w:ind w:firstLineChars="0"/>
        <w:outlineLvl w:val="1"/>
        <w:rPr>
          <w:rStyle w:val="32"/>
          <w:rFonts w:ascii="黑体" w:hAnsi="黑体" w:eastAsia="黑体"/>
          <w:b w:val="0"/>
          <w:color w:val="auto"/>
          <w:highlight w:val="none"/>
        </w:rPr>
      </w:pPr>
      <w:bookmarkStart w:id="29" w:name="_Toc15377207"/>
      <w:bookmarkStart w:id="30" w:name="_Toc15396605"/>
      <w:r>
        <w:rPr>
          <w:rFonts w:hint="eastAsia" w:ascii="黑体" w:hAnsi="黑体" w:eastAsia="黑体"/>
          <w:color w:val="auto"/>
          <w:sz w:val="32"/>
          <w:szCs w:val="32"/>
          <w:highlight w:val="none"/>
        </w:rPr>
        <w:t>支</w:t>
      </w:r>
      <w:r>
        <w:rPr>
          <w:rStyle w:val="32"/>
          <w:rFonts w:hint="eastAsia" w:ascii="黑体" w:hAnsi="黑体" w:eastAsia="黑体"/>
          <w:b w:val="0"/>
          <w:color w:val="auto"/>
          <w:highlight w:val="none"/>
        </w:rPr>
        <w:t>出决算情况说明</w:t>
      </w:r>
      <w:bookmarkEnd w:id="29"/>
      <w:bookmarkEnd w:id="30"/>
    </w:p>
    <w:p>
      <w:pPr>
        <w:spacing w:line="600" w:lineRule="exact"/>
        <w:ind w:firstLine="640" w:firstLineChars="200"/>
        <w:rPr>
          <w:rFonts w:hint="eastAsia" w:ascii="Times New Roman" w:hAnsi="Times New Roman" w:eastAsia="仿宋_GB2312" w:cs="Times New Roman"/>
          <w:color w:val="000000"/>
          <w:sz w:val="32"/>
          <w:szCs w:val="32"/>
          <w:lang w:val="zh-CN" w:eastAsia="zh-CN"/>
        </w:rPr>
      </w:pPr>
      <w:r>
        <w:rPr>
          <w:rFonts w:hint="eastAsia" w:ascii="Times New Roman" w:hAnsi="Times New Roman" w:eastAsia="仿宋_GB2312" w:cs="Times New Roman"/>
          <w:color w:val="000000"/>
          <w:sz w:val="32"/>
          <w:szCs w:val="32"/>
          <w:lang w:val="zh-CN" w:eastAsia="zh-CN"/>
        </w:rPr>
        <w:t>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zh-CN" w:eastAsia="zh-CN"/>
        </w:rPr>
        <w:t>年本年支出合计18</w:t>
      </w:r>
      <w:r>
        <w:rPr>
          <w:rFonts w:hint="eastAsia" w:eastAsia="仿宋_GB2312" w:cs="Times New Roman"/>
          <w:color w:val="000000"/>
          <w:sz w:val="32"/>
          <w:szCs w:val="32"/>
          <w:lang w:val="en-US" w:eastAsia="zh-CN"/>
        </w:rPr>
        <w:t>11.68</w:t>
      </w:r>
      <w:r>
        <w:rPr>
          <w:rFonts w:hint="eastAsia" w:ascii="Times New Roman" w:hAnsi="Times New Roman" w:eastAsia="仿宋_GB2312" w:cs="Times New Roman"/>
          <w:color w:val="000000"/>
          <w:sz w:val="32"/>
          <w:szCs w:val="32"/>
          <w:lang w:val="zh-CN" w:eastAsia="zh-CN"/>
        </w:rPr>
        <w:t>万元，其中：基本支出</w:t>
      </w:r>
      <w:r>
        <w:rPr>
          <w:rFonts w:hint="eastAsia" w:eastAsia="仿宋_GB2312" w:cs="Times New Roman"/>
          <w:color w:val="000000"/>
          <w:sz w:val="32"/>
          <w:szCs w:val="32"/>
          <w:lang w:val="en-US" w:eastAsia="zh-CN"/>
        </w:rPr>
        <w:t>1047.28</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57.81</w:t>
      </w:r>
      <w:r>
        <w:rPr>
          <w:rFonts w:hint="eastAsia" w:ascii="Times New Roman" w:hAnsi="Times New Roman" w:eastAsia="仿宋_GB2312" w:cs="Times New Roman"/>
          <w:color w:val="000000"/>
          <w:sz w:val="32"/>
          <w:szCs w:val="32"/>
          <w:lang w:val="zh-CN" w:eastAsia="zh-CN"/>
        </w:rPr>
        <w:t>%；项目支出</w:t>
      </w:r>
      <w:r>
        <w:rPr>
          <w:rFonts w:hint="eastAsia" w:eastAsia="仿宋_GB2312" w:cs="Times New Roman"/>
          <w:color w:val="000000"/>
          <w:sz w:val="32"/>
          <w:szCs w:val="32"/>
          <w:lang w:val="en-US" w:eastAsia="zh-CN"/>
        </w:rPr>
        <w:t>764.41</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42.19</w:t>
      </w:r>
      <w:r>
        <w:rPr>
          <w:rFonts w:hint="eastAsia" w:ascii="Times New Roman" w:hAnsi="Times New Roman" w:eastAsia="仿宋_GB2312" w:cs="Times New Roman"/>
          <w:color w:val="000000"/>
          <w:sz w:val="32"/>
          <w:szCs w:val="32"/>
          <w:lang w:val="zh-CN" w:eastAsia="zh-CN"/>
        </w:rPr>
        <w:t>%；上缴上级支出0万元，占0%；经营支出0万元，占0%；对附属单位补助支出0万元，占0%。</w:t>
      </w:r>
    </w:p>
    <w:p>
      <w:pPr>
        <w:rPr>
          <w:rFonts w:hint="eastAsia" w:ascii="仿宋" w:hAnsi="仿宋" w:eastAsia="仿宋"/>
          <w:color w:val="auto"/>
          <w:sz w:val="32"/>
          <w:szCs w:val="32"/>
          <w:highlight w:val="none"/>
          <w:shd w:val="pct10" w:color="auto" w:fill="FFFFFF"/>
          <w:lang w:eastAsia="zh-CN"/>
        </w:rPr>
      </w:pPr>
      <w:r>
        <w:rPr>
          <w:rFonts w:hint="eastAsia" w:ascii="仿宋" w:hAnsi="仿宋" w:eastAsia="仿宋"/>
          <w:color w:val="auto"/>
          <w:sz w:val="32"/>
          <w:szCs w:val="32"/>
          <w:highlight w:val="none"/>
          <w:shd w:val="pct10" w:color="auto" w:fill="FFFFFF"/>
          <w:lang w:eastAsia="zh-CN"/>
        </w:rPr>
        <w:drawing>
          <wp:inline distT="0" distB="0" distL="114300" distR="114300">
            <wp:extent cx="5072380" cy="3792220"/>
            <wp:effectExtent l="0" t="0" r="13970" b="17780"/>
            <wp:docPr id="14" name="图片 1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3"/>
                    <pic:cNvPicPr>
                      <a:picLocks noChangeAspect="1"/>
                    </pic:cNvPicPr>
                  </pic:nvPicPr>
                  <pic:blipFill>
                    <a:blip r:embed="rId11"/>
                    <a:stretch>
                      <a:fillRect/>
                    </a:stretch>
                  </pic:blipFill>
                  <pic:spPr>
                    <a:xfrm>
                      <a:off x="0" y="0"/>
                      <a:ext cx="5072380" cy="3792220"/>
                    </a:xfrm>
                    <a:prstGeom prst="rect">
                      <a:avLst/>
                    </a:prstGeom>
                  </pic:spPr>
                </pic:pic>
              </a:graphicData>
            </a:graphic>
          </wp:inline>
        </w:drawing>
      </w:r>
    </w:p>
    <w:p>
      <w:pPr>
        <w:spacing w:line="600" w:lineRule="exact"/>
        <w:ind w:firstLine="640" w:firstLineChars="200"/>
        <w:outlineLvl w:val="1"/>
        <w:rPr>
          <w:rStyle w:val="32"/>
          <w:rFonts w:ascii="黑体" w:hAnsi="黑体" w:eastAsia="黑体"/>
          <w:b w:val="0"/>
          <w:color w:val="auto"/>
          <w:highlight w:val="none"/>
        </w:rPr>
      </w:pPr>
      <w:bookmarkStart w:id="31" w:name="_Toc15377208"/>
      <w:bookmarkStart w:id="32" w:name="_Toc15396606"/>
      <w:r>
        <w:rPr>
          <w:rFonts w:hint="eastAsia" w:ascii="黑体" w:hAnsi="黑体" w:eastAsia="黑体"/>
          <w:color w:val="auto"/>
          <w:sz w:val="32"/>
          <w:szCs w:val="32"/>
          <w:highlight w:val="none"/>
        </w:rPr>
        <w:t>四、财</w:t>
      </w:r>
      <w:r>
        <w:rPr>
          <w:rStyle w:val="32"/>
          <w:rFonts w:hint="eastAsia" w:ascii="黑体" w:hAnsi="黑体" w:eastAsia="黑体"/>
          <w:b w:val="0"/>
          <w:color w:val="auto"/>
          <w:highlight w:val="none"/>
        </w:rPr>
        <w:t>政拨款收入支出决算总体情况说明</w:t>
      </w:r>
      <w:bookmarkEnd w:id="31"/>
      <w:bookmarkEnd w:id="32"/>
    </w:p>
    <w:p>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1126490</wp:posOffset>
            </wp:positionV>
            <wp:extent cx="4482465" cy="3642360"/>
            <wp:effectExtent l="0" t="0" r="13335" b="15240"/>
            <wp:wrapNone/>
            <wp:docPr id="16" name="图片 16"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4"/>
                    <pic:cNvPicPr>
                      <a:picLocks noChangeAspect="1"/>
                    </pic:cNvPicPr>
                  </pic:nvPicPr>
                  <pic:blipFill>
                    <a:blip r:embed="rId12"/>
                    <a:stretch>
                      <a:fillRect/>
                    </a:stretch>
                  </pic:blipFill>
                  <pic:spPr>
                    <a:xfrm>
                      <a:off x="0" y="0"/>
                      <a:ext cx="4482465" cy="3642360"/>
                    </a:xfrm>
                    <a:prstGeom prst="rect">
                      <a:avLst/>
                    </a:prstGeom>
                  </pic:spPr>
                </pic:pic>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w:t>
      </w:r>
      <w:r>
        <w:rPr>
          <w:rFonts w:hint="eastAsia" w:ascii="Times New Roman" w:hAnsi="Times New Roman" w:eastAsia="仿宋_GB2312" w:cs="Times New Roman"/>
          <w:color w:val="000000"/>
          <w:sz w:val="32"/>
          <w:szCs w:val="32"/>
          <w:lang w:val="zh-CN" w:eastAsia="zh-CN"/>
        </w:rPr>
        <w:t>收、支总计</w:t>
      </w:r>
      <w:r>
        <w:rPr>
          <w:rFonts w:hint="eastAsia" w:ascii="仿宋" w:hAnsi="仿宋" w:eastAsia="仿宋"/>
          <w:color w:val="auto"/>
          <w:sz w:val="32"/>
          <w:szCs w:val="32"/>
          <w:highlight w:val="none"/>
          <w:lang w:val="en-US" w:eastAsia="zh-CN"/>
        </w:rPr>
        <w:t>1829.76</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val="en-US" w:eastAsia="zh-CN"/>
        </w:rPr>
        <w:t>1825.26万元</w:t>
      </w:r>
      <w:r>
        <w:rPr>
          <w:rFonts w:hint="eastAsia" w:ascii="仿宋" w:hAnsi="仿宋" w:eastAsia="仿宋"/>
          <w:color w:val="auto"/>
          <w:sz w:val="32"/>
          <w:szCs w:val="32"/>
          <w:highlight w:val="none"/>
        </w:rPr>
        <w:t>相比，收、支总计各</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4.5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0.25</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Times New Roman" w:hAnsi="Times New Roman" w:eastAsia="仿宋_GB2312" w:cs="Times New Roman"/>
          <w:color w:val="000000"/>
          <w:sz w:val="32"/>
          <w:szCs w:val="32"/>
          <w:lang w:val="zh-CN" w:eastAsia="zh-CN"/>
        </w:rPr>
        <w:t>人员调动</w:t>
      </w:r>
      <w:r>
        <w:rPr>
          <w:rFonts w:hint="eastAsia" w:eastAsia="仿宋_GB2312" w:cs="Times New Roman"/>
          <w:color w:val="000000"/>
          <w:sz w:val="32"/>
          <w:szCs w:val="32"/>
          <w:lang w:val="zh-CN" w:eastAsia="zh-CN"/>
        </w:rPr>
        <w:t>增加</w:t>
      </w:r>
      <w:r>
        <w:rPr>
          <w:rFonts w:hint="eastAsia" w:ascii="仿宋" w:hAnsi="仿宋" w:eastAsia="仿宋"/>
          <w:color w:val="auto"/>
          <w:sz w:val="32"/>
          <w:szCs w:val="32"/>
          <w:highlight w:val="none"/>
          <w:lang w:eastAsia="zh-CN"/>
        </w:rPr>
        <w:t>。</w:t>
      </w:r>
    </w:p>
    <w:p>
      <w:pPr>
        <w:rPr>
          <w:rFonts w:hint="eastAsia" w:ascii="仿宋" w:hAnsi="仿宋" w:eastAsia="仿宋"/>
          <w:color w:val="auto"/>
          <w:sz w:val="32"/>
          <w:szCs w:val="32"/>
          <w:highlight w:val="none"/>
          <w:lang w:eastAsia="zh-CN"/>
        </w:rPr>
      </w:pPr>
    </w:p>
    <w:p>
      <w:pPr>
        <w:pStyle w:val="2"/>
        <w:rPr>
          <w:rFonts w:hint="eastAsia" w:ascii="仿宋" w:hAnsi="仿宋" w:eastAsia="仿宋"/>
          <w:color w:val="auto"/>
          <w:sz w:val="32"/>
          <w:szCs w:val="32"/>
          <w:highlight w:val="none"/>
          <w:lang w:eastAsia="zh-CN"/>
        </w:rPr>
      </w:pPr>
    </w:p>
    <w:p>
      <w:pPr>
        <w:pStyle w:val="2"/>
        <w:rPr>
          <w:rFonts w:hint="eastAsia" w:ascii="仿宋" w:hAnsi="仿宋" w:eastAsia="仿宋"/>
          <w:color w:val="auto"/>
          <w:sz w:val="32"/>
          <w:szCs w:val="32"/>
          <w:highlight w:val="none"/>
          <w:lang w:eastAsia="zh-CN"/>
        </w:rPr>
      </w:pPr>
    </w:p>
    <w:p>
      <w:pPr>
        <w:pStyle w:val="2"/>
        <w:rPr>
          <w:rFonts w:hint="eastAsia" w:ascii="仿宋" w:hAnsi="仿宋" w:eastAsia="仿宋"/>
          <w:color w:val="auto"/>
          <w:sz w:val="32"/>
          <w:szCs w:val="32"/>
          <w:highlight w:val="none"/>
          <w:lang w:eastAsia="zh-CN"/>
        </w:rPr>
      </w:pPr>
    </w:p>
    <w:p>
      <w:pPr>
        <w:pStyle w:val="2"/>
        <w:rPr>
          <w:rFonts w:hint="eastAsia" w:ascii="仿宋" w:hAnsi="仿宋" w:eastAsia="仿宋"/>
          <w:color w:val="auto"/>
          <w:sz w:val="32"/>
          <w:szCs w:val="32"/>
          <w:highlight w:val="none"/>
          <w:lang w:eastAsia="zh-CN"/>
        </w:rPr>
      </w:pPr>
    </w:p>
    <w:p>
      <w:pPr>
        <w:pStyle w:val="2"/>
        <w:rPr>
          <w:rFonts w:hint="eastAsia" w:ascii="仿宋" w:hAnsi="仿宋" w:eastAsia="仿宋"/>
          <w:color w:val="auto"/>
          <w:sz w:val="32"/>
          <w:szCs w:val="32"/>
          <w:highlight w:val="none"/>
          <w:lang w:eastAsia="zh-CN"/>
        </w:rPr>
      </w:pPr>
    </w:p>
    <w:p>
      <w:pPr>
        <w:pStyle w:val="2"/>
        <w:rPr>
          <w:rFonts w:hint="eastAsia" w:ascii="仿宋" w:hAnsi="仿宋" w:eastAsia="仿宋"/>
          <w:color w:val="auto"/>
          <w:sz w:val="32"/>
          <w:szCs w:val="32"/>
          <w:highlight w:val="none"/>
          <w:lang w:eastAsia="zh-CN"/>
        </w:rPr>
      </w:pPr>
    </w:p>
    <w:p>
      <w:pPr>
        <w:spacing w:line="600" w:lineRule="exact"/>
        <w:ind w:firstLine="640" w:firstLineChars="200"/>
        <w:outlineLvl w:val="1"/>
        <w:rPr>
          <w:rStyle w:val="32"/>
          <w:rFonts w:ascii="黑体" w:hAnsi="黑体" w:eastAsia="黑体"/>
          <w:b w:val="0"/>
          <w:color w:val="auto"/>
          <w:highlight w:val="none"/>
        </w:rPr>
      </w:pPr>
      <w:bookmarkStart w:id="33" w:name="_Toc15377209"/>
      <w:bookmarkStart w:id="34"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2"/>
          <w:rFonts w:hint="eastAsia" w:ascii="黑体" w:hAnsi="黑体" w:eastAsia="黑体"/>
          <w:b w:val="0"/>
          <w:color w:val="auto"/>
          <w:highlight w:val="none"/>
        </w:rPr>
        <w:t>般公共预算财政拨款支出决算情况说明</w:t>
      </w:r>
      <w:bookmarkEnd w:id="33"/>
      <w:bookmarkEnd w:id="34"/>
    </w:p>
    <w:p>
      <w:pPr>
        <w:spacing w:line="600" w:lineRule="exact"/>
        <w:ind w:firstLine="643" w:firstLineChars="200"/>
        <w:outlineLvl w:val="2"/>
        <w:rPr>
          <w:rFonts w:ascii="仿宋" w:hAnsi="仿宋" w:eastAsia="仿宋"/>
          <w:b/>
          <w:color w:val="auto"/>
          <w:sz w:val="32"/>
          <w:szCs w:val="32"/>
          <w:highlight w:val="none"/>
        </w:rPr>
      </w:pPr>
      <w:bookmarkStart w:id="35" w:name="_Toc15377210"/>
      <w:r>
        <w:rPr>
          <w:rFonts w:hint="eastAsia" w:ascii="仿宋" w:hAnsi="仿宋" w:eastAsia="仿宋"/>
          <w:b/>
          <w:color w:val="auto"/>
          <w:sz w:val="32"/>
          <w:szCs w:val="32"/>
          <w:highlight w:val="none"/>
        </w:rPr>
        <w:t>（一）一般公共预算财政拨款支出决算总体情况</w:t>
      </w:r>
      <w:bookmarkEnd w:id="35"/>
    </w:p>
    <w:p>
      <w:pPr>
        <w:spacing w:line="600" w:lineRule="exact"/>
        <w:ind w:firstLine="640" w:firstLineChars="200"/>
        <w:rPr>
          <w:rFonts w:hint="eastAsia" w:eastAsia="仿宋_GB2312" w:cs="Times New Roman"/>
          <w:color w:val="000000"/>
          <w:sz w:val="32"/>
          <w:szCs w:val="32"/>
          <w:lang w:val="zh-CN"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1811.68</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w:t>
      </w:r>
      <w:r>
        <w:rPr>
          <w:rFonts w:hint="eastAsia" w:ascii="Times New Roman" w:hAnsi="Times New Roman" w:eastAsia="仿宋_GB2312" w:cs="Times New Roman"/>
          <w:color w:val="000000"/>
          <w:sz w:val="32"/>
          <w:szCs w:val="32"/>
          <w:lang w:val="zh-CN" w:eastAsia="zh-CN"/>
        </w:rPr>
        <w:t>1807.18万元</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4.5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0.25</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Times New Roman" w:hAnsi="Times New Roman" w:eastAsia="仿宋_GB2312" w:cs="Times New Roman"/>
          <w:color w:val="000000"/>
          <w:sz w:val="32"/>
          <w:szCs w:val="32"/>
          <w:lang w:val="zh-CN" w:eastAsia="zh-CN"/>
        </w:rPr>
        <w:t>人员调动</w:t>
      </w:r>
      <w:r>
        <w:rPr>
          <w:rFonts w:hint="eastAsia" w:eastAsia="仿宋_GB2312" w:cs="Times New Roman"/>
          <w:color w:val="000000"/>
          <w:sz w:val="32"/>
          <w:szCs w:val="32"/>
          <w:lang w:val="zh-CN" w:eastAsia="zh-CN"/>
        </w:rPr>
        <w:t>增加、工资增长。</w:t>
      </w:r>
    </w:p>
    <w:p>
      <w:pPr>
        <w:pStyle w:val="2"/>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4711065" cy="3828415"/>
            <wp:effectExtent l="0" t="0" r="13335" b="635"/>
            <wp:docPr id="17" name="图片 17"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5"/>
                    <pic:cNvPicPr>
                      <a:picLocks noChangeAspect="1"/>
                    </pic:cNvPicPr>
                  </pic:nvPicPr>
                  <pic:blipFill>
                    <a:blip r:embed="rId13"/>
                    <a:stretch>
                      <a:fillRect/>
                    </a:stretch>
                  </pic:blipFill>
                  <pic:spPr>
                    <a:xfrm>
                      <a:off x="0" y="0"/>
                      <a:ext cx="4711065" cy="3828415"/>
                    </a:xfrm>
                    <a:prstGeom prst="rect">
                      <a:avLst/>
                    </a:prstGeom>
                  </pic:spPr>
                </pic:pic>
              </a:graphicData>
            </a:graphic>
          </wp:inline>
        </w:drawing>
      </w:r>
    </w:p>
    <w:p>
      <w:pPr>
        <w:spacing w:line="600" w:lineRule="exact"/>
        <w:ind w:firstLine="643" w:firstLineChars="200"/>
        <w:outlineLvl w:val="2"/>
        <w:rPr>
          <w:rFonts w:ascii="仿宋" w:hAnsi="仿宋" w:eastAsia="仿宋"/>
          <w:b/>
          <w:color w:val="auto"/>
          <w:sz w:val="32"/>
          <w:szCs w:val="32"/>
          <w:highlight w:val="none"/>
        </w:rPr>
      </w:pPr>
      <w:bookmarkStart w:id="36" w:name="_Toc15377211"/>
      <w:r>
        <w:rPr>
          <w:rFonts w:hint="eastAsia" w:ascii="仿宋" w:hAnsi="仿宋" w:eastAsia="仿宋"/>
          <w:b/>
          <w:color w:val="auto"/>
          <w:sz w:val="32"/>
          <w:szCs w:val="32"/>
          <w:highlight w:val="none"/>
        </w:rPr>
        <w:t>（二）一般公共预算财政拨款支出决算结构情况</w:t>
      </w:r>
      <w:bookmarkEnd w:id="36"/>
    </w:p>
    <w:p>
      <w:pPr>
        <w:spacing w:line="600" w:lineRule="exact"/>
        <w:ind w:firstLine="640"/>
        <w:rPr>
          <w:rFonts w:hint="eastAsia" w:ascii="Times New Roman" w:hAnsi="Times New Roman" w:eastAsia="仿宋_GB2312" w:cs="Times New Roman"/>
          <w:color w:val="000000"/>
          <w:sz w:val="32"/>
          <w:szCs w:val="32"/>
          <w:lang w:val="zh-CN"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1811.68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color w:val="auto"/>
          <w:sz w:val="32"/>
          <w:szCs w:val="32"/>
          <w:highlight w:val="none"/>
        </w:rPr>
        <w:t>一般公共服务支出</w:t>
      </w:r>
      <w:r>
        <w:rPr>
          <w:rFonts w:hint="eastAsia" w:ascii="仿宋" w:hAnsi="仿宋" w:eastAsia="仿宋"/>
          <w:color w:val="auto"/>
          <w:sz w:val="32"/>
          <w:szCs w:val="32"/>
          <w:highlight w:val="none"/>
          <w:lang w:val="en-US" w:eastAsia="zh-CN"/>
        </w:rPr>
        <w:t>1587.47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87.62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Times New Roman" w:hAnsi="Times New Roman" w:eastAsia="仿宋_GB2312" w:cs="Times New Roman"/>
          <w:color w:val="000000"/>
          <w:sz w:val="32"/>
          <w:szCs w:val="32"/>
          <w:lang w:val="zh-CN" w:eastAsia="zh-CN"/>
        </w:rPr>
        <w:t>社会保障和就业支出</w:t>
      </w:r>
      <w:r>
        <w:rPr>
          <w:rFonts w:hint="eastAsia" w:eastAsia="仿宋_GB2312" w:cs="Times New Roman"/>
          <w:color w:val="000000"/>
          <w:sz w:val="32"/>
          <w:szCs w:val="32"/>
          <w:lang w:val="en-US" w:eastAsia="zh-CN"/>
        </w:rPr>
        <w:t>124.21</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6.86</w:t>
      </w:r>
      <w:r>
        <w:rPr>
          <w:rFonts w:hint="eastAsia" w:ascii="Times New Roman" w:hAnsi="Times New Roman" w:eastAsia="仿宋_GB2312" w:cs="Times New Roman"/>
          <w:color w:val="000000"/>
          <w:sz w:val="32"/>
          <w:szCs w:val="32"/>
          <w:lang w:val="zh-CN" w:eastAsia="zh-CN"/>
        </w:rPr>
        <w:t>%；卫生健康支出</w:t>
      </w:r>
      <w:r>
        <w:rPr>
          <w:rFonts w:hint="eastAsia" w:eastAsia="仿宋_GB2312" w:cs="Times New Roman"/>
          <w:color w:val="000000"/>
          <w:sz w:val="32"/>
          <w:szCs w:val="32"/>
          <w:lang w:val="en-US" w:eastAsia="zh-CN"/>
        </w:rPr>
        <w:t>42.01</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2.32</w:t>
      </w:r>
      <w:r>
        <w:rPr>
          <w:rFonts w:hint="eastAsia" w:ascii="Times New Roman" w:hAnsi="Times New Roman" w:eastAsia="仿宋_GB2312" w:cs="Times New Roman"/>
          <w:color w:val="000000"/>
          <w:sz w:val="32"/>
          <w:szCs w:val="32"/>
          <w:lang w:val="zh-CN" w:eastAsia="zh-CN"/>
        </w:rPr>
        <w:t>%；住房保障支出</w:t>
      </w:r>
      <w:r>
        <w:rPr>
          <w:rFonts w:hint="eastAsia" w:eastAsia="仿宋_GB2312" w:cs="Times New Roman"/>
          <w:color w:val="000000"/>
          <w:sz w:val="32"/>
          <w:szCs w:val="32"/>
          <w:lang w:val="en-US" w:eastAsia="zh-CN"/>
        </w:rPr>
        <w:t>57.99</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3.2</w:t>
      </w:r>
      <w:r>
        <w:rPr>
          <w:rFonts w:hint="eastAsia" w:ascii="Times New Roman" w:hAnsi="Times New Roman" w:eastAsia="仿宋_GB2312" w:cs="Times New Roman"/>
          <w:color w:val="000000"/>
          <w:sz w:val="32"/>
          <w:szCs w:val="32"/>
          <w:lang w:val="zh-CN" w:eastAsia="zh-CN"/>
        </w:rPr>
        <w:t>%。</w:t>
      </w:r>
    </w:p>
    <w:p>
      <w:pPr>
        <w:pStyle w:val="2"/>
        <w:rPr>
          <w:rFonts w:hint="eastAsia" w:ascii="仿宋" w:hAnsi="仿宋" w:eastAsia="仿宋"/>
          <w:b w:val="0"/>
          <w:bCs/>
          <w:color w:val="auto"/>
          <w:sz w:val="32"/>
          <w:szCs w:val="32"/>
          <w:highlight w:val="none"/>
          <w:lang w:eastAsia="zh-CN"/>
        </w:rPr>
      </w:pPr>
      <w:r>
        <w:rPr>
          <w:rFonts w:hint="eastAsia" w:ascii="仿宋" w:hAnsi="仿宋" w:eastAsia="仿宋"/>
          <w:b w:val="0"/>
          <w:bCs/>
          <w:color w:val="auto"/>
          <w:sz w:val="32"/>
          <w:szCs w:val="32"/>
          <w:highlight w:val="none"/>
          <w:lang w:eastAsia="zh-CN"/>
        </w:rPr>
        <w:drawing>
          <wp:inline distT="0" distB="0" distL="114300" distR="114300">
            <wp:extent cx="5274310" cy="4197350"/>
            <wp:effectExtent l="0" t="0" r="2540" b="12700"/>
            <wp:docPr id="18" name="图片 18"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6"/>
                    <pic:cNvPicPr>
                      <a:picLocks noChangeAspect="1"/>
                    </pic:cNvPicPr>
                  </pic:nvPicPr>
                  <pic:blipFill>
                    <a:blip r:embed="rId14"/>
                    <a:stretch>
                      <a:fillRect/>
                    </a:stretch>
                  </pic:blipFill>
                  <pic:spPr>
                    <a:xfrm>
                      <a:off x="0" y="0"/>
                      <a:ext cx="5274310" cy="4197350"/>
                    </a:xfrm>
                    <a:prstGeom prst="rect">
                      <a:avLst/>
                    </a:prstGeom>
                  </pic:spPr>
                </pic:pic>
              </a:graphicData>
            </a:graphic>
          </wp:inline>
        </w:drawing>
      </w:r>
    </w:p>
    <w:p>
      <w:pPr>
        <w:spacing w:line="600" w:lineRule="exact"/>
        <w:ind w:firstLine="643" w:firstLineChars="200"/>
        <w:outlineLvl w:val="2"/>
        <w:rPr>
          <w:rFonts w:ascii="仿宋" w:hAnsi="仿宋" w:eastAsia="仿宋"/>
          <w:b/>
          <w:color w:val="auto"/>
          <w:sz w:val="32"/>
          <w:szCs w:val="32"/>
          <w:highlight w:val="none"/>
        </w:rPr>
      </w:pPr>
      <w:bookmarkStart w:id="37" w:name="_Toc15377212"/>
      <w:r>
        <w:rPr>
          <w:rFonts w:hint="eastAsia" w:ascii="仿宋" w:hAnsi="仿宋" w:eastAsia="仿宋"/>
          <w:b/>
          <w:color w:val="auto"/>
          <w:sz w:val="32"/>
          <w:szCs w:val="32"/>
          <w:highlight w:val="none"/>
        </w:rPr>
        <w:t>（三）一般公共预算财政拨款支出决算具体情况</w:t>
      </w:r>
      <w:bookmarkEnd w:id="37"/>
    </w:p>
    <w:p>
      <w:pPr>
        <w:spacing w:line="600" w:lineRule="exact"/>
        <w:ind w:firstLine="643" w:firstLineChars="200"/>
        <w:outlineLvl w:val="2"/>
        <w:rPr>
          <w:rFonts w:ascii="仿宋" w:hAnsi="仿宋" w:eastAsia="仿宋"/>
          <w:color w:val="auto"/>
          <w:sz w:val="32"/>
          <w:szCs w:val="32"/>
          <w:highlight w:val="none"/>
        </w:rPr>
      </w:pPr>
      <w:bookmarkStart w:id="38" w:name="_Toc15377213"/>
      <w:bookmarkStart w:id="39" w:name="_Toc15378460"/>
      <w:bookmarkStart w:id="40"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1811.68万元</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w:t>
      </w:r>
      <w:r>
        <w:rPr>
          <w:rStyle w:val="20"/>
          <w:rFonts w:hint="eastAsia" w:ascii="仿宋" w:hAnsi="仿宋" w:eastAsia="仿宋"/>
          <w:bCs/>
          <w:color w:val="auto"/>
          <w:sz w:val="32"/>
          <w:szCs w:val="32"/>
          <w:highlight w:val="none"/>
          <w:lang w:val="en-US" w:eastAsia="zh-CN"/>
        </w:rPr>
        <w:t>100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。其中：</w:t>
      </w:r>
      <w:bookmarkEnd w:id="38"/>
      <w:bookmarkEnd w:id="39"/>
      <w:bookmarkEnd w:id="40"/>
    </w:p>
    <w:p>
      <w:pPr>
        <w:spacing w:line="600" w:lineRule="exact"/>
        <w:ind w:firstLine="643" w:firstLineChars="200"/>
        <w:outlineLvl w:val="9"/>
        <w:rPr>
          <w:rFonts w:eastAsia="仿宋"/>
          <w:b/>
          <w:color w:val="000000"/>
          <w:sz w:val="32"/>
          <w:szCs w:val="32"/>
        </w:rPr>
      </w:pPr>
      <w:r>
        <w:rPr>
          <w:rStyle w:val="20"/>
          <w:rFonts w:eastAsia="仿宋"/>
          <w:bCs/>
          <w:color w:val="000000"/>
          <w:sz w:val="32"/>
          <w:szCs w:val="32"/>
        </w:rPr>
        <w:t>1.一般公共服务</w:t>
      </w:r>
      <w:r>
        <w:rPr>
          <w:rStyle w:val="20"/>
          <w:rFonts w:hint="eastAsia" w:eastAsia="仿宋"/>
          <w:bCs/>
          <w:color w:val="000000"/>
          <w:sz w:val="32"/>
          <w:szCs w:val="32"/>
        </w:rPr>
        <w:t>财政事务行政运行</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601.78</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一般公共服务</w:t>
      </w:r>
      <w:r>
        <w:rPr>
          <w:rStyle w:val="20"/>
          <w:rFonts w:hint="eastAsia" w:eastAsia="仿宋"/>
          <w:bCs/>
          <w:color w:val="000000"/>
          <w:sz w:val="32"/>
          <w:szCs w:val="32"/>
        </w:rPr>
        <w:t>财政事务一般行政管理事务</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106.43</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一般公共服务</w:t>
      </w:r>
      <w:r>
        <w:rPr>
          <w:rStyle w:val="20"/>
          <w:rFonts w:hint="eastAsia" w:eastAsia="仿宋"/>
          <w:bCs/>
          <w:color w:val="000000"/>
          <w:sz w:val="32"/>
          <w:szCs w:val="32"/>
        </w:rPr>
        <w:t>财政事务一般行政管理事务</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106.43</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一般公共服务</w:t>
      </w:r>
      <w:r>
        <w:rPr>
          <w:rStyle w:val="20"/>
          <w:rFonts w:hint="eastAsia" w:eastAsia="仿宋"/>
          <w:bCs/>
          <w:color w:val="000000"/>
          <w:sz w:val="32"/>
          <w:szCs w:val="32"/>
        </w:rPr>
        <w:t>财政事务信息化建设</w:t>
      </w:r>
      <w:r>
        <w:rPr>
          <w:rStyle w:val="20"/>
          <w:rFonts w:eastAsia="仿宋"/>
          <w:bCs/>
          <w:color w:val="000000"/>
          <w:sz w:val="32"/>
          <w:szCs w:val="32"/>
        </w:rPr>
        <w:t>:</w:t>
      </w:r>
      <w:r>
        <w:rPr>
          <w:rStyle w:val="20"/>
          <w:rFonts w:eastAsia="仿宋"/>
          <w:b w:val="0"/>
          <w:bCs/>
          <w:color w:val="auto"/>
          <w:sz w:val="32"/>
          <w:szCs w:val="32"/>
        </w:rPr>
        <w:t>支出决算为</w:t>
      </w:r>
      <w:r>
        <w:rPr>
          <w:rStyle w:val="20"/>
          <w:rFonts w:hint="eastAsia" w:eastAsia="仿宋"/>
          <w:b w:val="0"/>
          <w:bCs/>
          <w:color w:val="auto"/>
          <w:sz w:val="32"/>
          <w:szCs w:val="32"/>
          <w:lang w:val="en-US" w:eastAsia="zh-CN"/>
        </w:rPr>
        <w:t>333.86</w:t>
      </w:r>
      <w:r>
        <w:rPr>
          <w:rStyle w:val="20"/>
          <w:rFonts w:eastAsia="仿宋"/>
          <w:b w:val="0"/>
          <w:bCs/>
          <w:color w:val="auto"/>
          <w:sz w:val="32"/>
          <w:szCs w:val="32"/>
        </w:rPr>
        <w:t>万元，完成预算</w:t>
      </w:r>
      <w:r>
        <w:rPr>
          <w:rStyle w:val="20"/>
          <w:rFonts w:hint="eastAsia" w:eastAsia="仿宋"/>
          <w:b w:val="0"/>
          <w:bCs/>
          <w:color w:val="auto"/>
          <w:sz w:val="32"/>
          <w:szCs w:val="32"/>
          <w:lang w:val="en-US" w:eastAsia="zh-CN"/>
        </w:rPr>
        <w:t>100</w:t>
      </w:r>
      <w:r>
        <w:rPr>
          <w:rStyle w:val="20"/>
          <w:rFonts w:eastAsia="仿宋"/>
          <w:b w:val="0"/>
          <w:bCs/>
          <w:color w:val="auto"/>
          <w:sz w:val="32"/>
          <w:szCs w:val="32"/>
        </w:rPr>
        <w:t>%，决算数等于调整预算数。</w:t>
      </w:r>
      <w:r>
        <w:rPr>
          <w:rStyle w:val="20"/>
          <w:rFonts w:eastAsia="仿宋"/>
          <w:bCs/>
          <w:color w:val="auto"/>
          <w:sz w:val="32"/>
          <w:szCs w:val="32"/>
        </w:rPr>
        <w:t>一</w:t>
      </w:r>
      <w:r>
        <w:rPr>
          <w:rStyle w:val="20"/>
          <w:rFonts w:eastAsia="仿宋"/>
          <w:bCs/>
          <w:color w:val="000000"/>
          <w:sz w:val="32"/>
          <w:szCs w:val="32"/>
        </w:rPr>
        <w:t>般公共服务</w:t>
      </w:r>
      <w:r>
        <w:rPr>
          <w:rStyle w:val="20"/>
          <w:rFonts w:hint="eastAsia" w:eastAsia="仿宋"/>
          <w:bCs/>
          <w:color w:val="000000"/>
          <w:sz w:val="32"/>
          <w:szCs w:val="32"/>
        </w:rPr>
        <w:t>财政事务财政委托业务支出</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260.60</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一般公共服务</w:t>
      </w:r>
      <w:r>
        <w:rPr>
          <w:rStyle w:val="20"/>
          <w:rFonts w:hint="eastAsia" w:eastAsia="仿宋"/>
          <w:bCs/>
          <w:color w:val="000000"/>
          <w:sz w:val="32"/>
          <w:szCs w:val="32"/>
        </w:rPr>
        <w:t>财政事务事业运行</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221.29</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一般公共服务</w:t>
      </w:r>
      <w:r>
        <w:rPr>
          <w:rStyle w:val="20"/>
          <w:rFonts w:hint="eastAsia" w:eastAsia="仿宋"/>
          <w:bCs/>
          <w:color w:val="000000"/>
          <w:sz w:val="32"/>
          <w:szCs w:val="32"/>
        </w:rPr>
        <w:t>财政事务其他财政事务支出</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62.51</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p>
    <w:p>
      <w:pPr>
        <w:spacing w:line="600" w:lineRule="exact"/>
        <w:ind w:firstLine="643" w:firstLineChars="200"/>
        <w:outlineLvl w:val="9"/>
        <w:rPr>
          <w:rFonts w:eastAsia="仿宋"/>
          <w:b/>
          <w:color w:val="000000"/>
          <w:sz w:val="32"/>
          <w:szCs w:val="32"/>
        </w:rPr>
      </w:pPr>
      <w:r>
        <w:rPr>
          <w:rStyle w:val="20"/>
          <w:rFonts w:hint="eastAsia" w:eastAsia="仿宋"/>
          <w:bCs/>
          <w:color w:val="000000"/>
          <w:sz w:val="32"/>
          <w:szCs w:val="32"/>
        </w:rPr>
        <w:t>2</w:t>
      </w:r>
      <w:r>
        <w:rPr>
          <w:rStyle w:val="20"/>
          <w:rFonts w:eastAsia="仿宋"/>
          <w:bCs/>
          <w:color w:val="000000"/>
          <w:sz w:val="32"/>
          <w:szCs w:val="32"/>
        </w:rPr>
        <w:t>.社会保障和就业</w:t>
      </w:r>
      <w:r>
        <w:rPr>
          <w:rStyle w:val="20"/>
          <w:rFonts w:hint="eastAsia" w:eastAsia="仿宋"/>
          <w:bCs/>
          <w:color w:val="000000"/>
          <w:sz w:val="32"/>
          <w:szCs w:val="32"/>
        </w:rPr>
        <w:t>行政事业单位养老支出行政单位离退休</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rPr>
        <w:t>1</w:t>
      </w:r>
      <w:r>
        <w:rPr>
          <w:rStyle w:val="20"/>
          <w:rFonts w:hint="eastAsia" w:eastAsia="仿宋"/>
          <w:b w:val="0"/>
          <w:bCs/>
          <w:color w:val="000000"/>
          <w:sz w:val="32"/>
          <w:szCs w:val="32"/>
          <w:lang w:val="en-US" w:eastAsia="zh-CN"/>
        </w:rPr>
        <w:t>22.64</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社会保障和就业</w:t>
      </w:r>
      <w:r>
        <w:rPr>
          <w:rStyle w:val="20"/>
          <w:rFonts w:hint="eastAsia" w:eastAsia="仿宋"/>
          <w:bCs/>
          <w:color w:val="000000"/>
          <w:sz w:val="32"/>
          <w:szCs w:val="32"/>
        </w:rPr>
        <w:t>行政事业单位养老支出机关事业单位基本养老保险缴费支出</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82.77</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Style w:val="20"/>
          <w:rFonts w:eastAsia="仿宋"/>
          <w:bCs/>
          <w:color w:val="000000"/>
          <w:sz w:val="32"/>
          <w:szCs w:val="32"/>
        </w:rPr>
        <w:t>社会保障和就业</w:t>
      </w:r>
      <w:r>
        <w:rPr>
          <w:rStyle w:val="20"/>
          <w:rFonts w:hint="eastAsia" w:eastAsia="仿宋"/>
          <w:bCs/>
          <w:color w:val="000000"/>
          <w:sz w:val="32"/>
          <w:szCs w:val="32"/>
        </w:rPr>
        <w:t>其他社会保障和就业支出其他社会保障和就业支出</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rPr>
        <w:t>1.</w:t>
      </w:r>
      <w:r>
        <w:rPr>
          <w:rStyle w:val="20"/>
          <w:rFonts w:hint="eastAsia" w:eastAsia="仿宋"/>
          <w:b w:val="0"/>
          <w:bCs/>
          <w:color w:val="000000"/>
          <w:sz w:val="32"/>
          <w:szCs w:val="32"/>
          <w:lang w:val="en-US" w:eastAsia="zh-CN"/>
        </w:rPr>
        <w:t>57</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p>
    <w:p>
      <w:pPr>
        <w:spacing w:line="600" w:lineRule="exact"/>
        <w:ind w:firstLine="643" w:firstLineChars="200"/>
        <w:outlineLvl w:val="9"/>
        <w:rPr>
          <w:rFonts w:eastAsia="仿宋"/>
          <w:b/>
          <w:color w:val="000000"/>
          <w:sz w:val="32"/>
          <w:szCs w:val="32"/>
        </w:rPr>
      </w:pPr>
      <w:r>
        <w:rPr>
          <w:rStyle w:val="20"/>
          <w:rFonts w:hint="eastAsia" w:eastAsia="仿宋"/>
          <w:bCs/>
          <w:color w:val="000000"/>
          <w:sz w:val="32"/>
          <w:szCs w:val="32"/>
        </w:rPr>
        <w:t>3</w:t>
      </w:r>
      <w:r>
        <w:rPr>
          <w:rStyle w:val="20"/>
          <w:rFonts w:eastAsia="仿宋"/>
          <w:bCs/>
          <w:color w:val="000000"/>
          <w:sz w:val="32"/>
          <w:szCs w:val="32"/>
        </w:rPr>
        <w:t>.</w:t>
      </w:r>
      <w:r>
        <w:rPr>
          <w:rFonts w:eastAsia="仿宋"/>
          <w:b/>
          <w:bCs/>
          <w:color w:val="000000"/>
          <w:sz w:val="32"/>
          <w:szCs w:val="32"/>
        </w:rPr>
        <w:t>卫生健康</w:t>
      </w:r>
      <w:r>
        <w:rPr>
          <w:rStyle w:val="20"/>
          <w:rFonts w:hint="eastAsia" w:eastAsia="仿宋"/>
          <w:bCs/>
          <w:color w:val="000000"/>
          <w:sz w:val="32"/>
          <w:szCs w:val="32"/>
        </w:rPr>
        <w:t>行政事业单位医疗行政单位医疗</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25.6</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Fonts w:eastAsia="仿宋"/>
          <w:b/>
          <w:bCs/>
          <w:color w:val="000000"/>
          <w:sz w:val="32"/>
          <w:szCs w:val="32"/>
        </w:rPr>
        <w:t>卫生健康</w:t>
      </w:r>
      <w:r>
        <w:rPr>
          <w:rStyle w:val="20"/>
          <w:rFonts w:hint="eastAsia" w:eastAsia="仿宋"/>
          <w:bCs/>
          <w:color w:val="000000"/>
          <w:sz w:val="32"/>
          <w:szCs w:val="32"/>
        </w:rPr>
        <w:t>行政事业单位医疗事业单位医疗</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9.62</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r>
        <w:rPr>
          <w:rFonts w:eastAsia="仿宋"/>
          <w:b/>
          <w:bCs/>
          <w:color w:val="000000"/>
          <w:sz w:val="32"/>
          <w:szCs w:val="32"/>
        </w:rPr>
        <w:t>卫生健康</w:t>
      </w:r>
      <w:r>
        <w:rPr>
          <w:rStyle w:val="20"/>
          <w:rFonts w:hint="eastAsia" w:eastAsia="仿宋"/>
          <w:bCs/>
          <w:color w:val="000000"/>
          <w:sz w:val="32"/>
          <w:szCs w:val="32"/>
        </w:rPr>
        <w:t>行政事业单位医疗公务员医疗补助</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rPr>
        <w:t>6.</w:t>
      </w:r>
      <w:r>
        <w:rPr>
          <w:rStyle w:val="20"/>
          <w:rFonts w:hint="eastAsia" w:eastAsia="仿宋"/>
          <w:b w:val="0"/>
          <w:bCs/>
          <w:color w:val="000000"/>
          <w:sz w:val="32"/>
          <w:szCs w:val="32"/>
          <w:lang w:val="en-US" w:eastAsia="zh-CN"/>
        </w:rPr>
        <w:t>7</w:t>
      </w:r>
      <w:r>
        <w:rPr>
          <w:rStyle w:val="20"/>
          <w:rFonts w:hint="eastAsia" w:eastAsia="仿宋"/>
          <w:b w:val="0"/>
          <w:bCs/>
          <w:color w:val="000000"/>
          <w:sz w:val="32"/>
          <w:szCs w:val="32"/>
        </w:rPr>
        <w:t>9</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p>
    <w:p>
      <w:pPr>
        <w:spacing w:line="600" w:lineRule="exact"/>
        <w:ind w:firstLine="643" w:firstLineChars="200"/>
        <w:outlineLvl w:val="9"/>
        <w:rPr>
          <w:rFonts w:eastAsia="仿宋"/>
          <w:b/>
          <w:color w:val="000000"/>
          <w:sz w:val="32"/>
          <w:szCs w:val="32"/>
        </w:rPr>
      </w:pPr>
      <w:r>
        <w:rPr>
          <w:rStyle w:val="20"/>
          <w:rFonts w:hint="eastAsia" w:eastAsia="仿宋"/>
          <w:bCs/>
          <w:color w:val="000000"/>
          <w:sz w:val="32"/>
          <w:szCs w:val="32"/>
        </w:rPr>
        <w:t>4</w:t>
      </w:r>
      <w:r>
        <w:rPr>
          <w:rStyle w:val="20"/>
          <w:rFonts w:eastAsia="仿宋"/>
          <w:bCs/>
          <w:color w:val="000000"/>
          <w:sz w:val="32"/>
          <w:szCs w:val="32"/>
        </w:rPr>
        <w:t>.</w:t>
      </w:r>
      <w:r>
        <w:rPr>
          <w:rFonts w:hint="eastAsia"/>
        </w:rPr>
        <w:t xml:space="preserve"> </w:t>
      </w:r>
      <w:r>
        <w:rPr>
          <w:rFonts w:hint="eastAsia" w:eastAsia="仿宋"/>
          <w:b/>
          <w:bCs/>
          <w:color w:val="000000"/>
          <w:sz w:val="32"/>
          <w:szCs w:val="32"/>
        </w:rPr>
        <w:t>住房保障支出</w:t>
      </w:r>
      <w:r>
        <w:rPr>
          <w:rStyle w:val="20"/>
          <w:rFonts w:hint="eastAsia" w:eastAsia="仿宋"/>
          <w:bCs/>
          <w:color w:val="000000"/>
          <w:sz w:val="32"/>
          <w:szCs w:val="32"/>
        </w:rPr>
        <w:t>住房改革支出住房公积金</w:t>
      </w:r>
      <w:r>
        <w:rPr>
          <w:rStyle w:val="20"/>
          <w:rFonts w:eastAsia="仿宋"/>
          <w:bCs/>
          <w:color w:val="000000"/>
          <w:sz w:val="32"/>
          <w:szCs w:val="32"/>
        </w:rPr>
        <w:t>:</w:t>
      </w:r>
      <w:r>
        <w:rPr>
          <w:rStyle w:val="20"/>
          <w:rFonts w:eastAsia="仿宋"/>
          <w:b w:val="0"/>
          <w:bCs/>
          <w:color w:val="000000"/>
          <w:sz w:val="32"/>
          <w:szCs w:val="32"/>
        </w:rPr>
        <w:t>支出决算为</w:t>
      </w:r>
      <w:r>
        <w:rPr>
          <w:rStyle w:val="20"/>
          <w:rFonts w:hint="eastAsia" w:eastAsia="仿宋"/>
          <w:b w:val="0"/>
          <w:bCs/>
          <w:color w:val="000000"/>
          <w:sz w:val="32"/>
          <w:szCs w:val="32"/>
          <w:lang w:val="en-US" w:eastAsia="zh-CN"/>
        </w:rPr>
        <w:t>57.99</w:t>
      </w:r>
      <w:r>
        <w:rPr>
          <w:rStyle w:val="20"/>
          <w:rFonts w:eastAsia="仿宋"/>
          <w:b w:val="0"/>
          <w:bCs/>
          <w:color w:val="000000"/>
          <w:sz w:val="32"/>
          <w:szCs w:val="32"/>
        </w:rPr>
        <w:t>万元，完成预算</w:t>
      </w:r>
      <w:r>
        <w:rPr>
          <w:rStyle w:val="20"/>
          <w:rFonts w:hint="eastAsia" w:eastAsia="仿宋"/>
          <w:b w:val="0"/>
          <w:bCs/>
          <w:color w:val="000000"/>
          <w:sz w:val="32"/>
          <w:szCs w:val="32"/>
        </w:rPr>
        <w:t>100</w:t>
      </w:r>
      <w:r>
        <w:rPr>
          <w:rStyle w:val="20"/>
          <w:rFonts w:eastAsia="仿宋"/>
          <w:b w:val="0"/>
          <w:bCs/>
          <w:color w:val="000000"/>
          <w:sz w:val="32"/>
          <w:szCs w:val="32"/>
        </w:rPr>
        <w:t>%，决算数等于调整预算数。</w:t>
      </w:r>
    </w:p>
    <w:p>
      <w:pPr>
        <w:tabs>
          <w:tab w:val="right" w:pos="8306"/>
        </w:tabs>
        <w:spacing w:line="600" w:lineRule="exact"/>
        <w:ind w:firstLine="640"/>
        <w:outlineLvl w:val="1"/>
        <w:rPr>
          <w:rStyle w:val="32"/>
          <w:color w:val="auto"/>
          <w:highlight w:val="none"/>
        </w:rPr>
      </w:pPr>
      <w:bookmarkStart w:id="41" w:name="_Toc15377214"/>
      <w:bookmarkStart w:id="42"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2"/>
          <w:rFonts w:hint="eastAsia" w:ascii="黑体" w:hAnsi="黑体" w:eastAsia="黑体"/>
          <w:b w:val="0"/>
          <w:color w:val="auto"/>
          <w:highlight w:val="none"/>
        </w:rPr>
        <w:t>般公共预算财政拨款基本支出决算情况说明</w:t>
      </w:r>
      <w:bookmarkEnd w:id="41"/>
      <w:bookmarkEnd w:id="42"/>
      <w:r>
        <w:rPr>
          <w:rStyle w:val="32"/>
          <w:rFonts w:ascii="黑体" w:hAnsi="黑体" w:eastAsia="黑体"/>
          <w:b w:val="0"/>
          <w:color w:val="auto"/>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1811.68</w:t>
      </w:r>
      <w:r>
        <w:rPr>
          <w:rFonts w:hint="eastAsia" w:ascii="仿宋" w:hAnsi="仿宋" w:eastAsia="仿宋"/>
          <w:color w:val="auto"/>
          <w:sz w:val="32"/>
          <w:szCs w:val="32"/>
          <w:highlight w:val="none"/>
        </w:rPr>
        <w:t>万元，其中：</w:t>
      </w:r>
    </w:p>
    <w:p>
      <w:pPr>
        <w:spacing w:line="600" w:lineRule="exact"/>
        <w:ind w:firstLine="645"/>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951.38</w:t>
      </w:r>
      <w:r>
        <w:rPr>
          <w:rFonts w:hint="eastAsia" w:ascii="仿宋" w:hAnsi="仿宋" w:eastAsia="仿宋"/>
          <w:color w:val="auto"/>
          <w:sz w:val="32"/>
          <w:szCs w:val="32"/>
          <w:highlight w:val="none"/>
        </w:rPr>
        <w:t>万元，主要包括：基本工资</w:t>
      </w:r>
      <w:r>
        <w:rPr>
          <w:rFonts w:hint="eastAsia" w:ascii="仿宋" w:hAnsi="仿宋" w:eastAsia="仿宋"/>
          <w:color w:val="auto"/>
          <w:sz w:val="32"/>
          <w:szCs w:val="32"/>
          <w:highlight w:val="none"/>
          <w:lang w:val="en-US" w:eastAsia="zh-CN"/>
        </w:rPr>
        <w:t>263.79万元</w:t>
      </w:r>
      <w:r>
        <w:rPr>
          <w:rFonts w:hint="eastAsia" w:ascii="仿宋" w:hAnsi="仿宋" w:eastAsia="仿宋"/>
          <w:color w:val="auto"/>
          <w:sz w:val="32"/>
          <w:szCs w:val="32"/>
          <w:highlight w:val="none"/>
        </w:rPr>
        <w:t>、津贴补贴</w:t>
      </w:r>
      <w:r>
        <w:rPr>
          <w:rFonts w:hint="eastAsia" w:ascii="仿宋" w:hAnsi="仿宋" w:eastAsia="仿宋"/>
          <w:color w:val="auto"/>
          <w:sz w:val="32"/>
          <w:szCs w:val="32"/>
          <w:highlight w:val="none"/>
          <w:lang w:val="en-US" w:eastAsia="zh-CN"/>
        </w:rPr>
        <w:t>125.36万元</w:t>
      </w:r>
      <w:r>
        <w:rPr>
          <w:rFonts w:hint="eastAsia" w:ascii="仿宋" w:hAnsi="仿宋" w:eastAsia="仿宋"/>
          <w:color w:val="auto"/>
          <w:sz w:val="32"/>
          <w:szCs w:val="32"/>
          <w:highlight w:val="none"/>
        </w:rPr>
        <w:t>、奖金</w:t>
      </w:r>
      <w:r>
        <w:rPr>
          <w:rFonts w:hint="eastAsia" w:ascii="仿宋" w:hAnsi="仿宋" w:eastAsia="仿宋"/>
          <w:color w:val="auto"/>
          <w:sz w:val="32"/>
          <w:szCs w:val="32"/>
          <w:highlight w:val="none"/>
          <w:lang w:val="en-US" w:eastAsia="zh-CN"/>
        </w:rPr>
        <w:t>288.6万元</w:t>
      </w:r>
      <w:r>
        <w:rPr>
          <w:rFonts w:hint="eastAsia" w:ascii="仿宋" w:hAnsi="仿宋" w:eastAsia="仿宋"/>
          <w:color w:val="auto"/>
          <w:sz w:val="32"/>
          <w:szCs w:val="32"/>
          <w:highlight w:val="none"/>
        </w:rPr>
        <w:t>、绩效工资</w:t>
      </w:r>
      <w:r>
        <w:rPr>
          <w:rFonts w:hint="eastAsia" w:ascii="仿宋" w:hAnsi="仿宋" w:eastAsia="仿宋"/>
          <w:color w:val="auto"/>
          <w:sz w:val="32"/>
          <w:szCs w:val="32"/>
          <w:highlight w:val="none"/>
          <w:lang w:val="en-US" w:eastAsia="zh-CN"/>
        </w:rPr>
        <w:t>48.6万元</w:t>
      </w:r>
      <w:r>
        <w:rPr>
          <w:rFonts w:hint="eastAsia" w:ascii="仿宋" w:hAnsi="仿宋" w:eastAsia="仿宋"/>
          <w:color w:val="auto"/>
          <w:sz w:val="32"/>
          <w:szCs w:val="32"/>
          <w:highlight w:val="none"/>
        </w:rPr>
        <w:t>、机关事业单位基本养老保险缴费</w:t>
      </w:r>
      <w:r>
        <w:rPr>
          <w:rFonts w:hint="eastAsia" w:ascii="仿宋" w:hAnsi="仿宋" w:eastAsia="仿宋"/>
          <w:color w:val="auto"/>
          <w:sz w:val="32"/>
          <w:szCs w:val="32"/>
          <w:highlight w:val="none"/>
          <w:lang w:val="en-US" w:eastAsia="zh-CN"/>
        </w:rPr>
        <w:t>82.77万元</w:t>
      </w:r>
      <w:r>
        <w:rPr>
          <w:rFonts w:hint="eastAsia" w:ascii="仿宋" w:hAnsi="仿宋" w:eastAsia="仿宋"/>
          <w:color w:val="auto"/>
          <w:sz w:val="32"/>
          <w:szCs w:val="32"/>
          <w:highlight w:val="none"/>
        </w:rPr>
        <w:t>、</w:t>
      </w:r>
      <w:r>
        <w:rPr>
          <w:rFonts w:hint="eastAsia" w:ascii="Times New Roman" w:hAnsi="Times New Roman" w:eastAsia="仿宋_GB2312" w:cs="Times New Roman"/>
          <w:color w:val="000000"/>
          <w:sz w:val="32"/>
          <w:szCs w:val="32"/>
          <w:lang w:val="zh-CN" w:eastAsia="zh-CN"/>
        </w:rPr>
        <w:t>职工基本医疗保险缴费3</w:t>
      </w:r>
      <w:r>
        <w:rPr>
          <w:rFonts w:hint="eastAsia" w:eastAsia="仿宋_GB2312" w:cs="Times New Roman"/>
          <w:color w:val="000000"/>
          <w:sz w:val="32"/>
          <w:szCs w:val="32"/>
          <w:lang w:val="en-US" w:eastAsia="zh-CN"/>
        </w:rPr>
        <w:t>5.22</w:t>
      </w:r>
      <w:r>
        <w:rPr>
          <w:rFonts w:hint="eastAsia" w:ascii="Times New Roman" w:hAnsi="Times New Roman" w:eastAsia="仿宋_GB2312" w:cs="Times New Roman"/>
          <w:color w:val="000000"/>
          <w:sz w:val="32"/>
          <w:szCs w:val="32"/>
          <w:lang w:val="zh-CN" w:eastAsia="zh-CN"/>
        </w:rPr>
        <w:t>万元</w:t>
      </w:r>
      <w:r>
        <w:rPr>
          <w:rFonts w:hint="eastAsia" w:ascii="仿宋" w:hAnsi="仿宋" w:eastAsia="仿宋"/>
          <w:color w:val="auto"/>
          <w:sz w:val="32"/>
          <w:szCs w:val="32"/>
          <w:highlight w:val="none"/>
        </w:rPr>
        <w:t>、公务员医疗补助缴费</w:t>
      </w:r>
      <w:r>
        <w:rPr>
          <w:rFonts w:hint="eastAsia" w:ascii="仿宋" w:hAnsi="仿宋" w:eastAsia="仿宋"/>
          <w:color w:val="auto"/>
          <w:sz w:val="32"/>
          <w:szCs w:val="32"/>
          <w:highlight w:val="none"/>
          <w:lang w:val="en-US" w:eastAsia="zh-CN"/>
        </w:rPr>
        <w:t>6.79万元、</w:t>
      </w:r>
      <w:r>
        <w:rPr>
          <w:rFonts w:hint="eastAsia" w:ascii="仿宋" w:hAnsi="仿宋" w:eastAsia="仿宋"/>
          <w:color w:val="auto"/>
          <w:sz w:val="32"/>
          <w:szCs w:val="32"/>
          <w:highlight w:val="none"/>
        </w:rPr>
        <w:t>其他社会保障缴费</w:t>
      </w:r>
      <w:r>
        <w:rPr>
          <w:rFonts w:hint="eastAsia" w:ascii="仿宋" w:hAnsi="仿宋" w:eastAsia="仿宋"/>
          <w:color w:val="auto"/>
          <w:sz w:val="32"/>
          <w:szCs w:val="32"/>
          <w:highlight w:val="none"/>
          <w:lang w:val="en-US" w:eastAsia="zh-CN"/>
        </w:rPr>
        <w:t>1.57万元</w:t>
      </w:r>
      <w:r>
        <w:rPr>
          <w:rFonts w:hint="eastAsia" w:ascii="仿宋" w:hAnsi="仿宋" w:eastAsia="仿宋"/>
          <w:color w:val="auto"/>
          <w:sz w:val="32"/>
          <w:szCs w:val="32"/>
          <w:highlight w:val="none"/>
        </w:rPr>
        <w:t>、住房公积金</w:t>
      </w:r>
      <w:r>
        <w:rPr>
          <w:rFonts w:hint="eastAsia" w:ascii="仿宋" w:hAnsi="仿宋" w:eastAsia="仿宋"/>
          <w:color w:val="auto"/>
          <w:sz w:val="32"/>
          <w:szCs w:val="32"/>
          <w:highlight w:val="none"/>
          <w:lang w:val="en-US" w:eastAsia="zh-CN"/>
        </w:rPr>
        <w:t>57.99万元</w:t>
      </w:r>
      <w:r>
        <w:rPr>
          <w:rFonts w:hint="eastAsia" w:ascii="仿宋" w:hAnsi="仿宋" w:eastAsia="仿宋"/>
          <w:color w:val="auto"/>
          <w:sz w:val="32"/>
          <w:szCs w:val="32"/>
          <w:highlight w:val="none"/>
        </w:rPr>
        <w:t>、生活补助</w:t>
      </w:r>
      <w:r>
        <w:rPr>
          <w:rFonts w:hint="eastAsia" w:ascii="仿宋" w:hAnsi="仿宋" w:eastAsia="仿宋"/>
          <w:color w:val="auto"/>
          <w:sz w:val="32"/>
          <w:szCs w:val="32"/>
          <w:highlight w:val="none"/>
          <w:lang w:val="en-US" w:eastAsia="zh-CN"/>
        </w:rPr>
        <w:t>40.64万元、奖励金0.04万元</w:t>
      </w:r>
      <w:r>
        <w:rPr>
          <w:rFonts w:hint="eastAsia" w:ascii="仿宋" w:hAnsi="仿宋" w:eastAsia="仿宋"/>
          <w:color w:val="auto"/>
          <w:sz w:val="32"/>
          <w:szCs w:val="32"/>
          <w:highlight w:val="none"/>
        </w:rPr>
        <w:t>。</w:t>
      </w:r>
    </w:p>
    <w:p>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95.04</w:t>
      </w:r>
      <w:r>
        <w:rPr>
          <w:rFonts w:hint="eastAsia" w:ascii="仿宋" w:hAnsi="仿宋" w:eastAsia="仿宋"/>
          <w:color w:val="auto"/>
          <w:sz w:val="32"/>
          <w:szCs w:val="32"/>
          <w:highlight w:val="none"/>
        </w:rPr>
        <w:t>万元，主要包括：办公费</w:t>
      </w:r>
      <w:r>
        <w:rPr>
          <w:rFonts w:hint="eastAsia" w:ascii="仿宋" w:hAnsi="仿宋" w:eastAsia="仿宋"/>
          <w:color w:val="auto"/>
          <w:sz w:val="32"/>
          <w:szCs w:val="32"/>
          <w:highlight w:val="none"/>
          <w:lang w:val="en-US" w:eastAsia="zh-CN"/>
        </w:rPr>
        <w:t>18.06万元</w:t>
      </w:r>
      <w:r>
        <w:rPr>
          <w:rFonts w:hint="eastAsia" w:ascii="仿宋" w:hAnsi="仿宋" w:eastAsia="仿宋"/>
          <w:color w:val="auto"/>
          <w:sz w:val="32"/>
          <w:szCs w:val="32"/>
          <w:highlight w:val="none"/>
        </w:rPr>
        <w:t>、物业管理费</w:t>
      </w:r>
      <w:r>
        <w:rPr>
          <w:rFonts w:hint="eastAsia" w:ascii="仿宋" w:hAnsi="仿宋" w:eastAsia="仿宋"/>
          <w:color w:val="auto"/>
          <w:sz w:val="32"/>
          <w:szCs w:val="32"/>
          <w:highlight w:val="none"/>
          <w:lang w:val="en-US" w:eastAsia="zh-CN"/>
        </w:rPr>
        <w:t>0.88万元</w:t>
      </w:r>
      <w:r>
        <w:rPr>
          <w:rFonts w:hint="eastAsia" w:ascii="仿宋" w:hAnsi="仿宋" w:eastAsia="仿宋"/>
          <w:color w:val="auto"/>
          <w:sz w:val="32"/>
          <w:szCs w:val="32"/>
          <w:highlight w:val="none"/>
        </w:rPr>
        <w:t>、差旅费</w:t>
      </w:r>
      <w:r>
        <w:rPr>
          <w:rFonts w:hint="eastAsia" w:ascii="仿宋" w:hAnsi="仿宋" w:eastAsia="仿宋"/>
          <w:color w:val="auto"/>
          <w:sz w:val="32"/>
          <w:szCs w:val="32"/>
          <w:highlight w:val="none"/>
          <w:lang w:val="en-US" w:eastAsia="zh-CN"/>
        </w:rPr>
        <w:t>14.57万元</w:t>
      </w:r>
      <w:r>
        <w:rPr>
          <w:rFonts w:hint="eastAsia" w:ascii="仿宋" w:hAnsi="仿宋" w:eastAsia="仿宋"/>
          <w:color w:val="auto"/>
          <w:sz w:val="32"/>
          <w:szCs w:val="32"/>
          <w:highlight w:val="none"/>
        </w:rPr>
        <w:t>、维修（护）费</w:t>
      </w:r>
      <w:r>
        <w:rPr>
          <w:rFonts w:hint="eastAsia" w:ascii="仿宋" w:hAnsi="仿宋" w:eastAsia="仿宋"/>
          <w:color w:val="auto"/>
          <w:sz w:val="32"/>
          <w:szCs w:val="32"/>
          <w:highlight w:val="none"/>
          <w:lang w:val="en-US" w:eastAsia="zh-CN"/>
        </w:rPr>
        <w:t>0.31万元</w:t>
      </w:r>
      <w:r>
        <w:rPr>
          <w:rFonts w:hint="eastAsia" w:ascii="仿宋" w:hAnsi="仿宋" w:eastAsia="仿宋"/>
          <w:color w:val="auto"/>
          <w:sz w:val="32"/>
          <w:szCs w:val="32"/>
          <w:highlight w:val="none"/>
        </w:rPr>
        <w:t>、租赁费</w:t>
      </w:r>
      <w:r>
        <w:rPr>
          <w:rFonts w:hint="eastAsia" w:ascii="仿宋" w:hAnsi="仿宋" w:eastAsia="仿宋"/>
          <w:color w:val="auto"/>
          <w:sz w:val="32"/>
          <w:szCs w:val="32"/>
          <w:highlight w:val="none"/>
          <w:lang w:val="en-US" w:eastAsia="zh-CN"/>
        </w:rPr>
        <w:t>3.42万元</w:t>
      </w:r>
      <w:r>
        <w:rPr>
          <w:rFonts w:hint="eastAsia" w:ascii="仿宋" w:hAnsi="仿宋" w:eastAsia="仿宋"/>
          <w:color w:val="auto"/>
          <w:sz w:val="32"/>
          <w:szCs w:val="32"/>
          <w:highlight w:val="none"/>
        </w:rPr>
        <w:t>、会议费</w:t>
      </w:r>
      <w:r>
        <w:rPr>
          <w:rFonts w:hint="eastAsia" w:ascii="仿宋" w:hAnsi="仿宋" w:eastAsia="仿宋"/>
          <w:color w:val="auto"/>
          <w:sz w:val="32"/>
          <w:szCs w:val="32"/>
          <w:highlight w:val="none"/>
          <w:lang w:val="en-US" w:eastAsia="zh-CN"/>
        </w:rPr>
        <w:t>0.27万元</w:t>
      </w:r>
      <w:r>
        <w:rPr>
          <w:rFonts w:hint="eastAsia" w:ascii="仿宋" w:hAnsi="仿宋" w:eastAsia="仿宋"/>
          <w:color w:val="auto"/>
          <w:sz w:val="32"/>
          <w:szCs w:val="32"/>
          <w:highlight w:val="none"/>
        </w:rPr>
        <w:t>、培训费</w:t>
      </w:r>
      <w:r>
        <w:rPr>
          <w:rFonts w:hint="eastAsia" w:ascii="仿宋" w:hAnsi="仿宋" w:eastAsia="仿宋"/>
          <w:color w:val="auto"/>
          <w:sz w:val="32"/>
          <w:szCs w:val="32"/>
          <w:highlight w:val="none"/>
          <w:lang w:val="en-US" w:eastAsia="zh-CN"/>
        </w:rPr>
        <w:t>1.41万元</w:t>
      </w:r>
      <w:r>
        <w:rPr>
          <w:rFonts w:hint="eastAsia" w:ascii="仿宋" w:hAnsi="仿宋" w:eastAsia="仿宋"/>
          <w:color w:val="auto"/>
          <w:sz w:val="32"/>
          <w:szCs w:val="32"/>
          <w:highlight w:val="none"/>
        </w:rPr>
        <w:t>、公务接待费</w:t>
      </w:r>
      <w:r>
        <w:rPr>
          <w:rFonts w:hint="eastAsia" w:ascii="仿宋" w:hAnsi="仿宋" w:eastAsia="仿宋"/>
          <w:color w:val="auto"/>
          <w:sz w:val="32"/>
          <w:szCs w:val="32"/>
          <w:highlight w:val="none"/>
          <w:lang w:val="en-US" w:eastAsia="zh-CN"/>
        </w:rPr>
        <w:t>9.68万元</w:t>
      </w:r>
      <w:r>
        <w:rPr>
          <w:rFonts w:hint="eastAsia" w:ascii="仿宋" w:hAnsi="仿宋" w:eastAsia="仿宋"/>
          <w:color w:val="auto"/>
          <w:sz w:val="32"/>
          <w:szCs w:val="32"/>
          <w:highlight w:val="none"/>
        </w:rPr>
        <w:t>、劳务费</w:t>
      </w:r>
      <w:r>
        <w:rPr>
          <w:rFonts w:hint="eastAsia" w:ascii="仿宋" w:hAnsi="仿宋" w:eastAsia="仿宋"/>
          <w:color w:val="auto"/>
          <w:sz w:val="32"/>
          <w:szCs w:val="32"/>
          <w:highlight w:val="none"/>
          <w:lang w:val="en-US" w:eastAsia="zh-CN"/>
        </w:rPr>
        <w:t>2.00万元</w:t>
      </w:r>
      <w:r>
        <w:rPr>
          <w:rFonts w:hint="eastAsia" w:ascii="仿宋" w:hAnsi="仿宋" w:eastAsia="仿宋"/>
          <w:color w:val="auto"/>
          <w:sz w:val="32"/>
          <w:szCs w:val="32"/>
          <w:highlight w:val="none"/>
        </w:rPr>
        <w:t>、委托业务费</w:t>
      </w:r>
      <w:r>
        <w:rPr>
          <w:rFonts w:hint="eastAsia" w:ascii="仿宋" w:hAnsi="仿宋" w:eastAsia="仿宋"/>
          <w:color w:val="auto"/>
          <w:sz w:val="32"/>
          <w:szCs w:val="32"/>
          <w:highlight w:val="none"/>
          <w:lang w:val="en-US" w:eastAsia="zh-CN"/>
        </w:rPr>
        <w:t>2.00万元</w:t>
      </w:r>
      <w:r>
        <w:rPr>
          <w:rFonts w:hint="eastAsia" w:ascii="仿宋" w:hAnsi="仿宋" w:eastAsia="仿宋"/>
          <w:color w:val="auto"/>
          <w:sz w:val="32"/>
          <w:szCs w:val="32"/>
          <w:highlight w:val="none"/>
        </w:rPr>
        <w:t>、工会经费</w:t>
      </w:r>
      <w:r>
        <w:rPr>
          <w:rFonts w:hint="eastAsia" w:ascii="仿宋" w:hAnsi="仿宋" w:eastAsia="仿宋"/>
          <w:color w:val="auto"/>
          <w:sz w:val="32"/>
          <w:szCs w:val="32"/>
          <w:highlight w:val="none"/>
          <w:lang w:val="en-US" w:eastAsia="zh-CN"/>
        </w:rPr>
        <w:t>5.18万元</w:t>
      </w:r>
      <w:r>
        <w:rPr>
          <w:rFonts w:hint="eastAsia" w:ascii="仿宋" w:hAnsi="仿宋" w:eastAsia="仿宋"/>
          <w:color w:val="auto"/>
          <w:sz w:val="32"/>
          <w:szCs w:val="32"/>
          <w:highlight w:val="none"/>
        </w:rPr>
        <w:t>、公务用车运行维护费</w:t>
      </w:r>
      <w:r>
        <w:rPr>
          <w:rFonts w:hint="eastAsia" w:ascii="仿宋" w:hAnsi="仿宋" w:eastAsia="仿宋"/>
          <w:color w:val="auto"/>
          <w:sz w:val="32"/>
          <w:szCs w:val="32"/>
          <w:highlight w:val="none"/>
          <w:lang w:val="en-US" w:eastAsia="zh-CN"/>
        </w:rPr>
        <w:t>4.01万元</w:t>
      </w:r>
      <w:r>
        <w:rPr>
          <w:rFonts w:hint="eastAsia" w:ascii="仿宋" w:hAnsi="仿宋" w:eastAsia="仿宋"/>
          <w:color w:val="auto"/>
          <w:sz w:val="32"/>
          <w:szCs w:val="32"/>
          <w:highlight w:val="none"/>
        </w:rPr>
        <w:t>、其他交通费</w:t>
      </w:r>
      <w:r>
        <w:rPr>
          <w:rFonts w:hint="eastAsia" w:ascii="仿宋" w:hAnsi="仿宋" w:eastAsia="仿宋"/>
          <w:color w:val="auto"/>
          <w:sz w:val="32"/>
          <w:szCs w:val="32"/>
          <w:highlight w:val="none"/>
          <w:lang w:val="en-US" w:eastAsia="zh-CN"/>
        </w:rPr>
        <w:t>33.05万元</w:t>
      </w:r>
      <w:r>
        <w:rPr>
          <w:rFonts w:hint="eastAsia" w:ascii="仿宋" w:hAnsi="仿宋" w:eastAsia="仿宋"/>
          <w:color w:val="auto"/>
          <w:sz w:val="32"/>
          <w:szCs w:val="32"/>
          <w:highlight w:val="none"/>
        </w:rPr>
        <w:t>、其他商品和服务支出</w:t>
      </w:r>
      <w:r>
        <w:rPr>
          <w:rFonts w:hint="eastAsia" w:ascii="仿宋" w:hAnsi="仿宋" w:eastAsia="仿宋"/>
          <w:color w:val="auto"/>
          <w:sz w:val="32"/>
          <w:szCs w:val="32"/>
          <w:highlight w:val="none"/>
          <w:lang w:val="en-US" w:eastAsia="zh-CN"/>
        </w:rPr>
        <w:t>0.2万元</w:t>
      </w:r>
      <w:r>
        <w:rPr>
          <w:rFonts w:hint="eastAsia" w:ascii="仿宋" w:hAnsi="仿宋" w:eastAsia="仿宋"/>
          <w:color w:val="auto"/>
          <w:sz w:val="32"/>
          <w:szCs w:val="32"/>
          <w:highlight w:val="none"/>
        </w:rPr>
        <w:t>。</w:t>
      </w:r>
    </w:p>
    <w:p>
      <w:pPr>
        <w:spacing w:line="600" w:lineRule="exact"/>
        <w:ind w:firstLine="640"/>
        <w:outlineLvl w:val="1"/>
        <w:rPr>
          <w:rStyle w:val="32"/>
          <w:rFonts w:ascii="黑体" w:hAnsi="黑体" w:eastAsia="黑体"/>
          <w:b w:val="0"/>
          <w:color w:val="auto"/>
          <w:highlight w:val="none"/>
        </w:rPr>
      </w:pPr>
      <w:bookmarkStart w:id="43" w:name="_Toc15377215"/>
      <w:bookmarkStart w:id="44" w:name="_Toc15396609"/>
      <w:r>
        <w:rPr>
          <w:rFonts w:hint="eastAsia" w:ascii="黑体" w:eastAsia="黑体"/>
          <w:color w:val="auto"/>
          <w:sz w:val="32"/>
          <w:szCs w:val="32"/>
          <w:highlight w:val="none"/>
        </w:rPr>
        <w:t>七、</w:t>
      </w:r>
      <w:r>
        <w:rPr>
          <w:rStyle w:val="32"/>
          <w:rFonts w:hint="eastAsia" w:ascii="黑体" w:hAnsi="黑体" w:eastAsia="黑体"/>
          <w:b w:val="0"/>
          <w:color w:val="auto"/>
          <w:highlight w:val="none"/>
        </w:rPr>
        <w:t>财政拨款</w:t>
      </w:r>
      <w:r>
        <w:rPr>
          <w:rStyle w:val="32"/>
          <w:rFonts w:hint="eastAsia" w:ascii="黑体" w:hAnsi="黑体" w:eastAsia="黑体"/>
          <w:color w:val="auto"/>
          <w:highlight w:val="none"/>
        </w:rPr>
        <w:t>“</w:t>
      </w:r>
      <w:r>
        <w:rPr>
          <w:rStyle w:val="32"/>
          <w:rFonts w:hint="eastAsia" w:ascii="黑体" w:hAnsi="黑体" w:eastAsia="黑体"/>
          <w:b w:val="0"/>
          <w:color w:val="auto"/>
          <w:highlight w:val="none"/>
        </w:rPr>
        <w:t>三公”经费支出决算情况说明</w:t>
      </w:r>
      <w:bookmarkEnd w:id="43"/>
      <w:bookmarkEnd w:id="44"/>
    </w:p>
    <w:p>
      <w:pPr>
        <w:spacing w:line="600" w:lineRule="exact"/>
        <w:ind w:firstLine="640"/>
        <w:outlineLvl w:val="2"/>
        <w:rPr>
          <w:rFonts w:ascii="仿宋" w:hAnsi="仿宋" w:eastAsia="仿宋"/>
          <w:b/>
          <w:color w:val="auto"/>
          <w:sz w:val="32"/>
          <w:szCs w:val="32"/>
          <w:highlight w:val="none"/>
        </w:rPr>
      </w:pPr>
      <w:bookmarkStart w:id="45" w:name="_Toc15377216"/>
      <w:r>
        <w:rPr>
          <w:rFonts w:hint="eastAsia" w:ascii="仿宋" w:hAnsi="仿宋" w:eastAsia="仿宋"/>
          <w:b/>
          <w:color w:val="auto"/>
          <w:sz w:val="32"/>
          <w:szCs w:val="32"/>
          <w:highlight w:val="none"/>
        </w:rPr>
        <w:t>（一）“三公”经费财政拨款支出决算总体情况说明</w:t>
      </w:r>
      <w:bookmarkEnd w:id="45"/>
    </w:p>
    <w:p>
      <w:pPr>
        <w:spacing w:line="600" w:lineRule="exact"/>
        <w:ind w:firstLine="640"/>
        <w:rPr>
          <w:rFonts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13.69</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85.56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较上年增加</w:t>
      </w:r>
      <w:r>
        <w:rPr>
          <w:rFonts w:hint="eastAsia" w:ascii="仿宋" w:hAnsi="仿宋" w:eastAsia="仿宋"/>
          <w:color w:val="auto"/>
          <w:sz w:val="32"/>
          <w:szCs w:val="32"/>
          <w:highlight w:val="none"/>
          <w:lang w:val="en-US" w:eastAsia="zh-CN"/>
        </w:rPr>
        <w:t>4.51万元，增长49.13%。</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eastAsia="zh-CN"/>
        </w:rPr>
        <w:t>大</w:t>
      </w:r>
      <w:r>
        <w:rPr>
          <w:rFonts w:hint="eastAsia" w:ascii="仿宋" w:hAnsi="仿宋" w:eastAsia="仿宋"/>
          <w:color w:val="auto"/>
          <w:sz w:val="32"/>
          <w:szCs w:val="32"/>
          <w:highlight w:val="none"/>
        </w:rPr>
        <w:t>于预算数的主要原因是</w:t>
      </w:r>
      <w:r>
        <w:rPr>
          <w:rFonts w:hint="eastAsia" w:ascii="Times New Roman" w:hAnsi="Times New Roman" w:eastAsia="仿宋_GB2312" w:cs="Times New Roman"/>
          <w:color w:val="auto"/>
          <w:sz w:val="32"/>
          <w:szCs w:val="32"/>
          <w:lang w:val="zh-CN" w:eastAsia="zh-CN"/>
        </w:rPr>
        <w:t>本年度</w:t>
      </w:r>
      <w:r>
        <w:rPr>
          <w:rFonts w:hint="eastAsia" w:ascii="仿宋" w:hAnsi="仿宋" w:eastAsia="仿宋"/>
          <w:color w:val="auto"/>
          <w:sz w:val="32"/>
          <w:szCs w:val="32"/>
          <w:highlight w:val="none"/>
          <w:lang w:eastAsia="zh-CN"/>
        </w:rPr>
        <w:t>新增融资化债专班工作，</w:t>
      </w:r>
      <w:r>
        <w:rPr>
          <w:rFonts w:hint="eastAsia" w:ascii="Times New Roman" w:hAnsi="Times New Roman" w:eastAsia="仿宋_GB2312" w:cs="Times New Roman"/>
          <w:color w:val="auto"/>
          <w:sz w:val="32"/>
          <w:szCs w:val="32"/>
          <w:lang w:val="zh-CN" w:eastAsia="zh-CN"/>
        </w:rPr>
        <w:t>公务接待费用相对以往</w:t>
      </w:r>
      <w:r>
        <w:rPr>
          <w:rFonts w:hint="eastAsia" w:eastAsia="仿宋_GB2312" w:cs="Times New Roman"/>
          <w:color w:val="auto"/>
          <w:sz w:val="32"/>
          <w:szCs w:val="32"/>
          <w:lang w:val="zh-CN" w:eastAsia="zh-CN"/>
        </w:rPr>
        <w:t>增加</w:t>
      </w:r>
      <w:r>
        <w:rPr>
          <w:rFonts w:hint="eastAsia" w:ascii="仿宋" w:hAnsi="仿宋" w:eastAsia="仿宋"/>
          <w:color w:val="auto"/>
          <w:sz w:val="32"/>
          <w:szCs w:val="32"/>
          <w:highlight w:val="none"/>
        </w:rPr>
        <w:t>。</w:t>
      </w:r>
    </w:p>
    <w:p>
      <w:pPr>
        <w:spacing w:line="600" w:lineRule="exact"/>
        <w:ind w:firstLine="640"/>
        <w:outlineLvl w:val="2"/>
        <w:rPr>
          <w:rFonts w:ascii="仿宋" w:hAnsi="仿宋" w:eastAsia="仿宋"/>
          <w:b/>
          <w:color w:val="auto"/>
          <w:sz w:val="32"/>
          <w:szCs w:val="32"/>
          <w:highlight w:val="none"/>
        </w:rPr>
      </w:pPr>
      <w:bookmarkStart w:id="46" w:name="_Toc15377217"/>
      <w:r>
        <w:rPr>
          <w:rFonts w:hint="eastAsia" w:ascii="仿宋" w:hAnsi="仿宋" w:eastAsia="仿宋"/>
          <w:b/>
          <w:color w:val="auto"/>
          <w:sz w:val="32"/>
          <w:szCs w:val="32"/>
          <w:highlight w:val="none"/>
        </w:rPr>
        <w:t>（二）“三公”经费财政拨款支出决算具体情况说明</w:t>
      </w:r>
      <w:bookmarkEnd w:id="46"/>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4.01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29.29</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9.68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70.71</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5273675" cy="3427095"/>
            <wp:effectExtent l="0" t="0" r="3175" b="1905"/>
            <wp:docPr id="19" name="图片 19"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7"/>
                    <pic:cNvPicPr>
                      <a:picLocks noChangeAspect="1"/>
                    </pic:cNvPicPr>
                  </pic:nvPicPr>
                  <pic:blipFill>
                    <a:blip r:embed="rId15"/>
                    <a:stretch>
                      <a:fillRect/>
                    </a:stretch>
                  </pic:blipFill>
                  <pic:spPr>
                    <a:xfrm>
                      <a:off x="0" y="0"/>
                      <a:ext cx="5273675" cy="3427095"/>
                    </a:xfrm>
                    <a:prstGeom prst="rect">
                      <a:avLst/>
                    </a:prstGeom>
                  </pic:spPr>
                </pic:pic>
              </a:graphicData>
            </a:graphic>
          </wp:inline>
        </w:drawing>
      </w:r>
    </w:p>
    <w:p>
      <w:pPr>
        <w:pStyle w:val="2"/>
        <w:rPr>
          <w:rFonts w:hint="eastAsia" w:ascii="仿宋" w:hAnsi="仿宋" w:eastAsia="仿宋"/>
          <w:color w:val="auto"/>
          <w:sz w:val="32"/>
          <w:szCs w:val="32"/>
          <w:highlight w:val="none"/>
        </w:rPr>
      </w:pP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4.01</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66.8</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0.22</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5.2</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eastAsia="仿宋_GB2312"/>
          <w:color w:val="auto"/>
          <w:sz w:val="32"/>
          <w:szCs w:val="32"/>
          <w:lang w:eastAsia="zh-CN"/>
        </w:rPr>
        <w:t>厉行节约，缩减机关开支</w:t>
      </w:r>
      <w:r>
        <w:rPr>
          <w:rFonts w:hint="eastAsia" w:ascii="仿宋_GB2312" w:eastAsia="仿宋_GB2312"/>
          <w:color w:val="auto"/>
          <w:sz w:val="32"/>
          <w:szCs w:val="32"/>
          <w:highlight w:val="none"/>
        </w:rPr>
        <w:t>。</w:t>
      </w:r>
    </w:p>
    <w:p>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pPr>
        <w:spacing w:line="600" w:lineRule="exact"/>
        <w:ind w:firstLine="640"/>
        <w:rPr>
          <w:rFonts w:eastAsia="仿宋_GB2312"/>
          <w:color w:val="000000"/>
          <w:sz w:val="32"/>
          <w:szCs w:val="32"/>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4.01</w:t>
      </w:r>
      <w:r>
        <w:rPr>
          <w:rFonts w:hint="eastAsia" w:ascii="仿宋_GB2312" w:eastAsia="仿宋_GB2312"/>
          <w:color w:val="auto"/>
          <w:sz w:val="32"/>
          <w:szCs w:val="32"/>
          <w:highlight w:val="none"/>
        </w:rPr>
        <w:t>万元。</w:t>
      </w:r>
      <w:r>
        <w:rPr>
          <w:rFonts w:eastAsia="仿宋_GB2312"/>
          <w:color w:val="000000"/>
          <w:sz w:val="32"/>
          <w:szCs w:val="32"/>
        </w:rPr>
        <w:t>主要用于</w:t>
      </w:r>
      <w:r>
        <w:rPr>
          <w:rFonts w:hint="eastAsia" w:eastAsia="仿宋_GB2312"/>
          <w:color w:val="000000"/>
          <w:sz w:val="32"/>
          <w:szCs w:val="32"/>
        </w:rPr>
        <w:t>财政检查、乡财股、经建股、农业股等项目验收</w:t>
      </w:r>
      <w:r>
        <w:rPr>
          <w:rFonts w:eastAsia="仿宋_GB2312"/>
          <w:color w:val="000000"/>
          <w:sz w:val="32"/>
          <w:szCs w:val="32"/>
        </w:rPr>
        <w:t>等所需的公务用车燃料费、维修费、过路过桥费、保险费等支出。</w:t>
      </w:r>
    </w:p>
    <w:p>
      <w:pPr>
        <w:spacing w:line="600" w:lineRule="exact"/>
        <w:ind w:firstLine="640"/>
        <w:jc w:val="both"/>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9.68</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96.8</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4.72</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95.16</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eastAsia="zh-CN"/>
        </w:rPr>
        <w:t>新增融资化债专班工作，</w:t>
      </w:r>
      <w:r>
        <w:rPr>
          <w:rFonts w:hint="eastAsia" w:ascii="Times New Roman" w:hAnsi="Times New Roman" w:eastAsia="仿宋_GB2312" w:cs="Times New Roman"/>
          <w:color w:val="auto"/>
          <w:sz w:val="32"/>
          <w:szCs w:val="32"/>
          <w:lang w:val="zh-CN" w:eastAsia="zh-CN"/>
        </w:rPr>
        <w:t>公务接待费用相对以往</w:t>
      </w:r>
      <w:r>
        <w:rPr>
          <w:rFonts w:hint="eastAsia" w:eastAsia="仿宋_GB2312" w:cs="Times New Roman"/>
          <w:color w:val="auto"/>
          <w:sz w:val="32"/>
          <w:szCs w:val="32"/>
          <w:lang w:val="zh-CN" w:eastAsia="zh-CN"/>
        </w:rPr>
        <w:t>增加</w:t>
      </w:r>
      <w:r>
        <w:rPr>
          <w:rFonts w:hint="eastAsia" w:ascii="仿宋_GB2312" w:eastAsia="仿宋_GB2312"/>
          <w:color w:val="auto"/>
          <w:sz w:val="32"/>
          <w:szCs w:val="32"/>
          <w:highlight w:val="none"/>
        </w:rPr>
        <w:t>。其中：</w:t>
      </w:r>
    </w:p>
    <w:p>
      <w:pPr>
        <w:spacing w:line="600" w:lineRule="exact"/>
        <w:ind w:firstLine="640"/>
        <w:rPr>
          <w:rFonts w:hint="eastAsia"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9.68</w:t>
      </w:r>
      <w:r>
        <w:rPr>
          <w:rFonts w:hint="eastAsia" w:ascii="仿宋_GB2312" w:eastAsia="仿宋_GB2312"/>
          <w:color w:val="auto"/>
          <w:sz w:val="32"/>
          <w:szCs w:val="32"/>
          <w:highlight w:val="none"/>
        </w:rPr>
        <w:t>万元，</w:t>
      </w:r>
      <w:r>
        <w:rPr>
          <w:rFonts w:eastAsia="仿宋_GB2312"/>
          <w:color w:val="000000"/>
          <w:sz w:val="32"/>
          <w:szCs w:val="32"/>
        </w:rPr>
        <w:t>主要用于</w:t>
      </w:r>
      <w:r>
        <w:rPr>
          <w:rFonts w:hint="eastAsia" w:eastAsia="仿宋_GB2312"/>
          <w:color w:val="000000"/>
          <w:sz w:val="32"/>
          <w:szCs w:val="32"/>
        </w:rPr>
        <w:t>接待省厅检查餐费以及融资工资接待餐费等</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80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932</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9.68</w:t>
      </w:r>
      <w:r>
        <w:rPr>
          <w:rFonts w:hint="eastAsia" w:ascii="仿宋_GB2312" w:eastAsia="仿宋_GB2312"/>
          <w:color w:val="auto"/>
          <w:sz w:val="32"/>
          <w:szCs w:val="32"/>
          <w:highlight w:val="none"/>
        </w:rPr>
        <w:t>万元。</w:t>
      </w:r>
    </w:p>
    <w:p>
      <w:pPr>
        <w:spacing w:line="600" w:lineRule="exact"/>
        <w:ind w:firstLine="643" w:firstLineChars="200"/>
        <w:rPr>
          <w:rFonts w:eastAsia="仿宋_GB2312"/>
          <w:color w:val="000000"/>
          <w:sz w:val="32"/>
          <w:szCs w:val="32"/>
        </w:rPr>
      </w:pPr>
      <w:bookmarkStart w:id="47" w:name="_Toc15396610"/>
      <w:bookmarkStart w:id="48" w:name="_Toc15377218"/>
      <w:r>
        <w:rPr>
          <w:rFonts w:eastAsia="仿宋"/>
          <w:b/>
          <w:color w:val="000000"/>
          <w:sz w:val="32"/>
          <w:szCs w:val="32"/>
        </w:rPr>
        <w:t>外事接待支出</w:t>
      </w:r>
      <w:r>
        <w:rPr>
          <w:rFonts w:hint="eastAsia" w:eastAsia="仿宋"/>
          <w:color w:val="000000"/>
          <w:sz w:val="32"/>
          <w:szCs w:val="32"/>
        </w:rPr>
        <w:t>0</w:t>
      </w:r>
      <w:r>
        <w:rPr>
          <w:rFonts w:eastAsia="仿宋_GB2312"/>
          <w:color w:val="000000"/>
          <w:sz w:val="32"/>
          <w:szCs w:val="32"/>
        </w:rPr>
        <w:t>万元，外事接待</w:t>
      </w:r>
      <w:r>
        <w:rPr>
          <w:rFonts w:hint="eastAsia" w:eastAsia="仿宋_GB2312"/>
          <w:color w:val="000000"/>
          <w:sz w:val="32"/>
          <w:szCs w:val="32"/>
        </w:rPr>
        <w:t>0</w:t>
      </w:r>
      <w:r>
        <w:rPr>
          <w:rFonts w:eastAsia="仿宋_GB2312"/>
          <w:color w:val="000000"/>
          <w:sz w:val="32"/>
          <w:szCs w:val="32"/>
        </w:rPr>
        <w:t>批次，</w:t>
      </w:r>
      <w:r>
        <w:rPr>
          <w:rFonts w:hint="eastAsia" w:eastAsia="仿宋_GB2312"/>
          <w:color w:val="000000"/>
          <w:sz w:val="32"/>
          <w:szCs w:val="32"/>
        </w:rPr>
        <w:t>0</w:t>
      </w:r>
      <w:r>
        <w:rPr>
          <w:rFonts w:eastAsia="仿宋_GB2312"/>
          <w:color w:val="000000"/>
          <w:sz w:val="32"/>
          <w:szCs w:val="32"/>
        </w:rPr>
        <w:t>人，共计支出</w:t>
      </w:r>
      <w:r>
        <w:rPr>
          <w:rFonts w:hint="eastAsia" w:eastAsia="仿宋_GB2312"/>
          <w:color w:val="000000"/>
          <w:sz w:val="32"/>
          <w:szCs w:val="32"/>
        </w:rPr>
        <w:t>0</w:t>
      </w:r>
      <w:r>
        <w:rPr>
          <w:rFonts w:eastAsia="仿宋_GB2312"/>
          <w:color w:val="000000"/>
          <w:sz w:val="32"/>
          <w:szCs w:val="32"/>
        </w:rPr>
        <w:t>万元。</w:t>
      </w:r>
    </w:p>
    <w:p>
      <w:pPr>
        <w:spacing w:line="600" w:lineRule="exact"/>
        <w:ind w:firstLine="640"/>
        <w:outlineLvl w:val="1"/>
        <w:rPr>
          <w:rStyle w:val="32"/>
          <w:rFonts w:ascii="黑体" w:hAnsi="黑体" w:eastAsia="黑体"/>
          <w:color w:val="auto"/>
          <w:highlight w:val="none"/>
        </w:rPr>
      </w:pPr>
      <w:r>
        <w:rPr>
          <w:rFonts w:hint="eastAsia" w:ascii="黑体" w:eastAsia="黑体"/>
          <w:color w:val="auto"/>
          <w:sz w:val="32"/>
          <w:szCs w:val="32"/>
          <w:highlight w:val="none"/>
        </w:rPr>
        <w:t>八、</w:t>
      </w:r>
      <w:r>
        <w:rPr>
          <w:rStyle w:val="32"/>
          <w:rFonts w:hint="eastAsia" w:ascii="黑体" w:hAnsi="黑体" w:eastAsia="黑体"/>
          <w:b w:val="0"/>
          <w:color w:val="auto"/>
          <w:highlight w:val="none"/>
        </w:rPr>
        <w:t>政府性基金预算支出决算情况说明</w:t>
      </w:r>
      <w:bookmarkEnd w:id="47"/>
      <w:bookmarkEnd w:id="48"/>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numPr>
          <w:ilvl w:val="0"/>
          <w:numId w:val="3"/>
        </w:numPr>
        <w:spacing w:line="600" w:lineRule="exact"/>
        <w:ind w:firstLine="640"/>
        <w:outlineLvl w:val="1"/>
        <w:rPr>
          <w:rStyle w:val="32"/>
          <w:rFonts w:ascii="黑体" w:hAnsi="黑体" w:eastAsia="黑体"/>
          <w:b w:val="0"/>
          <w:color w:val="auto"/>
          <w:highlight w:val="none"/>
        </w:rPr>
      </w:pPr>
      <w:bookmarkStart w:id="49" w:name="_Toc15396611"/>
      <w:bookmarkStart w:id="50" w:name="_Toc15377219"/>
      <w:r>
        <w:rPr>
          <w:rStyle w:val="32"/>
          <w:rFonts w:hint="eastAsia" w:ascii="黑体" w:hAnsi="黑体" w:eastAsia="黑体"/>
          <w:b w:val="0"/>
          <w:color w:val="auto"/>
          <w:highlight w:val="none"/>
        </w:rPr>
        <w:t>国有资本经营预算支出决算情况说明</w:t>
      </w:r>
      <w:bookmarkEnd w:id="49"/>
      <w:bookmarkEnd w:id="50"/>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numPr>
          <w:ilvl w:val="0"/>
          <w:numId w:val="3"/>
        </w:numPr>
        <w:spacing w:line="600" w:lineRule="exact"/>
        <w:ind w:firstLine="640"/>
        <w:outlineLvl w:val="1"/>
        <w:rPr>
          <w:rStyle w:val="32"/>
          <w:rFonts w:hint="eastAsia" w:ascii="黑体" w:hAnsi="黑体" w:eastAsia="黑体"/>
          <w:b w:val="0"/>
          <w:color w:val="auto"/>
          <w:highlight w:val="none"/>
        </w:rPr>
      </w:pPr>
      <w:bookmarkStart w:id="51" w:name="_Toc15377221"/>
      <w:bookmarkStart w:id="52" w:name="_Toc15396612"/>
      <w:r>
        <w:rPr>
          <w:rStyle w:val="32"/>
          <w:rFonts w:hint="eastAsia" w:ascii="黑体" w:hAnsi="黑体" w:eastAsia="黑体"/>
          <w:b w:val="0"/>
          <w:color w:val="auto"/>
          <w:highlight w:val="none"/>
        </w:rPr>
        <w:t>其他重要事项的情况说明</w:t>
      </w:r>
      <w:bookmarkEnd w:id="51"/>
      <w:bookmarkEnd w:id="52"/>
    </w:p>
    <w:p>
      <w:pPr>
        <w:spacing w:line="600" w:lineRule="exact"/>
        <w:ind w:firstLine="643" w:firstLineChars="200"/>
        <w:outlineLvl w:val="2"/>
        <w:rPr>
          <w:rFonts w:ascii="仿宋" w:hAnsi="仿宋" w:eastAsia="仿宋"/>
          <w:color w:val="auto"/>
          <w:sz w:val="32"/>
          <w:szCs w:val="32"/>
          <w:highlight w:val="none"/>
        </w:rPr>
      </w:pPr>
      <w:bookmarkStart w:id="53" w:name="_Toc15377222"/>
      <w:r>
        <w:rPr>
          <w:rFonts w:hint="eastAsia" w:ascii="仿宋" w:hAnsi="仿宋" w:eastAsia="仿宋"/>
          <w:b/>
          <w:color w:val="auto"/>
          <w:sz w:val="32"/>
          <w:szCs w:val="32"/>
          <w:highlight w:val="none"/>
        </w:rPr>
        <w:t>（一）机关运行经费支出情况</w:t>
      </w:r>
      <w:bookmarkEnd w:id="53"/>
    </w:p>
    <w:p>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Times New Roman" w:hAnsi="Times New Roman" w:eastAsia="仿宋_GB2312" w:cs="Times New Roman"/>
          <w:color w:val="000000"/>
          <w:sz w:val="32"/>
          <w:szCs w:val="32"/>
          <w:lang w:val="zh-CN" w:eastAsia="zh-CN"/>
        </w:rPr>
        <w:t>财政局机关运行经费支出</w:t>
      </w:r>
      <w:r>
        <w:rPr>
          <w:rFonts w:hint="eastAsia" w:ascii="仿宋_GB2312" w:eastAsia="仿宋_GB2312"/>
          <w:color w:val="auto"/>
          <w:sz w:val="32"/>
          <w:szCs w:val="32"/>
          <w:highlight w:val="none"/>
          <w:lang w:val="en-US" w:eastAsia="zh-CN"/>
        </w:rPr>
        <w:t>95.9</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29.72</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23.66</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厉行节俭，缩减机关开支。</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54" w:name="_Toc15377223"/>
      <w:r>
        <w:rPr>
          <w:rFonts w:hint="eastAsia" w:ascii="仿宋" w:hAnsi="仿宋" w:eastAsia="仿宋"/>
          <w:b/>
          <w:color w:val="auto"/>
          <w:sz w:val="32"/>
          <w:szCs w:val="32"/>
          <w:highlight w:val="none"/>
        </w:rPr>
        <w:t>（二）政府采购支出情况</w:t>
      </w:r>
      <w:bookmarkEnd w:id="54"/>
    </w:p>
    <w:p>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Times New Roman" w:hAnsi="Times New Roman" w:eastAsia="仿宋_GB2312" w:cs="Times New Roman"/>
          <w:color w:val="000000"/>
          <w:sz w:val="32"/>
          <w:szCs w:val="32"/>
          <w:lang w:val="zh-CN" w:eastAsia="zh-CN"/>
        </w:rPr>
        <w:t>财政局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37.58</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37.58</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Times New Roman" w:hAnsi="Times New Roman" w:eastAsia="仿宋_GB2312" w:cs="Times New Roman"/>
          <w:color w:val="auto"/>
          <w:sz w:val="32"/>
          <w:szCs w:val="32"/>
          <w:lang w:val="zh-CN" w:eastAsia="zh-CN"/>
        </w:rPr>
        <w:t>主要用于办公电脑</w:t>
      </w:r>
      <w:r>
        <w:rPr>
          <w:rFonts w:hint="eastAsia" w:eastAsia="仿宋_GB2312" w:cs="Times New Roman"/>
          <w:color w:val="auto"/>
          <w:sz w:val="32"/>
          <w:szCs w:val="32"/>
          <w:lang w:val="zh-CN" w:eastAsia="zh-CN"/>
        </w:rPr>
        <w:t>、数据采集器、路由器</w:t>
      </w:r>
      <w:r>
        <w:rPr>
          <w:rFonts w:hint="eastAsia" w:ascii="Times New Roman" w:hAnsi="Times New Roman" w:eastAsia="仿宋_GB2312" w:cs="Times New Roman"/>
          <w:color w:val="auto"/>
          <w:sz w:val="32"/>
          <w:szCs w:val="32"/>
          <w:lang w:val="zh-CN" w:eastAsia="zh-CN"/>
        </w:rPr>
        <w:t>购买等</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55" w:name="_Toc15377224"/>
      <w:r>
        <w:rPr>
          <w:rFonts w:hint="eastAsia" w:ascii="仿宋" w:hAnsi="仿宋" w:eastAsia="仿宋"/>
          <w:b/>
          <w:color w:val="auto"/>
          <w:sz w:val="32"/>
          <w:szCs w:val="32"/>
          <w:highlight w:val="none"/>
        </w:rPr>
        <w:t>（三）国有资产占有使用情况</w:t>
      </w:r>
      <w:bookmarkEnd w:id="55"/>
    </w:p>
    <w:p>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Times New Roman" w:hAnsi="Times New Roman" w:eastAsia="仿宋_GB2312" w:cs="Times New Roman"/>
          <w:color w:val="000000"/>
          <w:sz w:val="32"/>
          <w:szCs w:val="32"/>
          <w:lang w:val="zh-CN" w:eastAsia="zh-CN"/>
        </w:rPr>
        <w:t>财政局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其他用车主要是用于</w:t>
      </w:r>
      <w:r>
        <w:rPr>
          <w:rFonts w:hint="eastAsia" w:ascii="Times New Roman" w:hAnsi="Times New Roman" w:eastAsia="仿宋_GB2312" w:cs="Times New Roman"/>
          <w:color w:val="000000"/>
          <w:sz w:val="32"/>
          <w:szCs w:val="32"/>
          <w:lang w:val="zh-CN" w:eastAsia="zh-CN"/>
        </w:rPr>
        <w:t>日常检查下乡</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w:t>
      </w:r>
      <w:r>
        <w:rPr>
          <w:rFonts w:hint="eastAsia" w:ascii="Times New Roman" w:hAnsi="Times New Roman" w:eastAsia="仿宋_GB2312" w:cs="Times New Roman"/>
          <w:color w:val="auto"/>
          <w:sz w:val="32"/>
          <w:szCs w:val="32"/>
          <w:lang w:val="zh-CN" w:eastAsia="zh-CN"/>
        </w:rPr>
        <w:t>财政投资评审经费</w:t>
      </w:r>
      <w:r>
        <w:rPr>
          <w:rFonts w:hint="eastAsia" w:ascii="仿宋_GB2312" w:hAnsi="仿宋_GB2312" w:eastAsia="仿宋_GB2312" w:cs="仿宋_GB2312"/>
          <w:color w:val="auto"/>
          <w:sz w:val="32"/>
          <w:szCs w:val="32"/>
          <w:highlight w:val="none"/>
        </w:rPr>
        <w:t>项目等</w:t>
      </w: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个项目开展绩效监控。</w:t>
      </w:r>
    </w:p>
    <w:p>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Times New Roman" w:hAnsi="Times New Roman" w:eastAsia="仿宋" w:cs="Times New Roman"/>
          <w:color w:val="000000"/>
          <w:sz w:val="32"/>
          <w:szCs w:val="32"/>
        </w:rPr>
        <w:t>本部门</w:t>
      </w:r>
      <w:r>
        <w:rPr>
          <w:rFonts w:hint="eastAsia" w:ascii="Times New Roman" w:hAnsi="Times New Roman" w:eastAsia="仿宋" w:cs="Times New Roman"/>
          <w:color w:val="000000"/>
          <w:sz w:val="32"/>
          <w:szCs w:val="32"/>
          <w:lang w:eastAsia="zh-CN"/>
        </w:rPr>
        <w:t>组织</w:t>
      </w:r>
      <w:r>
        <w:rPr>
          <w:rFonts w:hint="eastAsia" w:ascii="Times New Roman" w:hAnsi="Times New Roman" w:eastAsia="仿宋" w:cs="Times New Roman"/>
          <w:color w:val="000000"/>
          <w:sz w:val="32"/>
          <w:szCs w:val="32"/>
        </w:rPr>
        <w:t>对202</w:t>
      </w:r>
      <w:r>
        <w:rPr>
          <w:rFonts w:hint="eastAsia" w:ascii="Times New Roman" w:hAnsi="Times New Roman" w:eastAsia="仿宋" w:cs="Times New Roman"/>
          <w:color w:val="000000"/>
          <w:sz w:val="32"/>
          <w:szCs w:val="32"/>
          <w:lang w:val="en-US" w:eastAsia="zh-CN"/>
        </w:rPr>
        <w:t>2</w:t>
      </w:r>
      <w:r>
        <w:rPr>
          <w:rFonts w:hint="eastAsia" w:ascii="Times New Roman" w:hAnsi="Times New Roman" w:eastAsia="仿宋" w:cs="Times New Roman"/>
          <w:color w:val="000000"/>
          <w:sz w:val="32"/>
          <w:szCs w:val="32"/>
        </w:rPr>
        <w:t>年部门整体开展绩效自评，</w:t>
      </w:r>
      <w:r>
        <w:rPr>
          <w:rFonts w:hint="eastAsia" w:ascii="Times New Roman" w:hAnsi="Times New Roman" w:eastAsia="仿宋" w:cs="Times New Roman"/>
          <w:color w:val="000000"/>
          <w:sz w:val="32"/>
          <w:szCs w:val="32"/>
          <w:lang w:eastAsia="zh-CN"/>
        </w:rPr>
        <w:t>形成</w:t>
      </w:r>
      <w:r>
        <w:rPr>
          <w:rFonts w:hint="eastAsia" w:ascii="Times New Roman" w:hAnsi="Times New Roman" w:eastAsia="仿宋" w:cs="Times New Roman"/>
          <w:color w:val="000000"/>
          <w:sz w:val="32"/>
          <w:szCs w:val="32"/>
        </w:rPr>
        <w:t>《</w:t>
      </w:r>
      <w:r>
        <w:rPr>
          <w:rFonts w:hint="eastAsia" w:ascii="仿宋_GB2312" w:hAnsi="仿宋_GB2312" w:eastAsia="仿宋_GB2312" w:cs="仿宋_GB2312"/>
          <w:color w:val="auto"/>
          <w:sz w:val="32"/>
          <w:szCs w:val="32"/>
          <w:highlight w:val="none"/>
          <w:lang w:eastAsia="zh-CN"/>
        </w:rPr>
        <w:t>资阳市雁江区财政局关于2022年整体支出绩效自评的报告</w:t>
      </w:r>
      <w:r>
        <w:rPr>
          <w:rFonts w:hint="eastAsia" w:ascii="Times New Roman" w:hAnsi="Times New Roman" w:eastAsia="仿宋" w:cs="Times New Roman"/>
          <w:color w:val="000000"/>
          <w:sz w:val="32"/>
          <w:szCs w:val="32"/>
        </w:rPr>
        <w:t>》</w:t>
      </w:r>
      <w:r>
        <w:rPr>
          <w:rFonts w:hint="eastAsia" w:ascii="Times New Roman" w:hAnsi="Times New Roman" w:eastAsia="仿宋" w:cs="Times New Roman"/>
          <w:color w:val="000000"/>
          <w:sz w:val="32"/>
          <w:szCs w:val="32"/>
          <w:lang w:eastAsia="zh-CN"/>
        </w:rPr>
        <w:t>，</w:t>
      </w:r>
      <w:r>
        <w:rPr>
          <w:rFonts w:hint="eastAsia" w:ascii="仿宋_GB2312" w:hAnsi="仿宋_GB2312" w:eastAsia="仿宋_GB2312" w:cs="仿宋_GB2312"/>
          <w:color w:val="auto"/>
          <w:sz w:val="32"/>
          <w:szCs w:val="32"/>
          <w:highlight w:val="none"/>
        </w:rPr>
        <w:t>资阳市雁江区财政局2022年区级项目支出绩效自评报告（2021年网络信息化安全建设及运行维护费）等专项预算项目绩效自评报告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其中，</w:t>
      </w:r>
      <w:r>
        <w:rPr>
          <w:rFonts w:hint="eastAsia" w:ascii="仿宋_GB2312" w:hAnsi="仿宋_GB2312" w:eastAsia="仿宋_GB2312" w:cs="仿宋_GB2312"/>
          <w:color w:val="auto"/>
          <w:sz w:val="32"/>
          <w:szCs w:val="32"/>
          <w:highlight w:val="none"/>
          <w:lang w:eastAsia="zh-CN"/>
        </w:rPr>
        <w:t>资阳市雁江区财政局关于2022年整体</w:t>
      </w:r>
      <w:r>
        <w:rPr>
          <w:rFonts w:hint="eastAsia" w:ascii="仿宋_GB2312" w:hAnsi="仿宋_GB2312" w:eastAsia="仿宋_GB2312" w:cs="仿宋_GB2312"/>
          <w:color w:val="auto"/>
          <w:sz w:val="32"/>
          <w:szCs w:val="32"/>
          <w:highlight w:val="none"/>
        </w:rPr>
        <w:t>绩效自评得分为</w:t>
      </w:r>
      <w:r>
        <w:rPr>
          <w:rFonts w:hint="eastAsia" w:ascii="仿宋_GB2312" w:hAnsi="仿宋_GB2312" w:eastAsia="仿宋_GB2312" w:cs="仿宋_GB2312"/>
          <w:color w:val="auto"/>
          <w:sz w:val="32"/>
          <w:szCs w:val="32"/>
          <w:highlight w:val="none"/>
          <w:lang w:val="en-US" w:eastAsia="zh-CN"/>
        </w:rPr>
        <w:t>92.25</w:t>
      </w:r>
      <w:r>
        <w:rPr>
          <w:rFonts w:hint="eastAsia" w:ascii="仿宋_GB2312" w:hAnsi="仿宋_GB2312" w:eastAsia="仿宋_GB2312" w:cs="仿宋_GB2312"/>
          <w:color w:val="auto"/>
          <w:sz w:val="32"/>
          <w:szCs w:val="32"/>
          <w:highlight w:val="none"/>
        </w:rPr>
        <w:t>分，绩效自评综述：本部门年度重点任务完成好、在职人员控制好、“三公经费”较上年有所增加；预算调整率9.88%、支付进度率100%、政府采购执行率77.27%；部门管理制度健全、制度执行有效、资金使用合规；部门的资产保存完整、使用合规、配置合理，固定资产利用情况良好。资阳市雁江区财政局2022年区级项目支出绩效自评报告（2021年网络信息化安全建设及运行维护费）项目绩效自评得分为</w:t>
      </w:r>
      <w:r>
        <w:rPr>
          <w:rFonts w:hint="eastAsia" w:ascii="仿宋_GB2312" w:hAnsi="仿宋_GB2312" w:eastAsia="仿宋_GB2312" w:cs="仿宋_GB2312"/>
          <w:color w:val="auto"/>
          <w:sz w:val="32"/>
          <w:szCs w:val="32"/>
          <w:highlight w:val="none"/>
          <w:lang w:val="en-US" w:eastAsia="zh-CN"/>
        </w:rPr>
        <w:t>97</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等级为优。</w:t>
      </w:r>
      <w:r>
        <w:rPr>
          <w:rFonts w:hint="eastAsia" w:ascii="仿宋_GB2312" w:hAnsi="仿宋_GB2312" w:eastAsia="仿宋_GB2312" w:cs="仿宋_GB2312"/>
          <w:color w:val="auto"/>
          <w:sz w:val="32"/>
          <w:szCs w:val="32"/>
          <w:highlight w:val="none"/>
        </w:rPr>
        <w:t>资阳市雁江区财政局2022年雁江区项目支出绩效自评报告（财政投资评审经费）项目绩效自评得分为</w:t>
      </w:r>
      <w:r>
        <w:rPr>
          <w:rFonts w:hint="eastAsia" w:ascii="仿宋_GB2312" w:hAnsi="仿宋_GB2312" w:eastAsia="仿宋_GB2312" w:cs="仿宋_GB2312"/>
          <w:color w:val="auto"/>
          <w:sz w:val="32"/>
          <w:szCs w:val="32"/>
          <w:highlight w:val="none"/>
          <w:lang w:val="en-US" w:eastAsia="zh-CN"/>
        </w:rPr>
        <w:t>99</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，等级为优。</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资阳市雁江区财政局2022年雁江区项目支出绩效自评报告（国资资产评估经费）</w:t>
      </w:r>
      <w:r>
        <w:rPr>
          <w:rFonts w:hint="eastAsia" w:ascii="仿宋_GB2312" w:hAnsi="仿宋_GB2312" w:eastAsia="仿宋_GB2312" w:cs="仿宋_GB2312"/>
          <w:color w:val="auto"/>
          <w:sz w:val="32"/>
          <w:szCs w:val="32"/>
          <w:highlight w:val="none"/>
        </w:rPr>
        <w:t>项目绩效自评得分为</w:t>
      </w:r>
      <w:r>
        <w:rPr>
          <w:rFonts w:hint="eastAsia" w:ascii="仿宋_GB2312" w:hAnsi="仿宋_GB2312" w:eastAsia="仿宋_GB2312" w:cs="仿宋_GB2312"/>
          <w:color w:val="auto"/>
          <w:sz w:val="32"/>
          <w:szCs w:val="32"/>
          <w:highlight w:val="none"/>
          <w:lang w:val="en-US" w:eastAsia="zh-CN"/>
        </w:rPr>
        <w:t>99</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，等级为优。</w:t>
      </w:r>
      <w:r>
        <w:rPr>
          <w:rFonts w:hint="eastAsia" w:ascii="仿宋_GB2312" w:hAnsi="仿宋_GB2312" w:eastAsia="仿宋_GB2312" w:cs="仿宋_GB2312"/>
          <w:color w:val="auto"/>
          <w:sz w:val="32"/>
          <w:szCs w:val="32"/>
          <w:highlight w:val="none"/>
        </w:rPr>
        <w:t>资阳市雁江区财政局2022年雁江区项目支出绩效自评报告（网络信息化安全建设及运行维护费）项目绩效自评得分为</w:t>
      </w:r>
      <w:r>
        <w:rPr>
          <w:rFonts w:hint="eastAsia" w:ascii="仿宋_GB2312" w:hAnsi="仿宋_GB2312" w:eastAsia="仿宋_GB2312" w:cs="仿宋_GB2312"/>
          <w:color w:val="auto"/>
          <w:sz w:val="32"/>
          <w:szCs w:val="32"/>
          <w:highlight w:val="none"/>
          <w:lang w:val="en-US" w:eastAsia="zh-CN"/>
        </w:rPr>
        <w:t>94.24</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，等级为优。</w:t>
      </w:r>
      <w:r>
        <w:rPr>
          <w:rFonts w:hint="eastAsia" w:ascii="仿宋_GB2312" w:hAnsi="仿宋_GB2312" w:eastAsia="仿宋_GB2312" w:cs="仿宋_GB2312"/>
          <w:color w:val="auto"/>
          <w:sz w:val="32"/>
          <w:szCs w:val="32"/>
          <w:highlight w:val="none"/>
        </w:rPr>
        <w:t>中共资阳市雁江区财政局2022年雁江区项目支出绩效自评报告（预算绩效管理监督检查经费）项目绩效自评得分为</w:t>
      </w:r>
      <w:r>
        <w:rPr>
          <w:rFonts w:hint="eastAsia" w:ascii="仿宋_GB2312" w:hAnsi="仿宋_GB2312" w:eastAsia="仿宋_GB2312" w:cs="仿宋_GB2312"/>
          <w:color w:val="auto"/>
          <w:sz w:val="32"/>
          <w:szCs w:val="32"/>
          <w:highlight w:val="none"/>
          <w:lang w:val="en-US" w:eastAsia="zh-CN"/>
        </w:rPr>
        <w:t>97</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，等级为优。</w:t>
      </w:r>
      <w:r>
        <w:rPr>
          <w:rFonts w:hint="eastAsia" w:ascii="Times New Roman" w:hAnsi="Times New Roman" w:eastAsia="仿宋" w:cs="Times New Roman"/>
          <w:color w:val="000000"/>
          <w:sz w:val="32"/>
          <w:szCs w:val="32"/>
        </w:rPr>
        <w:t>绩效自评报告详见附件</w:t>
      </w:r>
      <w:r>
        <w:rPr>
          <w:rFonts w:hint="eastAsia" w:ascii="Times New Roman" w:hAnsi="Times New Roman" w:eastAsia="仿宋" w:cs="Times New Roman"/>
          <w:color w:val="000000"/>
          <w:sz w:val="32"/>
          <w:szCs w:val="32"/>
          <w:lang w:eastAsia="zh-CN"/>
        </w:rPr>
        <w:t>四</w:t>
      </w:r>
      <w:r>
        <w:rPr>
          <w:rFonts w:hint="eastAsia" w:ascii="Times New Roman" w:hAnsi="Times New Roman" w:eastAsia="仿宋" w:cs="Times New Roman"/>
          <w:color w:val="000000"/>
          <w:sz w:val="32"/>
          <w:szCs w:val="32"/>
        </w:rPr>
        <w:t>。</w:t>
      </w:r>
    </w:p>
    <w:p>
      <w:pPr>
        <w:widowControl/>
        <w:ind w:firstLine="643" w:firstLineChars="200"/>
        <w:jc w:val="both"/>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pPr>
        <w:numPr>
          <w:ilvl w:val="0"/>
          <w:numId w:val="4"/>
        </w:numPr>
        <w:spacing w:line="600" w:lineRule="exact"/>
        <w:ind w:firstLine="660" w:firstLineChars="150"/>
        <w:jc w:val="center"/>
        <w:outlineLvl w:val="0"/>
        <w:rPr>
          <w:rStyle w:val="31"/>
          <w:rFonts w:ascii="黑体" w:hAnsi="黑体" w:eastAsia="黑体"/>
          <w:b w:val="0"/>
          <w:color w:val="auto"/>
          <w:highlight w:val="none"/>
        </w:rPr>
      </w:pPr>
      <w:bookmarkStart w:id="56" w:name="_Toc15377225"/>
      <w:bookmarkStart w:id="57" w:name="_Toc15396613"/>
      <w:r>
        <w:rPr>
          <w:rFonts w:hint="eastAsia" w:ascii="黑体" w:hAnsi="黑体" w:eastAsia="黑体"/>
          <w:color w:val="auto"/>
          <w:sz w:val="44"/>
          <w:szCs w:val="44"/>
          <w:highlight w:val="none"/>
        </w:rPr>
        <w:t>名</w:t>
      </w:r>
      <w:r>
        <w:rPr>
          <w:rStyle w:val="31"/>
          <w:rFonts w:hint="eastAsia" w:ascii="黑体" w:hAnsi="黑体" w:eastAsia="黑体"/>
          <w:b w:val="0"/>
          <w:color w:val="auto"/>
          <w:highlight w:val="none"/>
        </w:rPr>
        <w:t>词解释</w:t>
      </w:r>
      <w:bookmarkEnd w:id="56"/>
      <w:bookmarkEnd w:id="57"/>
    </w:p>
    <w:p>
      <w:pPr>
        <w:spacing w:line="600" w:lineRule="exact"/>
        <w:jc w:val="left"/>
        <w:rPr>
          <w:rFonts w:ascii="宋体"/>
          <w:b/>
          <w:color w:val="auto"/>
          <w:sz w:val="44"/>
          <w:szCs w:val="44"/>
          <w:highlight w:val="none"/>
        </w:rPr>
      </w:pP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事业收入：指事业单位开展专业业务活动及辅助活动取得的收入。如</w:t>
      </w:r>
      <w:r>
        <w:rPr>
          <w:rFonts w:hint="eastAsia" w:ascii="仿宋_GB2312" w:eastAsia="仿宋_GB2312"/>
          <w:color w:val="auto"/>
          <w:sz w:val="32"/>
          <w:szCs w:val="32"/>
          <w:lang w:eastAsia="zh-CN"/>
        </w:rPr>
        <w:t>财政投资评审中心</w:t>
      </w:r>
      <w:r>
        <w:rPr>
          <w:rFonts w:hint="eastAsia" w:ascii="仿宋_GB2312" w:eastAsia="仿宋_GB2312"/>
          <w:color w:val="auto"/>
          <w:sz w:val="32"/>
          <w:szCs w:val="32"/>
        </w:rPr>
        <w:t>收入情况等。</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经营收入：指事业单位在专业业务活动及其辅助活动之外开展非独立核算经营活动取得的收入。如</w:t>
      </w:r>
      <w:r>
        <w:rPr>
          <w:rFonts w:hint="eastAsia" w:ascii="仿宋_GB2312" w:eastAsia="仿宋_GB2312"/>
          <w:color w:val="auto"/>
          <w:sz w:val="32"/>
          <w:szCs w:val="32"/>
          <w:lang w:eastAsia="zh-CN"/>
        </w:rPr>
        <w:t>财政投资评审中心</w:t>
      </w:r>
      <w:r>
        <w:rPr>
          <w:rFonts w:hint="eastAsia" w:ascii="仿宋_GB2312" w:eastAsia="仿宋_GB2312"/>
          <w:color w:val="auto"/>
          <w:sz w:val="32"/>
          <w:szCs w:val="32"/>
        </w:rPr>
        <w:t>收入情况等。</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其他收入：指单位取得的除上述收入以外的各项收入。主要是</w:t>
      </w:r>
      <w:r>
        <w:rPr>
          <w:rFonts w:hint="eastAsia" w:ascii="仿宋_GB2312" w:eastAsia="仿宋_GB2312"/>
          <w:color w:val="auto"/>
          <w:sz w:val="32"/>
          <w:szCs w:val="32"/>
          <w:lang w:eastAsia="zh-CN"/>
        </w:rPr>
        <w:t>罚没收入</w:t>
      </w:r>
      <w:r>
        <w:rPr>
          <w:rFonts w:hint="eastAsia" w:ascii="仿宋_GB2312" w:eastAsia="仿宋_GB2312"/>
          <w:color w:val="auto"/>
          <w:sz w:val="32"/>
          <w:szCs w:val="32"/>
        </w:rPr>
        <w:t>等。</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9"/>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pPr>
        <w:spacing w:line="590" w:lineRule="exact"/>
        <w:ind w:firstLine="660" w:firstLineChars="200"/>
        <w:rPr>
          <w:rFonts w:ascii="宋体" w:hAnsi="宋体" w:eastAsia="方正仿宋简体" w:cs="方正仿宋简体"/>
          <w:bCs/>
          <w:color w:val="000000"/>
          <w:sz w:val="33"/>
          <w:szCs w:val="33"/>
        </w:rPr>
      </w:pPr>
      <w:r>
        <w:rPr>
          <w:rFonts w:hint="eastAsia" w:ascii="宋体" w:hAnsi="宋体" w:eastAsia="方正仿宋简体" w:cs="方正仿宋简体"/>
          <w:color w:val="000000"/>
          <w:sz w:val="33"/>
          <w:szCs w:val="33"/>
        </w:rPr>
        <w:t>9.一般公共服务：</w:t>
      </w:r>
      <w:r>
        <w:rPr>
          <w:rStyle w:val="20"/>
          <w:rFonts w:hint="eastAsia" w:ascii="宋体" w:hAnsi="宋体" w:eastAsia="方正仿宋简体" w:cs="方正仿宋简体"/>
          <w:b w:val="0"/>
          <w:bCs/>
          <w:color w:val="000000"/>
          <w:sz w:val="33"/>
          <w:szCs w:val="33"/>
        </w:rPr>
        <w:t>2010601行政运行支出</w:t>
      </w:r>
      <w:r>
        <w:rPr>
          <w:rStyle w:val="20"/>
          <w:rFonts w:hint="eastAsia" w:ascii="宋体" w:hAnsi="宋体" w:eastAsia="方正仿宋简体" w:cs="方正仿宋简体"/>
          <w:b w:val="0"/>
          <w:bCs/>
          <w:color w:val="000000"/>
          <w:sz w:val="33"/>
          <w:szCs w:val="33"/>
          <w:lang w:eastAsia="zh-CN"/>
        </w:rPr>
        <w:t>指的是反映行政单位（包括实行公务员管理的事业单位）的基本支出；</w:t>
      </w:r>
      <w:r>
        <w:rPr>
          <w:rStyle w:val="20"/>
          <w:rFonts w:hint="eastAsia" w:ascii="宋体" w:hAnsi="宋体" w:eastAsia="方正仿宋简体" w:cs="方正仿宋简体"/>
          <w:b w:val="0"/>
          <w:bCs/>
          <w:color w:val="000000"/>
          <w:sz w:val="33"/>
          <w:szCs w:val="33"/>
        </w:rPr>
        <w:t>2010602一般行政管理事务支出</w:t>
      </w:r>
      <w:r>
        <w:rPr>
          <w:rStyle w:val="20"/>
          <w:rFonts w:hint="eastAsia" w:ascii="宋体" w:hAnsi="宋体" w:eastAsia="方正仿宋简体" w:cs="方正仿宋简体"/>
          <w:b w:val="0"/>
          <w:bCs/>
          <w:color w:val="000000"/>
          <w:sz w:val="33"/>
          <w:szCs w:val="33"/>
          <w:lang w:eastAsia="zh-CN"/>
        </w:rPr>
        <w:t>指的是反映行政单位（包括实行公务员管理的事业单位）未单独设置项级科目的其他项目支出；</w:t>
      </w:r>
      <w:r>
        <w:rPr>
          <w:rStyle w:val="20"/>
          <w:rFonts w:hint="eastAsia" w:ascii="宋体" w:hAnsi="宋体" w:eastAsia="方正仿宋简体" w:cs="方正仿宋简体"/>
          <w:b w:val="0"/>
          <w:bCs/>
          <w:color w:val="000000"/>
          <w:sz w:val="33"/>
          <w:szCs w:val="33"/>
        </w:rPr>
        <w:t>2010607信息化建设业务支出</w:t>
      </w:r>
      <w:r>
        <w:rPr>
          <w:rStyle w:val="20"/>
          <w:rFonts w:hint="eastAsia" w:ascii="宋体" w:hAnsi="宋体" w:eastAsia="方正仿宋简体" w:cs="方正仿宋简体"/>
          <w:b w:val="0"/>
          <w:bCs/>
          <w:color w:val="000000"/>
          <w:sz w:val="33"/>
          <w:szCs w:val="33"/>
          <w:lang w:eastAsia="zh-CN"/>
        </w:rPr>
        <w:t>指的是反映财政部门用于信息化建设方面的支出；</w:t>
      </w:r>
      <w:r>
        <w:rPr>
          <w:rStyle w:val="20"/>
          <w:rFonts w:hint="eastAsia" w:ascii="宋体" w:hAnsi="宋体" w:eastAsia="方正仿宋简体" w:cs="方正仿宋简体"/>
          <w:b w:val="0"/>
          <w:bCs/>
          <w:color w:val="000000"/>
          <w:sz w:val="33"/>
          <w:szCs w:val="33"/>
        </w:rPr>
        <w:t>2010608财政委托业务支出</w:t>
      </w:r>
      <w:r>
        <w:rPr>
          <w:rStyle w:val="20"/>
          <w:rFonts w:hint="eastAsia" w:ascii="宋体" w:hAnsi="宋体" w:eastAsia="方正仿宋简体" w:cs="方正仿宋简体"/>
          <w:b w:val="0"/>
          <w:bCs/>
          <w:color w:val="000000"/>
          <w:sz w:val="33"/>
          <w:szCs w:val="33"/>
          <w:lang w:eastAsia="zh-CN"/>
        </w:rPr>
        <w:t>指的是反映财政委托评审机构进行财政投资评审和委托建设银行等机构代理业务发生的支出；</w:t>
      </w:r>
      <w:r>
        <w:rPr>
          <w:rStyle w:val="20"/>
          <w:rFonts w:hint="eastAsia" w:ascii="宋体" w:hAnsi="宋体" w:eastAsia="方正仿宋简体" w:cs="方正仿宋简体"/>
          <w:b w:val="0"/>
          <w:bCs/>
          <w:color w:val="000000"/>
          <w:sz w:val="33"/>
          <w:szCs w:val="33"/>
        </w:rPr>
        <w:t>2010650事业运行业务支出</w:t>
      </w:r>
      <w:r>
        <w:rPr>
          <w:rStyle w:val="20"/>
          <w:rFonts w:hint="eastAsia" w:ascii="宋体" w:hAnsi="宋体" w:eastAsia="方正仿宋简体" w:cs="方正仿宋简体"/>
          <w:b w:val="0"/>
          <w:bCs/>
          <w:color w:val="000000"/>
          <w:sz w:val="33"/>
          <w:szCs w:val="33"/>
          <w:lang w:eastAsia="zh-CN"/>
        </w:rPr>
        <w:t>指的是反映事业单位的基本支出，不包括行政单位（包括实行公务员管理的事业单位）后勤服务中心、医务室等附属事业单位；</w:t>
      </w:r>
      <w:r>
        <w:rPr>
          <w:rStyle w:val="20"/>
          <w:rFonts w:hint="eastAsia" w:ascii="宋体" w:hAnsi="宋体" w:eastAsia="方正仿宋简体" w:cs="方正仿宋简体"/>
          <w:b w:val="0"/>
          <w:bCs/>
          <w:color w:val="000000"/>
          <w:sz w:val="33"/>
          <w:szCs w:val="33"/>
        </w:rPr>
        <w:t>2010699其他财政事务支出</w:t>
      </w:r>
      <w:r>
        <w:rPr>
          <w:rStyle w:val="20"/>
          <w:rFonts w:hint="eastAsia" w:ascii="宋体" w:hAnsi="宋体" w:eastAsia="方正仿宋简体" w:cs="方正仿宋简体"/>
          <w:b w:val="0"/>
          <w:bCs/>
          <w:color w:val="000000"/>
          <w:sz w:val="33"/>
          <w:szCs w:val="33"/>
          <w:lang w:eastAsia="zh-CN"/>
        </w:rPr>
        <w:t>指的是反映除上述项目以外其他财政事务方面的支出</w:t>
      </w:r>
      <w:r>
        <w:rPr>
          <w:rStyle w:val="20"/>
          <w:rFonts w:hint="eastAsia" w:ascii="宋体" w:hAnsi="宋体" w:eastAsia="方正仿宋简体" w:cs="方正仿宋简体"/>
          <w:b w:val="0"/>
          <w:bCs/>
          <w:color w:val="000000"/>
          <w:sz w:val="33"/>
          <w:szCs w:val="33"/>
        </w:rPr>
        <w:t>。</w:t>
      </w:r>
    </w:p>
    <w:p>
      <w:pPr>
        <w:spacing w:line="590" w:lineRule="exact"/>
        <w:ind w:firstLine="660" w:firstLineChars="200"/>
        <w:rPr>
          <w:rFonts w:ascii="宋体" w:hAnsi="宋体" w:eastAsia="方正仿宋简体" w:cs="方正仿宋简体"/>
          <w:color w:val="000000"/>
          <w:sz w:val="33"/>
          <w:szCs w:val="33"/>
        </w:rPr>
      </w:pPr>
      <w:r>
        <w:rPr>
          <w:rFonts w:hint="eastAsia" w:ascii="宋体" w:hAnsi="宋体" w:eastAsia="方正仿宋简体" w:cs="方正仿宋简体"/>
          <w:color w:val="000000"/>
          <w:sz w:val="33"/>
          <w:szCs w:val="33"/>
          <w:lang w:val="en-US" w:eastAsia="zh-CN"/>
        </w:rPr>
        <w:t>10</w:t>
      </w:r>
      <w:r>
        <w:rPr>
          <w:rFonts w:hint="eastAsia" w:ascii="宋体" w:hAnsi="宋体" w:eastAsia="方正仿宋简体" w:cs="方正仿宋简体"/>
          <w:color w:val="000000"/>
          <w:sz w:val="33"/>
          <w:szCs w:val="33"/>
        </w:rPr>
        <w:t>.社会保障和就业：其中2080501行政单位离退休支出指的是反映行政单位（包括实行公务员事业单位）开支的离退休经费；208050</w:t>
      </w:r>
      <w:r>
        <w:rPr>
          <w:rFonts w:hint="eastAsia" w:ascii="宋体" w:hAnsi="宋体" w:eastAsia="方正仿宋简体" w:cs="方正仿宋简体"/>
          <w:color w:val="000000"/>
          <w:sz w:val="33"/>
          <w:szCs w:val="33"/>
          <w:lang w:val="en-US" w:eastAsia="zh-CN"/>
        </w:rPr>
        <w:t>2事业单位离退休支出指的是</w:t>
      </w:r>
      <w:r>
        <w:rPr>
          <w:rFonts w:hint="eastAsia" w:ascii="宋体" w:hAnsi="宋体" w:eastAsia="方正仿宋简体" w:cs="方正仿宋简体"/>
          <w:color w:val="000000"/>
          <w:sz w:val="33"/>
          <w:szCs w:val="33"/>
        </w:rPr>
        <w:t>反映</w:t>
      </w:r>
      <w:r>
        <w:rPr>
          <w:rFonts w:hint="eastAsia" w:ascii="宋体" w:hAnsi="宋体" w:eastAsia="方正仿宋简体" w:cs="方正仿宋简体"/>
          <w:color w:val="000000"/>
          <w:sz w:val="33"/>
          <w:szCs w:val="33"/>
          <w:lang w:eastAsia="zh-CN"/>
        </w:rPr>
        <w:t>事业</w:t>
      </w:r>
      <w:r>
        <w:rPr>
          <w:rFonts w:hint="eastAsia" w:ascii="宋体" w:hAnsi="宋体" w:eastAsia="方正仿宋简体" w:cs="方正仿宋简体"/>
          <w:color w:val="000000"/>
          <w:sz w:val="33"/>
          <w:szCs w:val="33"/>
        </w:rPr>
        <w:t>单位开支的离退休经费；2080505社会保障和就业中的机关事业单位基本养老保险缴费支出指的是机关事业单位实施养老保险制度由单位缴纳的基本养老保险费支出；2080506社会保障就业中的机关事业单位职业年金缴费支出指的是机关事业单位实施职业年金保险制度中由单位缴纳的职业年金缴费支出；20899其他</w:t>
      </w:r>
      <w:r>
        <w:rPr>
          <w:rFonts w:hint="eastAsia" w:ascii="宋体" w:hAnsi="宋体" w:eastAsia="方正仿宋简体" w:cs="方正仿宋简体"/>
          <w:color w:val="000000"/>
          <w:sz w:val="33"/>
          <w:szCs w:val="33"/>
          <w:lang w:eastAsia="zh-CN"/>
        </w:rPr>
        <w:t>行政事业单位养老</w:t>
      </w:r>
      <w:r>
        <w:rPr>
          <w:rFonts w:hint="eastAsia" w:ascii="宋体" w:hAnsi="宋体" w:eastAsia="方正仿宋简体" w:cs="方正仿宋简体"/>
          <w:color w:val="000000"/>
          <w:sz w:val="33"/>
          <w:szCs w:val="33"/>
        </w:rPr>
        <w:t>支出指的是反映除社会保障和就业支出以外其他用于</w:t>
      </w:r>
      <w:r>
        <w:rPr>
          <w:rFonts w:hint="eastAsia" w:ascii="宋体" w:hAnsi="宋体" w:eastAsia="方正仿宋简体" w:cs="方正仿宋简体"/>
          <w:color w:val="000000"/>
          <w:sz w:val="33"/>
          <w:szCs w:val="33"/>
          <w:lang w:eastAsia="zh-CN"/>
        </w:rPr>
        <w:t>行政事业单位养老</w:t>
      </w:r>
      <w:r>
        <w:rPr>
          <w:rFonts w:hint="eastAsia" w:ascii="宋体" w:hAnsi="宋体" w:eastAsia="方正仿宋简体" w:cs="方正仿宋简体"/>
          <w:color w:val="000000"/>
          <w:sz w:val="33"/>
          <w:szCs w:val="33"/>
        </w:rPr>
        <w:t>方面的支出。</w:t>
      </w:r>
    </w:p>
    <w:p>
      <w:pPr>
        <w:spacing w:line="590" w:lineRule="exact"/>
        <w:ind w:firstLine="660" w:firstLineChars="200"/>
        <w:rPr>
          <w:rFonts w:ascii="宋体" w:hAnsi="宋体" w:eastAsia="方正仿宋简体" w:cs="方正仿宋简体"/>
          <w:color w:val="000000"/>
          <w:sz w:val="33"/>
          <w:szCs w:val="33"/>
        </w:rPr>
      </w:pPr>
      <w:r>
        <w:rPr>
          <w:rFonts w:hint="eastAsia" w:ascii="宋体" w:hAnsi="宋体" w:eastAsia="方正仿宋简体" w:cs="方正仿宋简体"/>
          <w:color w:val="000000"/>
          <w:sz w:val="33"/>
          <w:szCs w:val="33"/>
          <w:lang w:val="en-US" w:eastAsia="zh-CN"/>
        </w:rPr>
        <w:t>11</w:t>
      </w:r>
      <w:r>
        <w:rPr>
          <w:rFonts w:hint="eastAsia" w:ascii="宋体" w:hAnsi="宋体" w:eastAsia="方正仿宋简体" w:cs="方正仿宋简体"/>
          <w:color w:val="000000"/>
          <w:sz w:val="33"/>
          <w:szCs w:val="33"/>
        </w:rPr>
        <w:t>.医疗卫生与计划生育：2101101行政单位医疗指反映财政部门集中安排的行政单位基本医疗保险缴费经费，未参加医疗保险的行政单位的公费医疗经费，按国家规定享受离休人员、红军老战士待遇人员的医疗经费</w:t>
      </w:r>
      <w:r>
        <w:rPr>
          <w:rFonts w:hint="eastAsia" w:ascii="宋体" w:hAnsi="宋体" w:eastAsia="方正仿宋简体" w:cs="方正仿宋简体"/>
          <w:color w:val="000000"/>
          <w:sz w:val="33"/>
          <w:szCs w:val="33"/>
          <w:lang w:eastAsia="zh-CN"/>
        </w:rPr>
        <w:t>；</w:t>
      </w:r>
      <w:r>
        <w:rPr>
          <w:rFonts w:hint="eastAsia" w:ascii="宋体" w:hAnsi="宋体" w:eastAsia="方正仿宋简体" w:cs="方正仿宋简体"/>
          <w:color w:val="000000"/>
          <w:sz w:val="33"/>
          <w:szCs w:val="33"/>
        </w:rPr>
        <w:t>210110</w:t>
      </w:r>
      <w:r>
        <w:rPr>
          <w:rFonts w:hint="eastAsia" w:ascii="宋体" w:hAnsi="宋体" w:eastAsia="方正仿宋简体" w:cs="方正仿宋简体"/>
          <w:color w:val="000000"/>
          <w:sz w:val="33"/>
          <w:szCs w:val="33"/>
          <w:lang w:val="en-US" w:eastAsia="zh-CN"/>
        </w:rPr>
        <w:t>2事业单位医疗指反映</w:t>
      </w:r>
      <w:r>
        <w:rPr>
          <w:rFonts w:hint="eastAsia" w:ascii="宋体" w:hAnsi="宋体" w:eastAsia="方正仿宋简体" w:cs="方正仿宋简体"/>
          <w:color w:val="000000"/>
          <w:sz w:val="33"/>
          <w:szCs w:val="33"/>
        </w:rPr>
        <w:t>财政部门集中安排的</w:t>
      </w:r>
      <w:r>
        <w:rPr>
          <w:rFonts w:hint="eastAsia" w:ascii="宋体" w:hAnsi="宋体" w:eastAsia="方正仿宋简体" w:cs="方正仿宋简体"/>
          <w:color w:val="000000"/>
          <w:sz w:val="33"/>
          <w:szCs w:val="33"/>
          <w:lang w:eastAsia="zh-CN"/>
        </w:rPr>
        <w:t>事业</w:t>
      </w:r>
      <w:r>
        <w:rPr>
          <w:rFonts w:hint="eastAsia" w:ascii="宋体" w:hAnsi="宋体" w:eastAsia="方正仿宋简体" w:cs="方正仿宋简体"/>
          <w:color w:val="000000"/>
          <w:sz w:val="33"/>
          <w:szCs w:val="33"/>
        </w:rPr>
        <w:t>单位基本医疗保险缴费经费，未参加医疗保险的</w:t>
      </w:r>
      <w:r>
        <w:rPr>
          <w:rFonts w:hint="eastAsia" w:ascii="宋体" w:hAnsi="宋体" w:eastAsia="方正仿宋简体" w:cs="方正仿宋简体"/>
          <w:color w:val="000000"/>
          <w:sz w:val="33"/>
          <w:szCs w:val="33"/>
          <w:lang w:eastAsia="zh-CN"/>
        </w:rPr>
        <w:t>事业</w:t>
      </w:r>
      <w:r>
        <w:rPr>
          <w:rFonts w:hint="eastAsia" w:ascii="宋体" w:hAnsi="宋体" w:eastAsia="方正仿宋简体" w:cs="方正仿宋简体"/>
          <w:color w:val="000000"/>
          <w:sz w:val="33"/>
          <w:szCs w:val="33"/>
        </w:rPr>
        <w:t>单位的公费医疗经费，按国家规定享受离休人员的医疗经费</w:t>
      </w:r>
      <w:r>
        <w:rPr>
          <w:rFonts w:hint="eastAsia" w:ascii="宋体" w:hAnsi="宋体" w:eastAsia="方正仿宋简体" w:cs="方正仿宋简体"/>
          <w:color w:val="000000"/>
          <w:sz w:val="33"/>
          <w:szCs w:val="33"/>
          <w:lang w:eastAsia="zh-CN"/>
        </w:rPr>
        <w:t>；</w:t>
      </w:r>
      <w:r>
        <w:rPr>
          <w:rFonts w:hint="eastAsia" w:ascii="宋体" w:hAnsi="宋体" w:eastAsia="方正仿宋简体" w:cs="方正仿宋简体"/>
          <w:color w:val="000000"/>
          <w:sz w:val="33"/>
          <w:szCs w:val="33"/>
        </w:rPr>
        <w:t>2101103公务医疗补助指反映财政部门集中安排的公务员医疗补助经费。</w:t>
      </w:r>
    </w:p>
    <w:p>
      <w:pPr>
        <w:ind w:firstLine="660" w:firstLineChars="200"/>
        <w:rPr>
          <w:rFonts w:hint="eastAsia" w:ascii="仿宋_GB2312" w:eastAsia="方正仿宋简体"/>
          <w:sz w:val="32"/>
          <w:szCs w:val="32"/>
          <w:lang w:eastAsia="zh-CN"/>
        </w:rPr>
      </w:pPr>
      <w:r>
        <w:rPr>
          <w:rFonts w:hint="eastAsia" w:ascii="宋体" w:hAnsi="宋体" w:eastAsia="方正仿宋简体" w:cs="方正仿宋简体"/>
          <w:color w:val="000000"/>
          <w:sz w:val="33"/>
          <w:szCs w:val="33"/>
          <w:lang w:val="en-US" w:eastAsia="zh-CN"/>
        </w:rPr>
        <w:t>12</w:t>
      </w:r>
      <w:r>
        <w:rPr>
          <w:rFonts w:hint="eastAsia" w:ascii="宋体" w:hAnsi="宋体" w:eastAsia="方正仿宋简体" w:cs="方正仿宋简体"/>
          <w:color w:val="000000"/>
          <w:sz w:val="33"/>
          <w:szCs w:val="33"/>
        </w:rPr>
        <w:t>.住房保障：2210201住房保障支出中的住房公积金支出指的是行政事业单位按人力资源和社会保障部、财政部规定的基本工资和津贴补贴以及规定比例为职工缴纳的住房</w:t>
      </w:r>
      <w:r>
        <w:rPr>
          <w:rFonts w:hint="eastAsia" w:ascii="宋体" w:hAnsi="宋体" w:eastAsia="方正仿宋简体" w:cs="方正仿宋简体"/>
          <w:color w:val="000000"/>
          <w:sz w:val="33"/>
          <w:szCs w:val="33"/>
          <w:lang w:eastAsia="zh-CN"/>
        </w:rPr>
        <w:t>公积金。</w:t>
      </w:r>
    </w:p>
    <w:p>
      <w:pPr>
        <w:ind w:firstLine="640" w:firstLineChars="200"/>
        <w:rPr>
          <w:rFonts w:ascii="仿宋_GB2312" w:eastAsia="仿宋_GB2312"/>
          <w:sz w:val="32"/>
          <w:szCs w:val="32"/>
        </w:rPr>
      </w:pPr>
      <w:r>
        <w:rPr>
          <w:rFonts w:hint="eastAsia" w:ascii="仿宋_GB2312" w:eastAsia="仿宋_GB2312"/>
          <w:sz w:val="32"/>
          <w:szCs w:val="32"/>
          <w:lang w:val="en-US" w:eastAsia="zh-CN"/>
        </w:rPr>
        <w:t>13</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ind w:firstLine="640" w:firstLineChars="200"/>
        <w:rPr>
          <w:rFonts w:ascii="仿宋_GB2312" w:eastAsia="仿宋_GB2312"/>
          <w:sz w:val="32"/>
          <w:szCs w:val="32"/>
        </w:rPr>
      </w:pPr>
      <w:r>
        <w:rPr>
          <w:rFonts w:hint="eastAsia" w:ascii="仿宋_GB2312" w:eastAsia="仿宋_GB2312"/>
          <w:sz w:val="32"/>
          <w:szCs w:val="32"/>
          <w:lang w:val="en-US" w:eastAsia="zh-CN"/>
        </w:rPr>
        <w:t>14</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pPr>
        <w:ind w:firstLine="640" w:firstLineChars="200"/>
        <w:rPr>
          <w:rFonts w:ascii="仿宋_GB2312" w:eastAsia="仿宋_GB2312"/>
          <w:sz w:val="32"/>
          <w:szCs w:val="32"/>
        </w:rPr>
      </w:pPr>
      <w:r>
        <w:rPr>
          <w:rFonts w:hint="eastAsia" w:ascii="仿宋_GB2312" w:eastAsia="仿宋_GB2312"/>
          <w:sz w:val="32"/>
          <w:szCs w:val="32"/>
          <w:lang w:val="en-US" w:eastAsia="zh-CN"/>
        </w:rPr>
        <w:t>15</w:t>
      </w:r>
      <w:r>
        <w:rPr>
          <w:rFonts w:ascii="仿宋_GB2312" w:eastAsia="仿宋_GB2312"/>
          <w:sz w:val="32"/>
          <w:szCs w:val="32"/>
        </w:rPr>
        <w:t>.</w:t>
      </w:r>
      <w:r>
        <w:rPr>
          <w:rFonts w:hint="eastAsia" w:ascii="仿宋_GB2312" w:eastAsia="仿宋_GB2312"/>
          <w:sz w:val="32"/>
          <w:szCs w:val="32"/>
        </w:rPr>
        <w:t>经营支出：指事业单位在专业业务活动及其辅助活动之外开展非独立核算经营活动发生的支出。</w:t>
      </w:r>
    </w:p>
    <w:p>
      <w:pPr>
        <w:pStyle w:val="29"/>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16</w:t>
      </w:r>
      <w:r>
        <w:rPr>
          <w:rFonts w:ascii="仿宋_GB2312" w:eastAsia="仿宋_GB2312"/>
          <w:color w:val="auto"/>
          <w:sz w:val="32"/>
          <w:szCs w:val="32"/>
        </w:rPr>
        <w:t>.</w:t>
      </w:r>
      <w:r>
        <w:rPr>
          <w:rFonts w:hint="eastAsia" w:ascii="仿宋_GB2312" w:eastAsia="仿宋_GB2312"/>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9"/>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17</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Style w:val="31"/>
          <w:rFonts w:hint="eastAsia" w:ascii="黑体" w:hAnsi="黑体" w:eastAsia="黑体"/>
          <w:b w:val="0"/>
          <w:color w:val="auto"/>
          <w:highlight w:val="none"/>
          <w:lang w:eastAsia="zh-CN"/>
        </w:rPr>
      </w:pPr>
      <w:bookmarkStart w:id="58" w:name="_Toc15377226"/>
      <w:r>
        <w:rPr>
          <w:rFonts w:ascii="宋体"/>
          <w:b/>
          <w:color w:val="auto"/>
          <w:sz w:val="44"/>
          <w:szCs w:val="44"/>
          <w:highlight w:val="none"/>
        </w:rPr>
        <w:br w:type="page"/>
      </w:r>
      <w:bookmarkStart w:id="59" w:name="_Toc15396614"/>
      <w:r>
        <w:rPr>
          <w:rFonts w:hint="eastAsia" w:ascii="黑体" w:hAnsi="黑体" w:eastAsia="黑体"/>
          <w:color w:val="auto"/>
          <w:sz w:val="44"/>
          <w:szCs w:val="44"/>
          <w:highlight w:val="none"/>
        </w:rPr>
        <w:t>第</w:t>
      </w:r>
      <w:r>
        <w:rPr>
          <w:rStyle w:val="31"/>
          <w:rFonts w:hint="eastAsia" w:ascii="黑体" w:hAnsi="黑体" w:eastAsia="黑体"/>
          <w:b w:val="0"/>
          <w:color w:val="auto"/>
          <w:highlight w:val="none"/>
        </w:rPr>
        <w:t>四部分 附件</w:t>
      </w:r>
      <w:bookmarkEnd w:id="59"/>
    </w:p>
    <w:p>
      <w:pPr>
        <w:keepNext w:val="0"/>
        <w:keepLines w:val="0"/>
        <w:pageBreakBefore w:val="0"/>
        <w:kinsoku/>
        <w:wordWrap/>
        <w:overflowPunct/>
        <w:topLinePunct w:val="0"/>
        <w:autoSpaceDE/>
        <w:autoSpaceDN/>
        <w:bidi w:val="0"/>
        <w:spacing w:line="572" w:lineRule="exact"/>
        <w:jc w:val="left"/>
        <w:textAlignment w:val="auto"/>
        <w:outlineLvl w:val="0"/>
        <w:rPr>
          <w:rFonts w:ascii="方正小标宋简体" w:hAnsi="方正小标宋简体" w:eastAsia="方正小标宋简体" w:cs="方正小标宋简体"/>
          <w:color w:val="auto"/>
          <w:sz w:val="44"/>
          <w:szCs w:val="44"/>
          <w:highlight w:val="none"/>
        </w:rPr>
      </w:pPr>
    </w:p>
    <w:p>
      <w:pPr>
        <w:spacing w:line="660" w:lineRule="exact"/>
        <w:jc w:val="center"/>
        <w:rPr>
          <w:rFonts w:ascii="宋体" w:hAnsi="宋体" w:eastAsia="方正小标宋简体" w:cs="Times New Roman"/>
          <w:color w:val="000000" w:themeColor="text1"/>
          <w:sz w:val="44"/>
          <w:szCs w:val="44"/>
          <w14:textFill>
            <w14:solidFill>
              <w14:schemeClr w14:val="tx1"/>
            </w14:solidFill>
          </w14:textFill>
        </w:rPr>
      </w:pPr>
      <w:r>
        <w:rPr>
          <w:rFonts w:ascii="宋体" w:hAnsi="宋体" w:eastAsia="方正小标宋简体" w:cs="Times New Roman"/>
          <w:color w:val="000000" w:themeColor="text1"/>
          <w:sz w:val="44"/>
          <w:szCs w:val="44"/>
          <w14:textFill>
            <w14:solidFill>
              <w14:schemeClr w14:val="tx1"/>
            </w14:solidFill>
          </w14:textFill>
        </w:rPr>
        <w:t>资阳市雁江区财政局</w:t>
      </w:r>
    </w:p>
    <w:p>
      <w:pPr>
        <w:spacing w:line="660" w:lineRule="exact"/>
        <w:jc w:val="center"/>
        <w:rPr>
          <w:rFonts w:ascii="宋体" w:hAnsi="宋体" w:eastAsia="方正小标宋简体" w:cs="Times New Roman"/>
          <w:color w:val="000000" w:themeColor="text1"/>
          <w:sz w:val="44"/>
          <w:szCs w:val="44"/>
          <w14:textFill>
            <w14:solidFill>
              <w14:schemeClr w14:val="tx1"/>
            </w14:solidFill>
          </w14:textFill>
        </w:rPr>
      </w:pPr>
      <w:r>
        <w:rPr>
          <w:rFonts w:hint="eastAsia" w:ascii="宋体" w:hAnsi="宋体" w:eastAsia="方正小标宋简体" w:cs="Times New Roman"/>
          <w:color w:val="000000" w:themeColor="text1"/>
          <w:sz w:val="44"/>
          <w:szCs w:val="44"/>
          <w14:textFill>
            <w14:solidFill>
              <w14:schemeClr w14:val="tx1"/>
            </w14:solidFill>
          </w14:textFill>
        </w:rPr>
        <w:t>关于</w:t>
      </w:r>
      <w:r>
        <w:rPr>
          <w:rFonts w:ascii="宋体" w:hAnsi="宋体" w:eastAsia="方正小标宋简体" w:cs="Times New Roman"/>
          <w:color w:val="000000" w:themeColor="text1"/>
          <w:sz w:val="44"/>
          <w:szCs w:val="44"/>
          <w14:textFill>
            <w14:solidFill>
              <w14:schemeClr w14:val="tx1"/>
            </w14:solidFill>
          </w14:textFill>
        </w:rPr>
        <w:t>20</w:t>
      </w:r>
      <w:r>
        <w:rPr>
          <w:rFonts w:hint="eastAsia" w:ascii="宋体" w:hAnsi="宋体" w:eastAsia="方正小标宋简体" w:cs="Times New Roman"/>
          <w:color w:val="000000" w:themeColor="text1"/>
          <w:sz w:val="44"/>
          <w:szCs w:val="44"/>
          <w14:textFill>
            <w14:solidFill>
              <w14:schemeClr w14:val="tx1"/>
            </w14:solidFill>
          </w14:textFill>
        </w:rPr>
        <w:t>2</w:t>
      </w:r>
      <w:r>
        <w:rPr>
          <w:rFonts w:hint="eastAsia" w:ascii="宋体" w:hAnsi="宋体" w:eastAsia="方正小标宋简体" w:cs="Times New Roman"/>
          <w:color w:val="000000" w:themeColor="text1"/>
          <w:sz w:val="44"/>
          <w:szCs w:val="44"/>
          <w:lang w:val="en-US" w:eastAsia="zh-CN"/>
          <w14:textFill>
            <w14:solidFill>
              <w14:schemeClr w14:val="tx1"/>
            </w14:solidFill>
          </w14:textFill>
        </w:rPr>
        <w:t>2</w:t>
      </w:r>
      <w:r>
        <w:rPr>
          <w:rFonts w:ascii="宋体" w:hAnsi="宋体" w:eastAsia="方正小标宋简体" w:cs="Times New Roman"/>
          <w:color w:val="000000" w:themeColor="text1"/>
          <w:sz w:val="44"/>
          <w:szCs w:val="44"/>
          <w14:textFill>
            <w14:solidFill>
              <w14:schemeClr w14:val="tx1"/>
            </w14:solidFill>
          </w14:textFill>
        </w:rPr>
        <w:t>年整体支出绩效自评</w:t>
      </w:r>
      <w:r>
        <w:rPr>
          <w:rFonts w:hint="eastAsia" w:ascii="宋体" w:hAnsi="宋体" w:eastAsia="方正小标宋简体" w:cs="Times New Roman"/>
          <w:color w:val="000000" w:themeColor="text1"/>
          <w:sz w:val="44"/>
          <w:szCs w:val="44"/>
          <w14:textFill>
            <w14:solidFill>
              <w14:schemeClr w14:val="tx1"/>
            </w14:solidFill>
          </w14:textFill>
        </w:rPr>
        <w:t>的</w:t>
      </w:r>
      <w:r>
        <w:rPr>
          <w:rFonts w:ascii="宋体" w:hAnsi="宋体" w:eastAsia="方正小标宋简体" w:cs="Times New Roman"/>
          <w:color w:val="000000" w:themeColor="text1"/>
          <w:sz w:val="44"/>
          <w:szCs w:val="44"/>
          <w14:textFill>
            <w14:solidFill>
              <w14:schemeClr w14:val="tx1"/>
            </w14:solidFill>
          </w14:textFill>
        </w:rPr>
        <w:t>报告</w:t>
      </w:r>
    </w:p>
    <w:p>
      <w:pPr>
        <w:pStyle w:val="40"/>
        <w:keepNext w:val="0"/>
        <w:keepLines w:val="0"/>
        <w:pageBreakBefore w:val="0"/>
        <w:widowControl w:val="0"/>
        <w:kinsoku/>
        <w:wordWrap/>
        <w:overflowPunct/>
        <w:topLinePunct w:val="0"/>
        <w:autoSpaceDE/>
        <w:autoSpaceDN/>
        <w:bidi w:val="0"/>
        <w:spacing w:line="590" w:lineRule="exact"/>
        <w:ind w:firstLine="0" w:firstLineChars="0"/>
        <w:textAlignment w:val="auto"/>
        <w:rPr>
          <w:rFonts w:ascii="宋体" w:hAnsi="宋体" w:eastAsia="方正仿宋简体"/>
          <w:sz w:val="33"/>
          <w:szCs w:val="33"/>
        </w:rPr>
      </w:pPr>
      <w:r>
        <w:rPr>
          <w:rFonts w:hint="eastAsia" w:ascii="宋体" w:hAnsi="宋体" w:eastAsia="方正仿宋简体"/>
          <w:sz w:val="33"/>
          <w:szCs w:val="33"/>
        </w:rPr>
        <w:t>资阳市雁江区财政局：</w:t>
      </w:r>
    </w:p>
    <w:p>
      <w:pPr>
        <w:keepNext w:val="0"/>
        <w:keepLines w:val="0"/>
        <w:pageBreakBefore w:val="0"/>
        <w:widowControl w:val="0"/>
        <w:kinsoku/>
        <w:wordWrap/>
        <w:overflowPunct/>
        <w:topLinePunct w:val="0"/>
        <w:autoSpaceDE/>
        <w:autoSpaceDN/>
        <w:bidi w:val="0"/>
        <w:spacing w:line="590" w:lineRule="exact"/>
        <w:ind w:firstLine="660" w:firstLineChars="200"/>
        <w:jc w:val="left"/>
        <w:textAlignment w:val="auto"/>
        <w:rPr>
          <w:rFonts w:hint="eastAsia" w:ascii="宋体" w:hAnsi="宋体" w:eastAsia="方正仿宋简体"/>
          <w:sz w:val="33"/>
          <w:szCs w:val="33"/>
        </w:rPr>
      </w:pPr>
      <w:r>
        <w:rPr>
          <w:rFonts w:hint="eastAsia" w:ascii="宋体" w:hAnsi="宋体" w:eastAsia="方正仿宋简体"/>
          <w:sz w:val="33"/>
          <w:szCs w:val="33"/>
        </w:rPr>
        <w:t>按照《资阳市雁江区财政局关于开展202</w:t>
      </w:r>
      <w:r>
        <w:rPr>
          <w:rFonts w:hint="eastAsia" w:ascii="宋体" w:hAnsi="宋体" w:eastAsia="方正仿宋简体"/>
          <w:sz w:val="33"/>
          <w:szCs w:val="33"/>
          <w:lang w:val="en-US" w:eastAsia="zh-CN"/>
        </w:rPr>
        <w:t>2</w:t>
      </w:r>
      <w:r>
        <w:rPr>
          <w:rFonts w:hint="eastAsia" w:ascii="宋体" w:hAnsi="宋体" w:eastAsia="方正仿宋简体"/>
          <w:sz w:val="33"/>
          <w:szCs w:val="33"/>
        </w:rPr>
        <w:t>年度财政支出绩效自评工作的通知》（资雁财发〔</w:t>
      </w:r>
      <w:r>
        <w:rPr>
          <w:rFonts w:ascii="宋体" w:hAnsi="宋体" w:eastAsia="方正仿宋简体"/>
          <w:sz w:val="33"/>
          <w:szCs w:val="33"/>
        </w:rPr>
        <w:t>202</w:t>
      </w:r>
      <w:r>
        <w:rPr>
          <w:rFonts w:hint="eastAsia" w:ascii="宋体" w:hAnsi="宋体" w:eastAsia="方正仿宋简体"/>
          <w:sz w:val="33"/>
          <w:szCs w:val="33"/>
          <w:lang w:val="en-US" w:eastAsia="zh-CN"/>
        </w:rPr>
        <w:t>3</w:t>
      </w:r>
      <w:r>
        <w:rPr>
          <w:rFonts w:hint="eastAsia" w:ascii="宋体" w:hAnsi="宋体" w:eastAsia="方正仿宋简体"/>
          <w:sz w:val="33"/>
          <w:szCs w:val="33"/>
        </w:rPr>
        <w:t>〕</w:t>
      </w:r>
      <w:r>
        <w:rPr>
          <w:rFonts w:hint="eastAsia" w:ascii="宋体" w:hAnsi="宋体" w:eastAsia="方正仿宋简体"/>
          <w:sz w:val="33"/>
          <w:szCs w:val="33"/>
          <w:lang w:val="en-US" w:eastAsia="zh-CN"/>
        </w:rPr>
        <w:t>165</w:t>
      </w:r>
      <w:r>
        <w:rPr>
          <w:rFonts w:hint="eastAsia" w:ascii="宋体" w:hAnsi="宋体" w:eastAsia="方正仿宋简体"/>
          <w:sz w:val="33"/>
          <w:szCs w:val="33"/>
        </w:rPr>
        <w:t>号）要求，区</w:t>
      </w:r>
      <w:r>
        <w:rPr>
          <w:rFonts w:hint="eastAsia" w:ascii="宋体" w:hAnsi="宋体" w:eastAsia="方正仿宋简体"/>
          <w:sz w:val="33"/>
          <w:szCs w:val="33"/>
          <w:lang w:eastAsia="zh-CN"/>
        </w:rPr>
        <w:t>财政局机关</w:t>
      </w:r>
      <w:r>
        <w:rPr>
          <w:rFonts w:hint="eastAsia" w:ascii="宋体" w:hAnsi="宋体" w:eastAsia="方正仿宋简体"/>
          <w:sz w:val="33"/>
          <w:szCs w:val="33"/>
        </w:rPr>
        <w:t>及时开展了</w:t>
      </w:r>
      <w:r>
        <w:rPr>
          <w:rFonts w:hint="eastAsia" w:ascii="宋体" w:hAnsi="宋体" w:eastAsia="方正仿宋简体"/>
          <w:sz w:val="33"/>
          <w:szCs w:val="33"/>
          <w:lang w:eastAsia="zh-CN"/>
        </w:rPr>
        <w:t>2022</w:t>
      </w:r>
      <w:r>
        <w:rPr>
          <w:rFonts w:hint="eastAsia" w:ascii="宋体" w:hAnsi="宋体" w:eastAsia="方正仿宋简体"/>
          <w:sz w:val="33"/>
          <w:szCs w:val="33"/>
        </w:rPr>
        <w:t>年度支出绩效自评工作，现将相关情况报告如下。</w:t>
      </w:r>
    </w:p>
    <w:p>
      <w:pPr>
        <w:pStyle w:val="7"/>
        <w:rPr>
          <w:rFonts w:hint="eastAsia"/>
        </w:rPr>
      </w:pPr>
    </w:p>
    <w:p>
      <w:pPr>
        <w:keepNext w:val="0"/>
        <w:keepLines w:val="0"/>
        <w:pageBreakBefore w:val="0"/>
        <w:widowControl/>
        <w:numPr>
          <w:ilvl w:val="0"/>
          <w:numId w:val="5"/>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黑体" w:hAnsi="宋体" w:eastAsia="黑体" w:cs="宋体"/>
          <w:color w:val="auto"/>
          <w:kern w:val="0"/>
          <w:sz w:val="32"/>
          <w:szCs w:val="32"/>
          <w:highlight w:val="none"/>
          <w:shd w:val="clear" w:color="auto" w:fill="FFFFFF"/>
          <w:lang w:val="zh-CN"/>
        </w:rPr>
      </w:pPr>
      <w:r>
        <w:rPr>
          <w:rFonts w:hint="eastAsia" w:ascii="黑体" w:hAnsi="宋体" w:eastAsia="黑体" w:cs="宋体"/>
          <w:color w:val="auto"/>
          <w:kern w:val="0"/>
          <w:sz w:val="32"/>
          <w:szCs w:val="32"/>
          <w:highlight w:val="none"/>
          <w:shd w:val="clear" w:color="auto" w:fill="FFFFFF"/>
          <w:lang w:val="zh-CN"/>
        </w:rPr>
        <w:t>部门（单位）基本情况</w:t>
      </w:r>
    </w:p>
    <w:p>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机构组成。</w:t>
      </w:r>
    </w:p>
    <w:p>
      <w:pPr>
        <w:keepNext w:val="0"/>
        <w:keepLines w:val="0"/>
        <w:pageBreakBefore w:val="0"/>
        <w:widowControl w:val="0"/>
        <w:kinsoku/>
        <w:wordWrap/>
        <w:overflowPunct/>
        <w:topLinePunct w:val="0"/>
        <w:autoSpaceDE/>
        <w:autoSpaceDN/>
        <w:bidi w:val="0"/>
        <w:adjustRightInd/>
        <w:snapToGrid/>
        <w:spacing w:line="600" w:lineRule="exact"/>
        <w:ind w:firstLine="672"/>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_GBK" w:cs="方正仿宋_GBK"/>
          <w:sz w:val="32"/>
          <w:szCs w:val="32"/>
          <w:lang w:val="en-US" w:eastAsia="zh-CN"/>
        </w:rPr>
        <w:t>根据《资阳市雁江区财政局职能配置、内设机构和人员编制规定》（资雁委办发〔2019〕121号）相关规定，雁江区财政局</w:t>
      </w:r>
      <w:r>
        <w:rPr>
          <w:rFonts w:hint="eastAsia" w:ascii="宋体" w:hAnsi="宋体" w:eastAsia="方正仿宋简体" w:cs="宋体"/>
          <w:color w:val="000000" w:themeColor="text1"/>
          <w:sz w:val="33"/>
          <w:szCs w:val="33"/>
          <w14:textFill>
            <w14:solidFill>
              <w14:schemeClr w14:val="tx1"/>
            </w14:solidFill>
          </w14:textFill>
        </w:rPr>
        <w:t>共有内设机构18个，直属事业单位4个，其中行政单位0个，参照公务员法管理的事业单位1个，其他事业单位3个。纳入资阳市雁江区财政局202</w:t>
      </w:r>
      <w:r>
        <w:rPr>
          <w:rFonts w:hint="eastAsia" w:ascii="宋体" w:hAnsi="宋体" w:eastAsia="方正仿宋简体" w:cs="宋体"/>
          <w:color w:val="000000" w:themeColor="text1"/>
          <w:sz w:val="33"/>
          <w:szCs w:val="33"/>
          <w:lang w:val="en-US" w:eastAsia="zh-CN"/>
          <w14:textFill>
            <w14:solidFill>
              <w14:schemeClr w14:val="tx1"/>
            </w14:solidFill>
          </w14:textFill>
        </w:rPr>
        <w:t>2</w:t>
      </w:r>
      <w:r>
        <w:rPr>
          <w:rFonts w:hint="eastAsia" w:ascii="宋体" w:hAnsi="宋体" w:eastAsia="方正仿宋简体" w:cs="宋体"/>
          <w:color w:val="000000" w:themeColor="text1"/>
          <w:sz w:val="33"/>
          <w:szCs w:val="33"/>
          <w14:textFill>
            <w14:solidFill>
              <w14:schemeClr w14:val="tx1"/>
            </w14:solidFill>
          </w14:textFill>
        </w:rPr>
        <w:t>年度绩效评价编制范围的二级预算单位包括：</w:t>
      </w:r>
    </w:p>
    <w:p>
      <w:pPr>
        <w:keepNext w:val="0"/>
        <w:keepLines w:val="0"/>
        <w:pageBreakBefore w:val="0"/>
        <w:widowControl w:val="0"/>
        <w:kinsoku/>
        <w:wordWrap/>
        <w:overflowPunct/>
        <w:topLinePunct w:val="0"/>
        <w:autoSpaceDE/>
        <w:autoSpaceDN/>
        <w:bidi w:val="0"/>
        <w:adjustRightInd/>
        <w:snapToGrid/>
        <w:spacing w:line="600" w:lineRule="exact"/>
        <w:ind w:firstLine="672"/>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资阳市雁江区财政国库支付中心</w:t>
      </w:r>
    </w:p>
    <w:p>
      <w:pPr>
        <w:keepNext w:val="0"/>
        <w:keepLines w:val="0"/>
        <w:pageBreakBefore w:val="0"/>
        <w:widowControl w:val="0"/>
        <w:kinsoku/>
        <w:wordWrap/>
        <w:overflowPunct/>
        <w:topLinePunct w:val="0"/>
        <w:autoSpaceDE/>
        <w:autoSpaceDN/>
        <w:bidi w:val="0"/>
        <w:adjustRightInd/>
        <w:snapToGrid/>
        <w:spacing w:line="600" w:lineRule="exact"/>
        <w:ind w:firstLine="672"/>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资阳市雁江区财政票据和信息中心</w:t>
      </w:r>
    </w:p>
    <w:p>
      <w:pPr>
        <w:keepNext w:val="0"/>
        <w:keepLines w:val="0"/>
        <w:pageBreakBefore w:val="0"/>
        <w:widowControl w:val="0"/>
        <w:kinsoku/>
        <w:wordWrap/>
        <w:overflowPunct/>
        <w:topLinePunct w:val="0"/>
        <w:autoSpaceDE/>
        <w:autoSpaceDN/>
        <w:bidi w:val="0"/>
        <w:adjustRightInd/>
        <w:snapToGrid/>
        <w:spacing w:line="600" w:lineRule="exact"/>
        <w:ind w:firstLine="672"/>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资阳市雁江区财政投资评审中心</w:t>
      </w:r>
    </w:p>
    <w:p>
      <w:pPr>
        <w:keepNext w:val="0"/>
        <w:keepLines w:val="0"/>
        <w:pageBreakBefore w:val="0"/>
        <w:widowControl w:val="0"/>
        <w:kinsoku/>
        <w:wordWrap/>
        <w:overflowPunct/>
        <w:topLinePunct w:val="0"/>
        <w:autoSpaceDE/>
        <w:autoSpaceDN/>
        <w:bidi w:val="0"/>
        <w:adjustRightInd/>
        <w:snapToGrid/>
        <w:spacing w:line="600" w:lineRule="exact"/>
        <w:ind w:firstLine="672"/>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资阳市雁江区政府与社会资本合作中心</w:t>
      </w:r>
    </w:p>
    <w:p>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机构职能和人员概况。</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1.拟订全区财税发展战略、规划、政策和改革方案并组织实施。分析预测宏观经济形势，参与制定各项经济政策，提出运用财税政策实施宏观调控和综合平衡社会财力的建议。拟订区和乡（镇）、国家与企业的分配政策，完善鼓励公益事业发展的财税政策。</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2.贯彻执行财政、税收、财务、会计管理的法律法规和规章，拟订全区财税管理有关政策并组织实施。按照管理权限管理全区税政事项。</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3.负责管理区级各项财政收支。编制年度区级预决算草案并组织执行。组织制定经费开支标准、定额，审核批复区级部门（单位）年度预决算。受区政府委托，向区人大及其常委会报告财政预算、执行和决算等情况。负责政府投资基金区级财政出资的资产管理。负责区级预决算公开。负责全面实施预算绩效管理。</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4.按分工负责政府非税收入管理。负责政府性基金管理，按规定管理行政事业性收费等其他非税收入。管理财政票据。按规定管理彩票资金。</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5.组织制定全区国库管理制度、国库集中收付制度，负责区级国库业务，开展国库现金管理工作。负责编制政府财务报告。负责制定全区政府采购制度并监督管理。</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6.贯彻执行地方政府债务管理制度和政策，制定全区地方政府债务管理具体办法并组织实施，按规定负责地方政府债券使用、管理和监督。负责统一管理全区政府外债，按规定协调管理多边开发机构和外国政府的贷（赠）款，防范财政风险。</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7.牵头编制区级国有资产管理情况报告。根据区政府授权，集中统一履行区级国有金融资本出资人职责。贯彻执行国有金融资本管理规章制度。制定区级行政事业单位国有资产管理制度并组织实施。制定需要全区统一规定的开支标准和支出政策。</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8.负责审核并汇总编制全区国有资本经营预决算草案，制定全区国有资本经营预算制度和办法，收取区级企业国有资本收益。负责区级国有资本经营预算编制、执行和监督。组织实施企业财务制度。负责财政预算内行政事业单位和社会团体的非贸易外汇管理。</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9.负责审核并汇总编制全区社会保险基金预决算草案。会同有关部门拟订有关资金（基金）财务管理制度，承担社会保险基金财政监管工作。</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10.负责办理和监督区级财政的经济发展支出、政府性投资项目的财政拨款，负责财政投资评审管理工作，参与拟订区级基建投资有关政策，贯彻执行基建财务管理制度。</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11.组织实施国家统一的会计制度，监督和规范会计行为。指导和管理社会审计。会同有关部门组织管理全区会计专业资格考试。依法管理资产评估有关工作。</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12.负责职责范围内的安全生产和职业健康、生态环境保护、审批服务便民化等工作。</w:t>
      </w:r>
    </w:p>
    <w:p>
      <w:pPr>
        <w:keepNext w:val="0"/>
        <w:keepLines w:val="0"/>
        <w:pageBreakBefore w:val="0"/>
        <w:widowControl w:val="0"/>
        <w:kinsoku/>
        <w:wordWrap/>
        <w:overflowPunct/>
        <w:topLinePunct w:val="0"/>
        <w:autoSpaceDE/>
        <w:autoSpaceDN/>
        <w:bidi w:val="0"/>
        <w:adjustRightInd/>
        <w:snapToGrid/>
        <w:spacing w:line="600" w:lineRule="exact"/>
        <w:ind w:firstLine="660"/>
        <w:textAlignment w:val="auto"/>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13.根据区政府授权，依法依规履行国有企业出资人职责，监管区属企业的国有资产，加强国有企业资产的管理。拟订国有企业资产管理的办法和政策草案。承担监管企业国有资产保值增值的责任，负责所监管企业工资分配管理工作。指导推进国有企业改革和重组。依法对国有股权以及国有资本金的监督管理。负责对所监管企业负责人的任免、考核、奖惩工作。参与制定国有资本经营预算有关管理制度。负责对所监管企业重大投融资进行监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宋体" w:hAnsi="宋体" w:eastAsia="方正仿宋简体" w:cs="宋体"/>
          <w:color w:val="auto"/>
          <w:sz w:val="33"/>
          <w:szCs w:val="33"/>
        </w:rPr>
      </w:pPr>
      <w:r>
        <w:rPr>
          <w:rFonts w:hint="eastAsia" w:ascii="宋体" w:hAnsi="宋体" w:eastAsia="方正仿宋_GBK" w:cs="方正仿宋_GBK"/>
          <w:color w:val="auto"/>
          <w:sz w:val="32"/>
          <w:szCs w:val="32"/>
          <w:lang w:val="en-US" w:eastAsia="zh-CN"/>
        </w:rPr>
        <w:t>14.据《资阳市雁江区财政局职能配置、内设机构和人员编制规定》（资雁委办发〔2019〕121号）相关规定，人员编制74名（其中行政编制37名，机关工勤编制4名，参公编制12名，事业编制21名）。截止2022年底，实有编制62人（其中行政编制33名，机关工勤编制4名，参公编制8名，事业编制17名）</w:t>
      </w:r>
      <w:r>
        <w:rPr>
          <w:rFonts w:hint="eastAsia" w:ascii="宋体" w:hAnsi="宋体" w:eastAsia="方正仿宋简体" w:cs="宋体"/>
          <w:color w:val="auto"/>
          <w:sz w:val="33"/>
          <w:szCs w:val="33"/>
        </w:rPr>
        <w:t>。</w:t>
      </w:r>
    </w:p>
    <w:p>
      <w:pPr>
        <w:pStyle w:val="7"/>
        <w:widowControl w:val="0"/>
        <w:numPr>
          <w:ilvl w:val="0"/>
          <w:numId w:val="0"/>
        </w:numPr>
        <w:jc w:val="both"/>
        <w:rPr>
          <w:rFonts w:hint="eastAsia"/>
          <w:lang w:val="zh-CN"/>
        </w:rPr>
      </w:pPr>
    </w:p>
    <w:p>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年度主要工作任务。</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宋体" w:hAnsi="宋体" w:eastAsia="方正楷体简体" w:cs="方正楷体简体"/>
          <w:b/>
          <w:bCs/>
          <w:sz w:val="32"/>
          <w:szCs w:val="32"/>
          <w:lang w:val="en-US" w:eastAsia="zh-CN"/>
        </w:rPr>
      </w:pPr>
      <w:r>
        <w:rPr>
          <w:rFonts w:hint="eastAsia" w:ascii="宋体" w:hAnsi="宋体" w:eastAsia="方正楷体简体" w:cs="方正楷体简体"/>
          <w:b/>
          <w:bCs/>
          <w:sz w:val="32"/>
          <w:szCs w:val="32"/>
          <w:lang w:val="en-US" w:eastAsia="zh-CN"/>
        </w:rPr>
        <w:t>（一）抓收入、控支出，财政收支平稳增长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宋体" w:hAnsi="宋体" w:eastAsia="方正仿宋简体" w:cs="方正仿宋简体"/>
          <w:color w:val="auto"/>
          <w:sz w:val="32"/>
          <w:szCs w:val="32"/>
        </w:rPr>
      </w:pPr>
      <w:r>
        <w:rPr>
          <w:rFonts w:hint="eastAsia" w:ascii="宋体" w:hAnsi="宋体" w:eastAsia="方正仿宋简体" w:cs="方正仿宋简体"/>
          <w:b/>
          <w:bCs/>
          <w:color w:val="auto"/>
          <w:sz w:val="32"/>
          <w:szCs w:val="32"/>
          <w:lang w:val="en-US" w:eastAsia="zh-CN"/>
        </w:rPr>
        <w:t>1.</w:t>
      </w:r>
      <w:r>
        <w:rPr>
          <w:rFonts w:hint="eastAsia" w:ascii="宋体" w:hAnsi="宋体" w:eastAsia="方正仿宋简体" w:cs="方正仿宋简体"/>
          <w:b/>
          <w:bCs/>
          <w:color w:val="auto"/>
          <w:sz w:val="32"/>
          <w:szCs w:val="32"/>
          <w:lang w:eastAsia="zh-CN"/>
        </w:rPr>
        <w:t>厚植财源强“家底”。</w:t>
      </w:r>
      <w:r>
        <w:rPr>
          <w:rFonts w:hint="eastAsia" w:ascii="宋体" w:hAnsi="宋体" w:eastAsia="方正仿宋简体" w:cs="方正仿宋简体"/>
          <w:color w:val="auto"/>
          <w:sz w:val="32"/>
          <w:szCs w:val="32"/>
        </w:rPr>
        <w:t>牢固树立全区财政收支“一盘棋”，坚持“生财有道、聚财有方”基本原则，采取“强征管、建财源、抓争取、重监管”四大举措，不断壮大财政收入规模。2022年地方一般公共预算收入入库17.86亿元，同比增长4.19%，其中税收收入9.88亿元，非税收入7.98亿元。2022年政府性基金预算收入入库25.21亿元，同比增长7.13%</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宋体" w:hAnsi="宋体" w:eastAsia="方正仿宋简体" w:cs="方正仿宋简体"/>
          <w:color w:val="auto"/>
          <w:sz w:val="32"/>
          <w:szCs w:val="32"/>
          <w:lang w:eastAsia="zh-CN"/>
        </w:rPr>
      </w:pPr>
      <w:r>
        <w:rPr>
          <w:rFonts w:hint="eastAsia" w:ascii="宋体" w:hAnsi="宋体" w:eastAsia="方正仿宋简体" w:cs="方正仿宋简体"/>
          <w:b/>
          <w:bCs/>
          <w:color w:val="auto"/>
          <w:sz w:val="32"/>
          <w:szCs w:val="32"/>
          <w:lang w:val="en-US" w:eastAsia="zh-CN"/>
        </w:rPr>
        <w:t>2.</w:t>
      </w:r>
      <w:r>
        <w:rPr>
          <w:rFonts w:hint="eastAsia" w:ascii="宋体" w:hAnsi="宋体" w:eastAsia="方正仿宋简体" w:cs="方正仿宋简体"/>
          <w:b/>
          <w:bCs/>
          <w:color w:val="auto"/>
          <w:sz w:val="32"/>
          <w:szCs w:val="32"/>
          <w:lang w:eastAsia="zh-CN"/>
        </w:rPr>
        <w:t>主动争资强保障</w:t>
      </w:r>
      <w:r>
        <w:rPr>
          <w:rFonts w:hint="eastAsia" w:ascii="宋体" w:hAnsi="宋体" w:eastAsia="方正仿宋简体" w:cs="方正仿宋简体"/>
          <w:color w:val="auto"/>
          <w:sz w:val="32"/>
          <w:szCs w:val="32"/>
          <w:lang w:eastAsia="zh-CN"/>
        </w:rPr>
        <w:t>。围绕国家政策及上级资金支持领域投向，主动联系上级财政部门，加强区级部门沟通协作，2022年争取到中省资金56.33亿元。围绕专项债券重点支持领域，全面强化与省财政厅的沟通协调，2022年争取政府债券到期再融资置换9.54亿元，认真谋划新增债券需求，积极做好项目储备，争取到新增专项债券7.28亿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宋体" w:hAnsi="宋体" w:eastAsia="方正仿宋简体" w:cs="方正仿宋简体"/>
          <w:color w:val="FF0000"/>
          <w:sz w:val="32"/>
          <w:szCs w:val="32"/>
          <w:lang w:val="en-US" w:eastAsia="zh-CN"/>
        </w:rPr>
      </w:pPr>
      <w:r>
        <w:rPr>
          <w:rFonts w:hint="eastAsia" w:ascii="宋体" w:hAnsi="宋体" w:eastAsia="方正仿宋简体" w:cs="方正仿宋简体"/>
          <w:b/>
          <w:bCs/>
          <w:color w:val="auto"/>
          <w:sz w:val="32"/>
          <w:szCs w:val="32"/>
          <w:lang w:val="en-US" w:eastAsia="zh-CN"/>
        </w:rPr>
        <w:t>3.</w:t>
      </w:r>
      <w:r>
        <w:rPr>
          <w:rFonts w:hint="eastAsia" w:ascii="宋体" w:hAnsi="宋体" w:eastAsia="方正仿宋简体" w:cs="方正仿宋简体"/>
          <w:b/>
          <w:bCs/>
          <w:color w:val="auto"/>
          <w:sz w:val="32"/>
          <w:szCs w:val="32"/>
          <w:lang w:eastAsia="zh-CN"/>
        </w:rPr>
        <w:t>优化支出促发展</w:t>
      </w:r>
      <w:r>
        <w:rPr>
          <w:rFonts w:hint="eastAsia" w:ascii="宋体" w:hAnsi="宋体" w:eastAsia="方正仿宋简体" w:cs="方正仿宋简体"/>
          <w:color w:val="auto"/>
          <w:sz w:val="32"/>
          <w:szCs w:val="32"/>
          <w:lang w:eastAsia="zh-CN"/>
        </w:rPr>
        <w:t>。严格落实政府过紧日子要求，严把支出关口，严格财政支出管理，调整优化支出结构切实保障民生事业发展，做好“六稳”“六保”工作，2022年雁江区一般公共预算支出51.21亿元，同比增长6.32%，其中一般公共服务支出5.01亿元，同比增长17.58%；教育支出9.94亿元，同比增长0.03%；社会保障和就业支出9.82亿元，同比增长5.81%；卫生健康支出5.71亿元，同比增长30.50%；政府性基金预算支出30.16亿元，同比增长13.27%，其中城乡社区支出21.58亿元，同比增长7.00%。</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宋体" w:hAnsi="宋体" w:eastAsia="方正楷体简体" w:cs="方正楷体简体"/>
          <w:b/>
          <w:bCs/>
          <w:sz w:val="32"/>
          <w:szCs w:val="32"/>
          <w:lang w:val="en-US" w:eastAsia="zh-CN"/>
        </w:rPr>
      </w:pPr>
      <w:r>
        <w:rPr>
          <w:rFonts w:hint="eastAsia" w:ascii="宋体" w:hAnsi="宋体" w:eastAsia="方正楷体简体" w:cs="方正楷体简体"/>
          <w:b/>
          <w:bCs/>
          <w:sz w:val="32"/>
          <w:szCs w:val="32"/>
          <w:lang w:val="en-US" w:eastAsia="zh-CN"/>
        </w:rPr>
        <w:t>（二）守底线、控风险，财政运行有序</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宋体" w:hAnsi="宋体" w:eastAsia="方正仿宋简体" w:cs="方正仿宋简体"/>
          <w:color w:val="auto"/>
          <w:sz w:val="32"/>
          <w:szCs w:val="32"/>
          <w:lang w:val="en-US" w:eastAsia="zh-CN"/>
        </w:rPr>
      </w:pPr>
      <w:r>
        <w:rPr>
          <w:rFonts w:hint="default" w:ascii="宋体" w:hAnsi="宋体" w:eastAsia="方正仿宋简体" w:cs="方正仿宋简体"/>
          <w:b/>
          <w:bCs/>
          <w:sz w:val="32"/>
          <w:szCs w:val="32"/>
          <w:lang w:val="en-US" w:eastAsia="zh-CN"/>
        </w:rPr>
        <w:t>1.</w:t>
      </w:r>
      <w:r>
        <w:rPr>
          <w:rFonts w:hint="eastAsia" w:ascii="宋体" w:hAnsi="宋体" w:eastAsia="方正仿宋简体" w:cs="方正仿宋简体"/>
          <w:b/>
          <w:bCs/>
          <w:sz w:val="32"/>
          <w:szCs w:val="32"/>
          <w:lang w:val="en-US" w:eastAsia="zh-CN"/>
        </w:rPr>
        <w:t>抓实</w:t>
      </w:r>
      <w:r>
        <w:rPr>
          <w:rFonts w:hint="default" w:ascii="宋体" w:hAnsi="宋体" w:eastAsia="方正仿宋简体" w:cs="方正仿宋简体"/>
          <w:b/>
          <w:bCs/>
          <w:sz w:val="32"/>
          <w:szCs w:val="32"/>
          <w:lang w:val="en-US" w:eastAsia="zh-CN"/>
        </w:rPr>
        <w:t>财会领域风险防控</w:t>
      </w:r>
      <w:r>
        <w:rPr>
          <w:rFonts w:hint="default" w:ascii="宋体" w:hAnsi="宋体" w:eastAsia="方正仿宋简体" w:cs="方正仿宋简体"/>
          <w:sz w:val="32"/>
          <w:szCs w:val="32"/>
          <w:lang w:val="en-US" w:eastAsia="zh-CN"/>
        </w:rPr>
        <w:t>。牢固树立“穿透式审查”理念，从严落实财政财务监督，依法依规开展监督检查，强化监管手段纠偏管理，全面履行财政财务监管职责，累计组织精干力量100余人次，开展或参与多维度专项检查17次，覆盖全区92个部门（单位）、18个镇（街道）、164个学校、22个医疗机构、13个区属国有企业、36个代理记账公司，对严肃财经纪律，加强财政建设起到了积极的作用。</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宋体" w:hAnsi="宋体" w:eastAsia="方正仿宋简体" w:cs="方正仿宋简体"/>
          <w:sz w:val="32"/>
          <w:szCs w:val="32"/>
          <w:highlight w:val="none"/>
          <w:lang w:val="en-US" w:eastAsia="zh-CN"/>
        </w:rPr>
      </w:pPr>
      <w:r>
        <w:rPr>
          <w:rFonts w:hint="default" w:ascii="宋体" w:hAnsi="宋体" w:eastAsia="方正仿宋简体" w:cs="方正仿宋简体"/>
          <w:b/>
          <w:bCs/>
          <w:sz w:val="32"/>
          <w:szCs w:val="32"/>
          <w:lang w:val="en-US" w:eastAsia="zh-CN"/>
        </w:rPr>
        <w:t>2.做好防范化解债务风险</w:t>
      </w:r>
      <w:r>
        <w:rPr>
          <w:rFonts w:hint="default" w:ascii="宋体" w:hAnsi="宋体" w:eastAsia="方正仿宋简体" w:cs="方正仿宋简体"/>
          <w:sz w:val="32"/>
          <w:szCs w:val="32"/>
          <w:lang w:val="en-US" w:eastAsia="zh-CN"/>
        </w:rPr>
        <w:t>。按照“家底清、情况明、有办法”的工作思路，严格落实“融资化债优先、解决困难不过夜”的工作机制，从全区“五个一线”干部中，抽调18名业务能手，成立6个工作小组集中开展融资化债工作，坚持每日调度，实时追踪授信的到位和资金调度，强力推动融资化债工作。2022年，我区总计处置和缓释债务本息共计53.73亿元（其中本金44.01亿元，利息9.72亿元），其中，置换和偿还政府债券本息13.42亿元，化解隐性债务18.3亿元、利息3.24亿元，化解和缓释其他支出事项本息19.95亿元，顺利完成了防范化解债务风险的阶段性任务。</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default" w:ascii="宋体" w:hAnsi="宋体" w:eastAsia="方正仿宋简体" w:cs="方正仿宋简体"/>
          <w:sz w:val="32"/>
          <w:szCs w:val="32"/>
          <w:lang w:val="en-US" w:eastAsia="zh-CN"/>
        </w:rPr>
      </w:pPr>
      <w:r>
        <w:rPr>
          <w:rFonts w:hint="default" w:ascii="宋体" w:hAnsi="宋体" w:eastAsia="方正仿宋简体" w:cs="方正仿宋简体"/>
          <w:b/>
          <w:bCs/>
          <w:sz w:val="32"/>
          <w:szCs w:val="32"/>
          <w:lang w:val="en-US" w:eastAsia="zh-CN"/>
        </w:rPr>
        <w:t>3.防范国有资产流失风险方面。</w:t>
      </w:r>
      <w:r>
        <w:rPr>
          <w:rFonts w:hint="default" w:ascii="宋体" w:hAnsi="宋体" w:eastAsia="方正仿宋简体" w:cs="方正仿宋简体"/>
          <w:sz w:val="32"/>
          <w:szCs w:val="32"/>
          <w:lang w:val="en-US" w:eastAsia="zh-CN"/>
        </w:rPr>
        <w:t>全面实施国有企业党建“强基固本提升”工程，积极推动开展党建入章工作，把党的领导融入公司治理各环节，全面完成公司制改革工作。主动作为、真抓实干，会同相关部门（单位）健全了资产盘活长效机制，会同区农业农村局印发了《关于巩固农村集体产权制度改革成果加强农村集体“三资”管理的通知》，因地制宜地常态化开展闲置资产盘活工作，进一步明确了村级闲置资产处置流程和程序，切实做到了闲置资产动态清零</w:t>
      </w:r>
      <w:r>
        <w:rPr>
          <w:rFonts w:hint="eastAsia" w:ascii="宋体" w:hAnsi="宋体" w:eastAsia="方正仿宋简体" w:cs="方正仿宋简体"/>
          <w:sz w:val="32"/>
          <w:szCs w:val="32"/>
          <w:lang w:val="en-US" w:eastAsia="zh-CN"/>
        </w:rPr>
        <w:t>。</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textAlignment w:val="auto"/>
        <w:rPr>
          <w:rFonts w:hint="eastAsia" w:ascii="宋体" w:hAnsi="宋体" w:eastAsia="方正楷体简体" w:cs="方正楷体简体"/>
          <w:b/>
          <w:bCs/>
          <w:color w:val="auto"/>
          <w:sz w:val="32"/>
          <w:szCs w:val="32"/>
          <w:lang w:val="en-US" w:eastAsia="zh-CN"/>
        </w:rPr>
      </w:pPr>
      <w:r>
        <w:rPr>
          <w:rFonts w:hint="eastAsia" w:ascii="宋体" w:hAnsi="宋体" w:eastAsia="方正楷体简体" w:cs="方正楷体简体"/>
          <w:b/>
          <w:bCs/>
          <w:color w:val="auto"/>
          <w:sz w:val="32"/>
          <w:szCs w:val="32"/>
          <w:lang w:val="en-US" w:eastAsia="zh-CN"/>
        </w:rPr>
        <w:t>（三）惠民生、促发展，社会事业健康发展</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left"/>
        <w:textAlignment w:val="auto"/>
        <w:rPr>
          <w:rFonts w:hint="eastAsia" w:ascii="Times New Roman" w:hAnsi="Times New Roman" w:eastAsia="方正仿宋简体" w:cs="方正仿宋简体"/>
          <w:b w:val="0"/>
          <w:bCs w:val="0"/>
          <w:color w:val="FF0000"/>
          <w:sz w:val="32"/>
          <w:szCs w:val="32"/>
          <w:lang w:eastAsia="zh-CN"/>
        </w:rPr>
      </w:pPr>
      <w:r>
        <w:rPr>
          <w:rFonts w:hint="eastAsia" w:eastAsia="方正仿宋简体" w:cs="方正仿宋简体"/>
          <w:b/>
          <w:bCs/>
          <w:sz w:val="32"/>
          <w:szCs w:val="32"/>
          <w:lang w:val="en-US" w:eastAsia="zh-CN"/>
        </w:rPr>
        <w:t>1.</w:t>
      </w:r>
      <w:r>
        <w:rPr>
          <w:rFonts w:hint="eastAsia" w:eastAsia="方正仿宋简体" w:cs="方正仿宋简体"/>
          <w:b/>
          <w:bCs/>
          <w:sz w:val="32"/>
          <w:szCs w:val="32"/>
          <w:lang w:eastAsia="zh-CN"/>
        </w:rPr>
        <w:t>支农惠农方面</w:t>
      </w:r>
      <w:r>
        <w:rPr>
          <w:rFonts w:hint="eastAsia" w:eastAsia="方正仿宋简体" w:cs="方正仿宋简体"/>
          <w:b w:val="0"/>
          <w:bCs w:val="0"/>
          <w:sz w:val="32"/>
          <w:szCs w:val="32"/>
          <w:lang w:eastAsia="zh-CN"/>
        </w:rPr>
        <w:t>，</w:t>
      </w:r>
      <w:r>
        <w:rPr>
          <w:rFonts w:hint="eastAsia" w:ascii="宋体" w:hAnsi="宋体" w:eastAsia="方正仿宋简体" w:cs="方正仿宋简体"/>
          <w:sz w:val="32"/>
          <w:szCs w:val="32"/>
          <w:lang w:val="en-US" w:eastAsia="zh-CN"/>
        </w:rPr>
        <w:t>认真贯彻落实上级重大决策部署，全力推进惠民惠农“一卡通”系统上线使用，</w:t>
      </w:r>
      <w:r>
        <w:rPr>
          <w:rFonts w:hint="eastAsia" w:eastAsia="方正仿宋简体" w:cs="方正仿宋简体"/>
          <w:b w:val="0"/>
          <w:bCs w:val="0"/>
          <w:sz w:val="32"/>
          <w:szCs w:val="32"/>
          <w:lang w:val="en-US" w:eastAsia="zh-CN"/>
        </w:rPr>
        <w:t>2022年</w:t>
      </w:r>
      <w:r>
        <w:rPr>
          <w:rFonts w:hint="eastAsia" w:ascii="Times New Roman" w:hAnsi="Times New Roman" w:eastAsia="方正仿宋简体" w:cs="方正仿宋简体"/>
          <w:b w:val="0"/>
          <w:bCs w:val="0"/>
          <w:sz w:val="32"/>
          <w:szCs w:val="32"/>
          <w:lang w:eastAsia="zh-CN"/>
        </w:rPr>
        <w:t>全区</w:t>
      </w:r>
      <w:r>
        <w:rPr>
          <w:rFonts w:hint="eastAsia" w:eastAsia="方正仿宋简体" w:cs="方正仿宋简体"/>
          <w:b w:val="0"/>
          <w:bCs w:val="0"/>
          <w:sz w:val="32"/>
          <w:szCs w:val="32"/>
          <w:lang w:eastAsia="zh-CN"/>
        </w:rPr>
        <w:t>完成</w:t>
      </w:r>
      <w:r>
        <w:rPr>
          <w:rFonts w:hint="eastAsia" w:ascii="Times New Roman" w:hAnsi="Times New Roman" w:eastAsia="方正仿宋简体" w:cs="方正仿宋简体"/>
          <w:b w:val="0"/>
          <w:bCs w:val="0"/>
          <w:sz w:val="32"/>
          <w:szCs w:val="32"/>
          <w:lang w:eastAsia="zh-CN"/>
        </w:rPr>
        <w:t>铺设71个惠民惠农“一卡通”系统网络点，</w:t>
      </w:r>
      <w:r>
        <w:rPr>
          <w:rFonts w:hint="eastAsia" w:ascii="宋体" w:hAnsi="宋体" w:eastAsia="方正仿宋简体" w:cs="方正仿宋简体"/>
          <w:sz w:val="32"/>
          <w:szCs w:val="32"/>
          <w:lang w:val="en-US" w:eastAsia="zh-CN"/>
        </w:rPr>
        <w:t>实现了耕地地力保护补贴资金等62个省市确定项目直接拨付到终端，2022年全额拨付耕地地力保护补贴10386.77万元，实际种粮农民一次性补贴2961.34万元，退耕还林补助和公益林生态效益补偿686.48万元，农机购置补助122万元。</w:t>
      </w:r>
      <w:r>
        <w:rPr>
          <w:rFonts w:hint="eastAsia" w:ascii="宋体" w:hAnsi="宋体" w:eastAsia="方正仿宋简体" w:cs="方正仿宋简体"/>
          <w:b/>
          <w:bCs/>
          <w:sz w:val="32"/>
          <w:szCs w:val="32"/>
          <w:lang w:val="en-US" w:eastAsia="zh-CN"/>
        </w:rPr>
        <w:t>惠企利民方面</w:t>
      </w:r>
      <w:r>
        <w:rPr>
          <w:rFonts w:hint="eastAsia" w:ascii="宋体" w:hAnsi="宋体" w:eastAsia="方正仿宋简体" w:cs="方正仿宋简体"/>
          <w:sz w:val="32"/>
          <w:szCs w:val="32"/>
          <w:lang w:val="en-US" w:eastAsia="zh-CN"/>
        </w:rPr>
        <w:t>，严格落实增值税留抵退税等减税降费政策，2022年全口径增值税留抵退税金额达1.59亿元，其中区级承担退税金额0.52亿元。坚持“用、管”并重，确保财政直达资金直接惠企利民，2022年分配上级下达中央直达资金预算指标11.81亿元，分配进度为100%，拨付11.40亿元，拨付进度为96.54%。</w:t>
      </w:r>
      <w:r>
        <w:rPr>
          <w:rFonts w:hint="eastAsia" w:ascii="Times New Roman" w:hAnsi="Times New Roman" w:eastAsia="方正仿宋简体" w:cs="方正仿宋简体"/>
          <w:b/>
          <w:bCs/>
          <w:sz w:val="32"/>
          <w:szCs w:val="32"/>
          <w:lang w:val="en-US" w:eastAsia="zh-CN"/>
        </w:rPr>
        <w:t>乡村振兴方面</w:t>
      </w:r>
      <w:r>
        <w:rPr>
          <w:rFonts w:hint="eastAsia" w:ascii="Times New Roman" w:hAnsi="Times New Roman" w:eastAsia="方正仿宋简体" w:cs="方正仿宋简体"/>
          <w:b w:val="0"/>
          <w:bCs w:val="0"/>
          <w:sz w:val="32"/>
          <w:szCs w:val="32"/>
          <w:lang w:val="en-US" w:eastAsia="zh-CN"/>
        </w:rPr>
        <w:t>，</w:t>
      </w:r>
      <w:r>
        <w:rPr>
          <w:rFonts w:hint="eastAsia" w:ascii="宋体" w:hAnsi="宋体" w:eastAsia="方正仿宋简体" w:cs="方正仿宋简体"/>
          <w:sz w:val="32"/>
          <w:szCs w:val="32"/>
          <w:lang w:val="en-US" w:eastAsia="zh-CN"/>
        </w:rPr>
        <w:t>全面落实农业农村优先发展战略，全面推进乡村振兴，2022年，争取到资阳市雁江区沱东区中低产农田改造及配套工程项目专项债8000万；预算安排乡村振兴资金48143万元，同比上浮0.9个百分点，一般公共预算支持乡村振兴实际投入132406万元，同比增长727万元；预算安排财政衔接推进乡村振兴补助资金20873万元，实现资金拨付20548.66万元，拨付率达98.45%。</w:t>
      </w:r>
      <w:r>
        <w:rPr>
          <w:rFonts w:hint="eastAsia" w:ascii="宋体" w:hAnsi="宋体" w:eastAsia="方正仿宋简体" w:cs="方正仿宋简体"/>
          <w:b/>
          <w:bCs/>
          <w:sz w:val="32"/>
          <w:szCs w:val="32"/>
          <w:lang w:val="en-US" w:eastAsia="zh-CN"/>
        </w:rPr>
        <w:t>社会民生方面</w:t>
      </w:r>
      <w:r>
        <w:rPr>
          <w:rFonts w:hint="eastAsia" w:ascii="宋体" w:hAnsi="宋体" w:eastAsia="方正仿宋简体" w:cs="方正仿宋简体"/>
          <w:sz w:val="32"/>
          <w:szCs w:val="32"/>
          <w:lang w:val="en-US" w:eastAsia="zh-CN"/>
        </w:rPr>
        <w:t>，严格落实阶段性缓缴社会保险费政策，全年企业职工基本养老、失业、工伤等三项社会保险缓缴3702.88万元。认真落实中央“两稳一保”决策部署，全力确保高校青年就业有着落、疫情防控队伍有力量、医疗服务与保障能力有提升，全年招募公共卫生服务岗人员109人。针对接生员、退役军人、村干部等个性化问题提出保障方案为398名在职村医发放养老保险共计153.11万，1153名到龄离岗村医发放生活补助共计343.51万元。</w:t>
      </w:r>
      <w:r>
        <w:rPr>
          <w:rFonts w:hint="eastAsia" w:eastAsia="方正仿宋简体" w:cs="方正仿宋简体"/>
          <w:b w:val="0"/>
          <w:bCs w:val="0"/>
          <w:color w:val="auto"/>
          <w:sz w:val="32"/>
          <w:szCs w:val="32"/>
          <w:lang w:eastAsia="zh-CN"/>
        </w:rPr>
        <w:t>在</w:t>
      </w:r>
      <w:r>
        <w:rPr>
          <w:rFonts w:hint="eastAsia" w:eastAsia="方正仿宋简体" w:cs="方正仿宋简体"/>
          <w:b/>
          <w:bCs/>
          <w:color w:val="auto"/>
          <w:sz w:val="32"/>
          <w:szCs w:val="32"/>
          <w:lang w:eastAsia="zh-CN"/>
        </w:rPr>
        <w:t>“三保”方面，</w:t>
      </w:r>
      <w:r>
        <w:rPr>
          <w:rFonts w:hint="eastAsia" w:ascii="宋体" w:hAnsi="宋体" w:eastAsia="方正仿宋简体" w:cs="方正仿宋简体"/>
          <w:sz w:val="32"/>
          <w:szCs w:val="32"/>
          <w:lang w:val="en-US" w:eastAsia="zh-CN"/>
        </w:rPr>
        <w:t>积极将“三保”资金足额纳入预算，建立“三保”支出拨付台账，落实“定期整理”制度，按月收集“三保”支出保障情况，精准掌握全区“三保”支出预算安排、资金拨付、欠拨情况等。2022年三保支出共计27.09亿元，其中保工资支出12.60亿元、保运转支出0.63亿元、保基本民生支出13.86亿元。保障临聘人员工资等“三保”外刚性支出5.88亿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宋体" w:hAnsi="宋体" w:eastAsia="方正楷体简体" w:cs="方正楷体简体"/>
          <w:b/>
          <w:bCs/>
          <w:color w:val="auto"/>
          <w:kern w:val="2"/>
          <w:sz w:val="32"/>
          <w:szCs w:val="32"/>
          <w:lang w:val="en-US" w:eastAsia="zh-CN" w:bidi="ar-SA"/>
        </w:rPr>
      </w:pPr>
      <w:r>
        <w:rPr>
          <w:rFonts w:hint="eastAsia" w:ascii="宋体" w:hAnsi="宋体" w:eastAsia="方正楷体简体" w:cs="方正楷体简体"/>
          <w:b/>
          <w:bCs/>
          <w:color w:val="auto"/>
          <w:kern w:val="2"/>
          <w:sz w:val="32"/>
          <w:szCs w:val="32"/>
          <w:lang w:val="en-US" w:eastAsia="zh-CN" w:bidi="ar-SA"/>
        </w:rPr>
        <w:t>（四）抓管理、提效益，财政改革纵深推进</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b/>
          <w:bCs/>
          <w:color w:val="auto"/>
          <w:sz w:val="32"/>
          <w:szCs w:val="32"/>
          <w:lang w:val="en-US" w:eastAsia="zh-CN"/>
        </w:rPr>
        <w:t>1.</w:t>
      </w:r>
      <w:r>
        <w:rPr>
          <w:rFonts w:hint="default" w:ascii="宋体" w:hAnsi="宋体" w:eastAsia="方正仿宋简体" w:cs="方正仿宋简体"/>
          <w:b/>
          <w:bCs/>
          <w:color w:val="auto"/>
          <w:sz w:val="32"/>
          <w:szCs w:val="32"/>
          <w:lang w:val="en-US" w:eastAsia="zh-CN"/>
        </w:rPr>
        <w:t>政府采购改革</w:t>
      </w:r>
      <w:r>
        <w:rPr>
          <w:rFonts w:hint="eastAsia" w:ascii="宋体" w:hAnsi="宋体" w:eastAsia="方正仿宋简体" w:cs="方正仿宋简体"/>
          <w:b/>
          <w:bCs/>
          <w:color w:val="auto"/>
          <w:sz w:val="32"/>
          <w:szCs w:val="32"/>
          <w:lang w:val="en-US" w:eastAsia="zh-CN"/>
        </w:rPr>
        <w:t>实现跨越发展</w:t>
      </w:r>
      <w:r>
        <w:rPr>
          <w:rFonts w:hint="default" w:ascii="宋体" w:hAnsi="宋体" w:eastAsia="方正仿宋简体" w:cs="方正仿宋简体"/>
          <w:color w:val="auto"/>
          <w:sz w:val="32"/>
          <w:szCs w:val="32"/>
          <w:lang w:val="en-US" w:eastAsia="zh-CN"/>
        </w:rPr>
        <w:t>。</w:t>
      </w:r>
      <w:r>
        <w:rPr>
          <w:rFonts w:hint="eastAsia" w:ascii="宋体" w:hAnsi="宋体" w:eastAsia="方正仿宋简体" w:cs="方正仿宋简体"/>
          <w:b/>
          <w:bCs/>
          <w:color w:val="auto"/>
          <w:sz w:val="32"/>
          <w:szCs w:val="32"/>
          <w:lang w:val="en-US" w:eastAsia="zh-CN"/>
        </w:rPr>
        <w:t>一是</w:t>
      </w:r>
      <w:r>
        <w:rPr>
          <w:rFonts w:hint="default" w:ascii="宋体" w:hAnsi="宋体" w:eastAsia="方正仿宋简体" w:cs="方正仿宋简体"/>
          <w:color w:val="auto"/>
          <w:sz w:val="32"/>
          <w:szCs w:val="32"/>
          <w:lang w:val="en-US" w:eastAsia="zh-CN"/>
        </w:rPr>
        <w:t>打通了政府采购项目全流程电子化的“最后一公里”，顺利完成全市首个政府采购一体化平台开评标项目，打响了全市政府采购一体化攻坚行动第一枪，雁江区政府采购事业跨入全面电子化新时代。</w:t>
      </w:r>
      <w:r>
        <w:rPr>
          <w:rFonts w:hint="eastAsia" w:ascii="宋体" w:hAnsi="宋体" w:eastAsia="方正仿宋简体" w:cs="方正仿宋简体"/>
          <w:b/>
          <w:bCs/>
          <w:color w:val="auto"/>
          <w:sz w:val="32"/>
          <w:szCs w:val="32"/>
          <w:lang w:val="en-US" w:eastAsia="zh-CN"/>
        </w:rPr>
        <w:t>二是</w:t>
      </w:r>
      <w:r>
        <w:rPr>
          <w:rFonts w:hint="default" w:ascii="宋体" w:hAnsi="宋体" w:eastAsia="方正仿宋简体" w:cs="方正仿宋简体"/>
          <w:color w:val="auto"/>
          <w:sz w:val="32"/>
          <w:szCs w:val="32"/>
          <w:lang w:val="en-US" w:eastAsia="zh-CN"/>
        </w:rPr>
        <w:t>政府采购一体化平台</w:t>
      </w:r>
      <w:r>
        <w:rPr>
          <w:rFonts w:hint="eastAsia" w:ascii="宋体" w:hAnsi="宋体" w:eastAsia="方正仿宋简体" w:cs="方正仿宋简体"/>
          <w:color w:val="auto"/>
          <w:sz w:val="32"/>
          <w:szCs w:val="32"/>
          <w:lang w:val="en-US" w:eastAsia="zh-CN"/>
        </w:rPr>
        <w:t>与</w:t>
      </w:r>
      <w:r>
        <w:rPr>
          <w:rFonts w:hint="default" w:ascii="宋体" w:hAnsi="宋体" w:eastAsia="方正仿宋简体" w:cs="方正仿宋简体"/>
          <w:color w:val="auto"/>
          <w:sz w:val="32"/>
          <w:szCs w:val="32"/>
          <w:lang w:val="en-US" w:eastAsia="zh-CN"/>
        </w:rPr>
        <w:t>预算管理一体化平台了</w:t>
      </w:r>
      <w:r>
        <w:rPr>
          <w:rFonts w:hint="eastAsia" w:ascii="宋体" w:hAnsi="宋体" w:eastAsia="方正仿宋简体" w:cs="方正仿宋简体"/>
          <w:color w:val="auto"/>
          <w:sz w:val="32"/>
          <w:szCs w:val="32"/>
          <w:lang w:val="en-US" w:eastAsia="zh-CN"/>
        </w:rPr>
        <w:t>实现</w:t>
      </w:r>
      <w:r>
        <w:rPr>
          <w:rFonts w:hint="default" w:ascii="宋体" w:hAnsi="宋体" w:eastAsia="方正仿宋简体" w:cs="方正仿宋简体"/>
          <w:color w:val="auto"/>
          <w:sz w:val="32"/>
          <w:szCs w:val="32"/>
          <w:lang w:val="en-US" w:eastAsia="zh-CN"/>
        </w:rPr>
        <w:t>互联互通</w:t>
      </w:r>
      <w:r>
        <w:rPr>
          <w:rFonts w:hint="eastAsia" w:ascii="宋体" w:hAnsi="宋体" w:eastAsia="方正仿宋简体" w:cs="方正仿宋简体"/>
          <w:color w:val="auto"/>
          <w:sz w:val="32"/>
          <w:szCs w:val="32"/>
          <w:lang w:val="en-US" w:eastAsia="zh-CN"/>
        </w:rPr>
        <w:t>，实现了从项目预算下达到项目采购、履约验收的全流程电子化监控，做到了政府采购有迹可循，有据可查，过程可溯，2022年，通过政府采购一体化平台顺利完成政府采购项目104个。</w:t>
      </w:r>
      <w:r>
        <w:rPr>
          <w:rFonts w:hint="eastAsia" w:ascii="宋体" w:hAnsi="宋体" w:eastAsia="方正仿宋简体" w:cs="方正仿宋简体"/>
          <w:b/>
          <w:bCs/>
          <w:color w:val="auto"/>
          <w:sz w:val="32"/>
          <w:szCs w:val="32"/>
          <w:lang w:val="en-US" w:eastAsia="zh-CN"/>
        </w:rPr>
        <w:t>三是</w:t>
      </w:r>
      <w:r>
        <w:rPr>
          <w:rFonts w:hint="eastAsia" w:ascii="宋体" w:hAnsi="宋体" w:eastAsia="方正仿宋简体" w:cs="方正仿宋简体"/>
          <w:color w:val="auto"/>
          <w:sz w:val="32"/>
          <w:szCs w:val="32"/>
          <w:lang w:val="en-US" w:eastAsia="zh-CN"/>
        </w:rPr>
        <w:t>助力脱贫地区经济发展，2022年，通过“脱贫地区农副产品网络销售平台”采购了脱贫地区农副产品379.22万元，为巩固拓展脱贫攻坚成果，扎实推动乡村全面振兴奉献了财政力量。</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2.</w:t>
      </w:r>
      <w:r>
        <w:rPr>
          <w:rFonts w:hint="eastAsia" w:ascii="宋体" w:hAnsi="宋体" w:eastAsia="方正仿宋简体" w:cs="方正仿宋简体"/>
          <w:b/>
          <w:bCs/>
          <w:color w:val="auto"/>
          <w:sz w:val="32"/>
          <w:szCs w:val="32"/>
          <w:lang w:val="en-US" w:eastAsia="zh-CN"/>
        </w:rPr>
        <w:t>预算管理一体化建设取得新成效</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b/>
          <w:bCs/>
          <w:color w:val="auto"/>
          <w:sz w:val="32"/>
          <w:szCs w:val="32"/>
          <w:lang w:val="en-US" w:eastAsia="zh-CN"/>
        </w:rPr>
        <w:t>一是</w:t>
      </w:r>
      <w:r>
        <w:rPr>
          <w:rFonts w:hint="eastAsia" w:ascii="宋体" w:hAnsi="宋体" w:eastAsia="方正仿宋简体" w:cs="方正仿宋简体"/>
          <w:color w:val="auto"/>
          <w:sz w:val="32"/>
          <w:szCs w:val="32"/>
          <w:lang w:val="en-US" w:eastAsia="zh-CN"/>
        </w:rPr>
        <w:t>系统联通与技术保障再上台阶，2022年配备了1名信息技术专员，开展了5轮专题培训，顺利完成雁江一体化系统的数据传输、信息录入、权限配置、联合测试等工作任务，为一体化系统稳定运行、业务顺利开展创造有利条件。二</w:t>
      </w:r>
      <w:r>
        <w:rPr>
          <w:rFonts w:hint="eastAsia" w:ascii="宋体" w:hAnsi="宋体" w:eastAsia="方正仿宋简体" w:cs="方正仿宋简体"/>
          <w:b/>
          <w:bCs/>
          <w:color w:val="auto"/>
          <w:sz w:val="32"/>
          <w:szCs w:val="32"/>
          <w:lang w:val="en-US" w:eastAsia="zh-CN"/>
        </w:rPr>
        <w:t>是</w:t>
      </w:r>
      <w:r>
        <w:rPr>
          <w:rFonts w:hint="eastAsia" w:ascii="宋体" w:hAnsi="宋体" w:eastAsia="方正仿宋简体" w:cs="方正仿宋简体"/>
          <w:color w:val="auto"/>
          <w:sz w:val="32"/>
          <w:szCs w:val="32"/>
          <w:lang w:val="en-US" w:eastAsia="zh-CN"/>
        </w:rPr>
        <w:t>预算管理一体化系统整合上线了预算绩效管理、政府采购一体化、资产管理等多个功能，打通了信息孤岛，减轻预算单位多头报送、审核对比、重复录入的工作量，极大地提升了预算管理效率。</w:t>
      </w:r>
      <w:r>
        <w:rPr>
          <w:rFonts w:hint="eastAsia" w:ascii="宋体" w:hAnsi="宋体" w:eastAsia="方正仿宋简体" w:cs="方正仿宋简体"/>
          <w:b/>
          <w:bCs/>
          <w:color w:val="auto"/>
          <w:sz w:val="32"/>
          <w:szCs w:val="32"/>
          <w:lang w:val="en-US" w:eastAsia="zh-CN"/>
        </w:rPr>
        <w:t>三是</w:t>
      </w:r>
      <w:r>
        <w:rPr>
          <w:rFonts w:hint="eastAsia" w:ascii="宋体" w:hAnsi="宋体" w:eastAsia="方正仿宋简体" w:cs="方正仿宋简体"/>
          <w:color w:val="auto"/>
          <w:sz w:val="32"/>
          <w:szCs w:val="32"/>
          <w:lang w:val="en-US" w:eastAsia="zh-CN"/>
        </w:rPr>
        <w:t>预算管理一体化系统全面启用，简化了资金申报使用流程，解决了各级预算管理“车不同轨、书不同文”的问题，实现了预算数据的自动汇聚和转移支付资金自动追踪，为更好统筹财政资源、调整优化支出结构和完善常态化财政资金直达机制提供了有力抓手。</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eastAsia" w:ascii="宋体" w:hAnsi="宋体" w:eastAsia="方正仿宋简体" w:cs="方正仿宋简体"/>
          <w:color w:val="auto"/>
          <w:kern w:val="2"/>
          <w:sz w:val="32"/>
          <w:szCs w:val="32"/>
          <w:lang w:val="en-US" w:eastAsia="zh-CN" w:bidi="ar-SA"/>
        </w:rPr>
      </w:pPr>
      <w:r>
        <w:rPr>
          <w:rFonts w:hint="eastAsia" w:ascii="宋体" w:hAnsi="宋体" w:eastAsia="方正仿宋简体" w:cs="方正仿宋简体"/>
          <w:color w:val="auto"/>
          <w:sz w:val="32"/>
          <w:szCs w:val="32"/>
          <w:lang w:val="en-US" w:eastAsia="zh-CN"/>
        </w:rPr>
        <w:t>3.</w:t>
      </w:r>
      <w:r>
        <w:rPr>
          <w:rFonts w:hint="eastAsia" w:ascii="宋体" w:hAnsi="宋体" w:eastAsia="方正仿宋简体" w:cs="方正仿宋简体"/>
          <w:b/>
          <w:bCs/>
          <w:color w:val="auto"/>
          <w:kern w:val="2"/>
          <w:sz w:val="32"/>
          <w:szCs w:val="32"/>
          <w:lang w:val="en-US" w:eastAsia="zh-CN" w:bidi="ar-SA"/>
        </w:rPr>
        <w:t>预算绩效管理改革取得新突破</w:t>
      </w:r>
      <w:r>
        <w:rPr>
          <w:rFonts w:hint="eastAsia" w:ascii="宋体" w:hAnsi="宋体" w:eastAsia="方正仿宋简体" w:cs="方正仿宋简体"/>
          <w:color w:val="auto"/>
          <w:kern w:val="2"/>
          <w:sz w:val="32"/>
          <w:szCs w:val="32"/>
          <w:lang w:val="en-US" w:eastAsia="zh-CN" w:bidi="ar-SA"/>
        </w:rPr>
        <w:t>。</w:t>
      </w:r>
      <w:r>
        <w:rPr>
          <w:rFonts w:hint="eastAsia" w:ascii="宋体" w:hAnsi="宋体" w:eastAsia="方正仿宋简体" w:cs="方正仿宋简体"/>
          <w:b/>
          <w:bCs/>
          <w:color w:val="auto"/>
          <w:kern w:val="2"/>
          <w:sz w:val="32"/>
          <w:szCs w:val="32"/>
          <w:lang w:val="en-US" w:eastAsia="zh-CN" w:bidi="ar-SA"/>
        </w:rPr>
        <w:t>一是</w:t>
      </w:r>
      <w:r>
        <w:rPr>
          <w:rFonts w:hint="eastAsia" w:ascii="宋体" w:hAnsi="宋体" w:eastAsia="方正仿宋简体" w:cs="方正仿宋简体"/>
          <w:color w:val="auto"/>
          <w:kern w:val="2"/>
          <w:sz w:val="32"/>
          <w:szCs w:val="32"/>
          <w:lang w:val="en-US" w:eastAsia="zh-CN" w:bidi="ar-SA"/>
        </w:rPr>
        <w:t>聘请第三方机构研究开发了符合雁江实际的财政支出行业绩效指标30余套，有效嵌入一体化平台，将预算绩效管理主阵地从线下转移到线上，提高了运行监控质量，扩大了预算绩效管理覆盖范围，实现了预算绩效管理全过程监管目标。</w:t>
      </w:r>
      <w:r>
        <w:rPr>
          <w:rFonts w:hint="eastAsia" w:ascii="宋体" w:hAnsi="宋体" w:eastAsia="方正仿宋简体" w:cs="方正仿宋简体"/>
          <w:b/>
          <w:bCs/>
          <w:color w:val="auto"/>
          <w:kern w:val="2"/>
          <w:sz w:val="32"/>
          <w:szCs w:val="32"/>
          <w:lang w:val="en-US" w:eastAsia="zh-CN" w:bidi="ar-SA"/>
        </w:rPr>
        <w:t>二是</w:t>
      </w:r>
      <w:r>
        <w:rPr>
          <w:rFonts w:hint="eastAsia" w:ascii="宋体" w:hAnsi="宋体" w:eastAsia="方正仿宋简体" w:cs="方正仿宋简体"/>
          <w:color w:val="auto"/>
          <w:kern w:val="2"/>
          <w:sz w:val="32"/>
          <w:szCs w:val="32"/>
          <w:lang w:val="en-US" w:eastAsia="zh-CN" w:bidi="ar-SA"/>
        </w:rPr>
        <w:t>市区预算绩效管理一体化进程加快，2022年，市区财政部门集中研究预算机关管理工作7次，为雁江预算绩效管理工作冲刺全省第一方阵奠定了坚实基础。</w:t>
      </w:r>
      <w:r>
        <w:rPr>
          <w:rFonts w:hint="eastAsia" w:ascii="宋体" w:hAnsi="宋体" w:eastAsia="方正仿宋简体" w:cs="方正仿宋简体"/>
          <w:b/>
          <w:bCs/>
          <w:color w:val="auto"/>
          <w:kern w:val="2"/>
          <w:sz w:val="32"/>
          <w:szCs w:val="32"/>
          <w:lang w:val="en-US" w:eastAsia="zh-CN" w:bidi="ar-SA"/>
        </w:rPr>
        <w:t>三是</w:t>
      </w:r>
      <w:r>
        <w:rPr>
          <w:rFonts w:hint="eastAsia" w:ascii="宋体" w:hAnsi="宋体" w:eastAsia="方正仿宋简体" w:cs="方正仿宋简体"/>
          <w:color w:val="auto"/>
          <w:kern w:val="2"/>
          <w:sz w:val="32"/>
          <w:szCs w:val="32"/>
          <w:lang w:val="en-US" w:eastAsia="zh-CN" w:bidi="ar-SA"/>
        </w:rPr>
        <w:t>预算绩效管理成效明显，2022年，通过会审压减预算5.66亿元，压减率达35%，雁江预算绩效管理工作信息被中央财经报、四川财政微信公共号刊载。</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宋体" w:hAnsi="宋体" w:eastAsia="方正仿宋简体" w:cs="方正仿宋简体"/>
          <w:color w:val="FF0000"/>
          <w:sz w:val="32"/>
          <w:szCs w:val="32"/>
          <w:lang w:val="en-US" w:eastAsia="zh-CN"/>
        </w:rPr>
      </w:pPr>
      <w:r>
        <w:rPr>
          <w:rFonts w:hint="eastAsia" w:ascii="宋体" w:hAnsi="宋体" w:eastAsia="方正仿宋简体" w:cs="方正仿宋简体"/>
          <w:color w:val="auto"/>
          <w:kern w:val="2"/>
          <w:sz w:val="32"/>
          <w:szCs w:val="32"/>
          <w:lang w:val="en-US" w:eastAsia="zh-CN" w:bidi="ar-SA"/>
        </w:rPr>
        <w:t>4.</w:t>
      </w:r>
      <w:r>
        <w:rPr>
          <w:rFonts w:hint="eastAsia" w:ascii="宋体" w:hAnsi="宋体" w:eastAsia="方正仿宋简体" w:cs="方正仿宋简体"/>
          <w:b/>
          <w:bCs/>
          <w:color w:val="auto"/>
          <w:sz w:val="32"/>
          <w:szCs w:val="32"/>
          <w:lang w:val="en-US" w:eastAsia="zh-CN"/>
        </w:rPr>
        <w:t>国库集中支付改革取得新进展。</w:t>
      </w:r>
      <w:r>
        <w:rPr>
          <w:rFonts w:hint="eastAsia" w:ascii="宋体" w:hAnsi="宋体" w:eastAsia="方正仿宋简体" w:cs="方正仿宋简体"/>
          <w:color w:val="auto"/>
          <w:sz w:val="32"/>
          <w:szCs w:val="32"/>
          <w:lang w:val="en-US" w:eastAsia="zh-CN"/>
        </w:rPr>
        <w:t>在市级国库集中支付电子化改革方案的基础上，根据我区实际，印发了《资阳市雁江区财政局关于使用预算管理一体化系统办理资金支付的通知》，进一步明确了预算一体化系统的操作流程、时间要求、资金支付业务安全保障等，提高资金支付效率和安全性能，有效增强财政调控能力。2022年，通过国库进行集中支付的总笔数63572笔，合计金额736237.76万元。其中：直接支付63234笔，金额735120.06万元；财政专户管理资金518笔，金额1117.7万余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宋体" w:hAnsi="宋体" w:eastAsia="方正楷体简体" w:cs="方正楷体简体"/>
          <w:b/>
          <w:bCs/>
          <w:color w:val="auto"/>
          <w:kern w:val="2"/>
          <w:sz w:val="32"/>
          <w:szCs w:val="32"/>
          <w:lang w:val="en-US" w:eastAsia="zh-CN" w:bidi="ar-SA"/>
        </w:rPr>
      </w:pPr>
      <w:r>
        <w:rPr>
          <w:rFonts w:hint="eastAsia" w:ascii="宋体" w:hAnsi="宋体" w:eastAsia="方正楷体简体" w:cs="方正楷体简体"/>
          <w:b/>
          <w:bCs/>
          <w:color w:val="auto"/>
          <w:kern w:val="2"/>
          <w:sz w:val="32"/>
          <w:szCs w:val="32"/>
          <w:lang w:val="en-US" w:eastAsia="zh-CN" w:bidi="ar-SA"/>
        </w:rPr>
        <w:t>（五）凸重点，抓落实，圆满完成重点任务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宋体" w:hAnsi="宋体" w:eastAsia="方正仿宋简体"/>
          <w:sz w:val="32"/>
          <w:szCs w:val="32"/>
          <w:lang w:val="en-US" w:eastAsia="zh-CN"/>
        </w:rPr>
      </w:pPr>
      <w:r>
        <w:rPr>
          <w:rFonts w:hint="eastAsia" w:ascii="宋体" w:hAnsi="宋体" w:eastAsia="方正仿宋简体" w:cs="方正仿宋简体"/>
          <w:b/>
          <w:bCs/>
          <w:color w:val="auto"/>
          <w:sz w:val="32"/>
          <w:szCs w:val="32"/>
          <w:lang w:val="en-US" w:eastAsia="zh-CN"/>
        </w:rPr>
        <w:t>1.圆满完成法检统管改革工作</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b/>
          <w:bCs/>
          <w:color w:val="auto"/>
          <w:sz w:val="32"/>
          <w:szCs w:val="32"/>
          <w:lang w:val="en-US" w:eastAsia="zh-CN"/>
        </w:rPr>
        <w:t>一是</w:t>
      </w:r>
      <w:r>
        <w:rPr>
          <w:rFonts w:hint="eastAsia" w:ascii="宋体" w:hAnsi="宋体" w:eastAsia="方正仿宋简体" w:cs="方正仿宋简体"/>
          <w:color w:val="auto"/>
          <w:sz w:val="32"/>
          <w:szCs w:val="32"/>
          <w:lang w:val="en-US" w:eastAsia="zh-CN"/>
        </w:rPr>
        <w:t>经费保障衔接到位，</w:t>
      </w:r>
      <w:r>
        <w:rPr>
          <w:rFonts w:hint="eastAsia" w:ascii="宋体" w:hAnsi="宋体" w:eastAsia="方正仿宋简体" w:cs="方正仿宋简体"/>
          <w:sz w:val="32"/>
          <w:szCs w:val="32"/>
          <w:lang w:val="en-US" w:eastAsia="zh-CN"/>
        </w:rPr>
        <w:t>按照</w:t>
      </w:r>
      <w:r>
        <w:rPr>
          <w:rFonts w:hint="eastAsia" w:ascii="宋体" w:hAnsi="宋体" w:eastAsia="方正仿宋简体"/>
          <w:sz w:val="32"/>
          <w:szCs w:val="32"/>
        </w:rPr>
        <w:t>年初部门预算</w:t>
      </w:r>
      <w:r>
        <w:rPr>
          <w:rFonts w:hint="eastAsia" w:ascii="宋体" w:hAnsi="宋体" w:eastAsia="方正仿宋简体"/>
          <w:sz w:val="32"/>
          <w:szCs w:val="32"/>
          <w:lang w:eastAsia="zh-CN"/>
        </w:rPr>
        <w:t>全额保障统管前法检两院人员经费、项目经费，并</w:t>
      </w:r>
      <w:r>
        <w:rPr>
          <w:rFonts w:hint="eastAsia" w:ascii="宋体" w:hAnsi="宋体" w:eastAsia="方正仿宋简体"/>
          <w:sz w:val="32"/>
          <w:szCs w:val="32"/>
          <w:lang w:val="en-US" w:eastAsia="zh-CN"/>
        </w:rPr>
        <w:t>顺利完成预算指标对接。</w:t>
      </w:r>
      <w:r>
        <w:rPr>
          <w:rFonts w:hint="eastAsia" w:ascii="宋体" w:hAnsi="宋体" w:eastAsia="方正仿宋简体"/>
          <w:b/>
          <w:bCs/>
          <w:sz w:val="32"/>
          <w:szCs w:val="32"/>
          <w:lang w:val="en-US" w:eastAsia="zh-CN"/>
        </w:rPr>
        <w:t>二是</w:t>
      </w:r>
      <w:r>
        <w:rPr>
          <w:rFonts w:hint="eastAsia" w:ascii="宋体" w:hAnsi="宋体" w:eastAsia="方正仿宋简体"/>
          <w:sz w:val="32"/>
          <w:szCs w:val="32"/>
          <w:lang w:val="en-US" w:eastAsia="zh-CN"/>
        </w:rPr>
        <w:t>工资福利保障到位，法检两院的基础绩效奖、预发的年度考核奖和退休人员相关经费，区财政已全额拨付到位。</w:t>
      </w:r>
      <w:r>
        <w:rPr>
          <w:rFonts w:hint="eastAsia" w:ascii="宋体" w:hAnsi="宋体" w:eastAsia="方正仿宋简体"/>
          <w:b/>
          <w:bCs/>
          <w:sz w:val="32"/>
          <w:szCs w:val="32"/>
          <w:lang w:val="en-US" w:eastAsia="zh-CN"/>
        </w:rPr>
        <w:t>三是</w:t>
      </w:r>
      <w:r>
        <w:rPr>
          <w:rFonts w:hint="eastAsia" w:ascii="宋体" w:hAnsi="宋体" w:eastAsia="方正仿宋简体"/>
          <w:sz w:val="32"/>
          <w:szCs w:val="32"/>
          <w:lang w:val="en-US" w:eastAsia="zh-CN"/>
        </w:rPr>
        <w:t>按时完成资产划转，10月中旬完成法检两院资产上划至市级统一管理，其中区人民检察院涉及资产</w:t>
      </w:r>
      <w:r>
        <w:rPr>
          <w:rFonts w:hint="eastAsia" w:ascii="宋体" w:hAnsi="宋体" w:eastAsia="方正仿宋简体"/>
          <w:color w:val="auto"/>
          <w:sz w:val="32"/>
          <w:szCs w:val="32"/>
          <w:lang w:val="en-US" w:eastAsia="zh-CN"/>
        </w:rPr>
        <w:t>31296145.86元及车辆12辆；区人民法院涉及资产23245121.5元及车辆20辆。</w:t>
      </w:r>
    </w:p>
    <w:p>
      <w:pPr>
        <w:pStyle w:val="17"/>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b/>
          <w:bCs/>
          <w:color w:val="auto"/>
          <w:sz w:val="32"/>
          <w:szCs w:val="32"/>
          <w:lang w:val="en-US" w:eastAsia="zh-CN"/>
        </w:rPr>
        <w:t>2.顺利完成中医院上划工作</w:t>
      </w:r>
      <w:r>
        <w:rPr>
          <w:rFonts w:hint="eastAsia" w:ascii="宋体" w:hAnsi="宋体" w:eastAsia="方正仿宋简体" w:cs="方正仿宋简体"/>
          <w:color w:val="auto"/>
          <w:sz w:val="32"/>
          <w:szCs w:val="32"/>
          <w:lang w:val="en-US" w:eastAsia="zh-CN"/>
        </w:rPr>
        <w:t>。严格按照中医院上划工作方案要求，顺利完成资产、债务、经费清理工作，按照资产随机构、负债随责任单位、财力上划的原则，稳妥有序的完成了上划工作。经多方协调，中医院财力上划基数确定为2018-2020年保险职业年金、取消药品加成资金三年平均数480.22万。</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宋体" w:hAnsi="宋体" w:eastAsia="方正仿宋简体" w:cs="方正仿宋简体"/>
          <w:color w:val="auto"/>
          <w:kern w:val="2"/>
          <w:sz w:val="32"/>
          <w:szCs w:val="32"/>
          <w:lang w:val="en-US" w:eastAsia="zh-CN" w:bidi="ar-SA"/>
        </w:rPr>
      </w:pPr>
      <w:r>
        <w:rPr>
          <w:rFonts w:hint="eastAsia" w:ascii="宋体" w:hAnsi="宋体" w:eastAsia="方正仿宋简体" w:cs="方正仿宋简体"/>
          <w:b/>
          <w:bCs/>
          <w:color w:val="auto"/>
          <w:kern w:val="2"/>
          <w:sz w:val="32"/>
          <w:szCs w:val="32"/>
          <w:lang w:val="en-US" w:eastAsia="zh-CN" w:bidi="ar-SA"/>
        </w:rPr>
        <w:t>3</w:t>
      </w:r>
      <w:r>
        <w:rPr>
          <w:rFonts w:hint="default" w:ascii="宋体" w:hAnsi="宋体" w:eastAsia="方正仿宋简体" w:cs="方正仿宋简体"/>
          <w:b/>
          <w:bCs/>
          <w:color w:val="auto"/>
          <w:kern w:val="2"/>
          <w:sz w:val="32"/>
          <w:szCs w:val="32"/>
          <w:lang w:val="en-US" w:eastAsia="zh-CN" w:bidi="ar-SA"/>
        </w:rPr>
        <w:t>.地方财经秩序专项整治行动</w:t>
      </w:r>
      <w:r>
        <w:rPr>
          <w:rFonts w:hint="eastAsia" w:ascii="宋体" w:hAnsi="宋体" w:eastAsia="方正仿宋简体" w:cs="方正仿宋简体"/>
          <w:b/>
          <w:bCs/>
          <w:color w:val="auto"/>
          <w:kern w:val="2"/>
          <w:sz w:val="32"/>
          <w:szCs w:val="32"/>
          <w:lang w:val="en-US" w:eastAsia="zh-CN" w:bidi="ar-SA"/>
        </w:rPr>
        <w:t>获得上级认可</w:t>
      </w:r>
      <w:r>
        <w:rPr>
          <w:rFonts w:hint="default" w:ascii="宋体" w:hAnsi="宋体" w:eastAsia="方正仿宋简体" w:cs="方正仿宋简体"/>
          <w:color w:val="auto"/>
          <w:kern w:val="2"/>
          <w:sz w:val="32"/>
          <w:szCs w:val="32"/>
          <w:lang w:val="en-US" w:eastAsia="zh-CN" w:bidi="ar-SA"/>
        </w:rPr>
        <w:t>。聚焦“6+4”重点行业领域，明确了10大类、14个重点领域具体整治任务</w:t>
      </w:r>
      <w:r>
        <w:rPr>
          <w:rFonts w:hint="eastAsia" w:ascii="宋体" w:hAnsi="宋体" w:eastAsia="方正仿宋简体" w:cs="方正仿宋简体"/>
          <w:color w:val="auto"/>
          <w:kern w:val="2"/>
          <w:sz w:val="32"/>
          <w:szCs w:val="32"/>
          <w:lang w:val="en-US" w:eastAsia="zh-CN" w:bidi="ar-SA"/>
        </w:rPr>
        <w:t>，</w:t>
      </w:r>
      <w:r>
        <w:rPr>
          <w:rFonts w:hint="default" w:ascii="宋体" w:hAnsi="宋体" w:eastAsia="方正仿宋简体" w:cs="方正仿宋简体"/>
          <w:color w:val="auto"/>
          <w:kern w:val="2"/>
          <w:sz w:val="32"/>
          <w:szCs w:val="32"/>
          <w:lang w:val="en-US" w:eastAsia="zh-CN" w:bidi="ar-SA"/>
        </w:rPr>
        <w:t>组建了11支专项</w:t>
      </w:r>
      <w:r>
        <w:rPr>
          <w:rFonts w:hint="eastAsia" w:ascii="宋体" w:hAnsi="宋体" w:eastAsia="方正仿宋简体" w:cs="方正仿宋简体"/>
          <w:color w:val="auto"/>
          <w:kern w:val="2"/>
          <w:sz w:val="32"/>
          <w:szCs w:val="32"/>
          <w:lang w:val="en-US" w:eastAsia="zh-CN" w:bidi="ar-SA"/>
        </w:rPr>
        <w:t>工作</w:t>
      </w:r>
      <w:r>
        <w:rPr>
          <w:rFonts w:hint="default" w:ascii="宋体" w:hAnsi="宋体" w:eastAsia="方正仿宋简体" w:cs="方正仿宋简体"/>
          <w:color w:val="auto"/>
          <w:kern w:val="2"/>
          <w:sz w:val="32"/>
          <w:szCs w:val="32"/>
          <w:lang w:val="en-US" w:eastAsia="zh-CN" w:bidi="ar-SA"/>
        </w:rPr>
        <w:t>小组</w:t>
      </w:r>
      <w:r>
        <w:rPr>
          <w:rFonts w:hint="eastAsia" w:ascii="宋体" w:hAnsi="宋体" w:eastAsia="方正仿宋简体" w:cs="方正仿宋简体"/>
          <w:color w:val="auto"/>
          <w:kern w:val="2"/>
          <w:sz w:val="32"/>
          <w:szCs w:val="32"/>
          <w:lang w:val="en-US" w:eastAsia="zh-CN" w:bidi="ar-SA"/>
        </w:rPr>
        <w:t>，</w:t>
      </w:r>
      <w:r>
        <w:rPr>
          <w:rFonts w:hint="default" w:ascii="宋体" w:hAnsi="宋体" w:eastAsia="方正仿宋简体" w:cs="方正仿宋简体"/>
          <w:color w:val="auto"/>
          <w:kern w:val="2"/>
          <w:sz w:val="32"/>
          <w:szCs w:val="32"/>
          <w:lang w:val="en-US" w:eastAsia="zh-CN" w:bidi="ar-SA"/>
        </w:rPr>
        <w:t>抽查了44个单位，全面推进财经秩序专项整治复查整改工作</w:t>
      </w:r>
      <w:r>
        <w:rPr>
          <w:rFonts w:hint="eastAsia" w:ascii="宋体" w:hAnsi="宋体" w:eastAsia="方正仿宋简体" w:cs="方正仿宋简体"/>
          <w:color w:val="auto"/>
          <w:kern w:val="2"/>
          <w:sz w:val="32"/>
          <w:szCs w:val="32"/>
          <w:lang w:val="en-US" w:eastAsia="zh-CN" w:bidi="ar-SA"/>
        </w:rPr>
        <w:t>取得实效。在迎接省财政厅检查中，检查组对我区资产管理等多个领域给予了高度评价。</w:t>
      </w:r>
    </w:p>
    <w:p>
      <w:pPr>
        <w:keepNext w:val="0"/>
        <w:keepLines w:val="0"/>
        <w:pageBreakBefore w:val="0"/>
        <w:widowControl w:val="0"/>
        <w:kinsoku/>
        <w:wordWrap/>
        <w:overflowPunct/>
        <w:topLinePunct w:val="0"/>
        <w:autoSpaceDE/>
        <w:autoSpaceDN/>
        <w:bidi w:val="0"/>
        <w:adjustRightInd/>
        <w:snapToGrid/>
        <w:spacing w:line="610" w:lineRule="exact"/>
        <w:ind w:firstLine="643" w:firstLineChars="200"/>
        <w:jc w:val="left"/>
        <w:textAlignment w:val="auto"/>
        <w:rPr>
          <w:rFonts w:hint="eastAsia" w:ascii="方正楷体_GBK" w:hAnsi="方正楷体_GBK" w:eastAsia="方正楷体_GBK" w:cs="方正楷体_GBK"/>
          <w:b/>
          <w:bCs/>
          <w:sz w:val="32"/>
          <w:szCs w:val="32"/>
          <w:lang w:eastAsia="zh-CN"/>
        </w:rPr>
      </w:pPr>
      <w:r>
        <w:rPr>
          <w:rFonts w:hint="eastAsia" w:ascii="宋体" w:hAnsi="宋体" w:eastAsia="方正楷体简体" w:cs="方正楷体简体"/>
          <w:b/>
          <w:bCs/>
          <w:color w:val="auto"/>
          <w:sz w:val="32"/>
          <w:szCs w:val="32"/>
          <w:lang w:val="en-US" w:eastAsia="zh-CN"/>
        </w:rPr>
        <w:t>（六）</w:t>
      </w:r>
      <w:r>
        <w:rPr>
          <w:rFonts w:hint="eastAsia" w:ascii="方正楷体_GBK" w:hAnsi="方正楷体_GBK" w:eastAsia="方正楷体_GBK" w:cs="方正楷体_GBK"/>
          <w:b/>
          <w:bCs/>
          <w:sz w:val="32"/>
          <w:szCs w:val="32"/>
          <w:lang w:eastAsia="zh-CN"/>
        </w:rPr>
        <w:t>强组织，抓教育，党建工作有序推进</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eastAsia="方正楷体简体"/>
          <w:b/>
          <w:color w:val="FF0000"/>
          <w:sz w:val="32"/>
          <w:szCs w:val="32"/>
          <w:lang w:eastAsia="zh-CN"/>
        </w:rPr>
      </w:pPr>
      <w:r>
        <w:rPr>
          <w:rFonts w:hint="eastAsia" w:ascii="Times New Roman" w:hAnsi="Times New Roman" w:eastAsia="方正仿宋简体" w:cs="方正仿宋简体"/>
          <w:b w:val="0"/>
          <w:bCs w:val="0"/>
          <w:color w:val="auto"/>
          <w:sz w:val="32"/>
          <w:szCs w:val="32"/>
          <w:lang w:eastAsia="zh-CN"/>
        </w:rPr>
        <w:t>牢固树立“抓好党建是本职、不抓党建是失职、抓不好党建是渎职”的责任意识，以党组（扩大）会等为抓手，及时制定《</w:t>
      </w:r>
      <w:r>
        <w:rPr>
          <w:rFonts w:hint="eastAsia" w:eastAsia="方正仿宋简体" w:cs="方正仿宋简体"/>
          <w:b w:val="0"/>
          <w:bCs w:val="0"/>
          <w:color w:val="auto"/>
          <w:sz w:val="32"/>
          <w:szCs w:val="32"/>
          <w:lang w:eastAsia="zh-CN"/>
        </w:rPr>
        <w:t>资阳市</w:t>
      </w:r>
      <w:r>
        <w:rPr>
          <w:rFonts w:hint="eastAsia" w:ascii="Times New Roman" w:hAnsi="Times New Roman" w:eastAsia="方正仿宋简体" w:cs="方正仿宋简体"/>
          <w:b w:val="0"/>
          <w:bCs w:val="0"/>
          <w:color w:val="auto"/>
          <w:sz w:val="32"/>
          <w:szCs w:val="32"/>
          <w:lang w:eastAsia="zh-CN"/>
        </w:rPr>
        <w:t>雁江区财政局202</w:t>
      </w:r>
      <w:r>
        <w:rPr>
          <w:rFonts w:hint="eastAsia" w:eastAsia="方正仿宋简体" w:cs="方正仿宋简体"/>
          <w:b w:val="0"/>
          <w:bCs w:val="0"/>
          <w:color w:val="auto"/>
          <w:sz w:val="32"/>
          <w:szCs w:val="32"/>
          <w:lang w:val="en-US" w:eastAsia="zh-CN"/>
        </w:rPr>
        <w:t>2</w:t>
      </w:r>
      <w:r>
        <w:rPr>
          <w:rFonts w:hint="eastAsia" w:ascii="Times New Roman" w:hAnsi="Times New Roman" w:eastAsia="方正仿宋简体" w:cs="方正仿宋简体"/>
          <w:b w:val="0"/>
          <w:bCs w:val="0"/>
          <w:color w:val="auto"/>
          <w:sz w:val="32"/>
          <w:szCs w:val="32"/>
          <w:lang w:eastAsia="zh-CN"/>
        </w:rPr>
        <w:t>年党建工作要点》，认真履行党组书记党建工作“第一责任人”责任，严格落实“四个亲自”要求，确保了党建工作的有序推进。扎实推动党史学习教育制度化常态化，积极践行全心全意为人民服务宗旨，持续推进“我为群众办实事”活动，</w:t>
      </w:r>
      <w:r>
        <w:rPr>
          <w:rFonts w:hint="eastAsia" w:ascii="Times New Roman" w:hAnsi="Times New Roman" w:eastAsia="方正仿宋简体" w:cs="方正仿宋简体"/>
          <w:b w:val="0"/>
          <w:bCs w:val="0"/>
          <w:color w:val="auto"/>
          <w:sz w:val="32"/>
          <w:szCs w:val="32"/>
          <w:lang w:val="en-US" w:eastAsia="zh-CN"/>
        </w:rPr>
        <w:t>2022年，</w:t>
      </w:r>
      <w:r>
        <w:rPr>
          <w:rFonts w:hint="eastAsia" w:ascii="Times New Roman" w:hAnsi="Times New Roman" w:eastAsia="方正仿宋简体" w:cs="方正仿宋简体"/>
          <w:b w:val="0"/>
          <w:bCs w:val="0"/>
          <w:color w:val="auto"/>
          <w:sz w:val="32"/>
          <w:szCs w:val="32"/>
          <w:lang w:eastAsia="zh-CN"/>
        </w:rPr>
        <w:t>领党员干部带头深入包联社区、联系镇村和防疫一线，开展志愿服务58次，解决项目实事6个、个人实事71件；积极回应群众关切，与市上同步兑付了2016-2017年购房补贴奖励剩余部分9035.34万元。将党风廉政建设纳入党建工作要点，严格履行全面从严治党政治责任，牢牢把握意识形态工作主导权，经常性开展警示教育，常态化通报典型案例，做到警钟长鸣，筑牢防腐拒变的思想防线。制发《雁江区财政局2022年党风廉政建设和反腐工作要点》，全年党组书记讲廉政党课7次，开展集中廉政谈话3次，谈心谈话履盖干部职工61人。累计查找到廉政风险点200余个，制定风险防控举措300余条。深化干部人事制度改革，持续优化岗位人员配置，强化干部队伍建设大力推进竞争上岗制度，2022年局内人事岗位调整3次，新选任中层干部4人。将创先争优的理念融入中心工作、融入岗位职责，加大总结表扬力度，2022年表彰党建先进基层党组织1个、先进个人13名，财政工作先进集体5个、先进个人10名、优秀中层干部6名、融资化债工作先进个人8名、优秀财政工作者2名，财政干部攻坚克难的斗志和干事创业的激情被充分激发。</w:t>
      </w:r>
    </w:p>
    <w:p>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部门整体支出绩效目标。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ascii="Times New Roman" w:hAnsi="Times New Roman" w:eastAsia="方正仿宋简体" w:cs="方正仿宋简体"/>
          <w:b w:val="0"/>
          <w:bCs w:val="0"/>
          <w:color w:val="auto"/>
          <w:sz w:val="32"/>
          <w:szCs w:val="32"/>
          <w:lang w:val="zh-CN" w:eastAsia="zh-CN"/>
        </w:rPr>
      </w:pPr>
      <w:r>
        <w:rPr>
          <w:rFonts w:hint="eastAsia" w:ascii="Times New Roman" w:hAnsi="Times New Roman" w:eastAsia="方正仿宋简体" w:cs="方正仿宋简体"/>
          <w:b w:val="0"/>
          <w:bCs w:val="0"/>
          <w:color w:val="auto"/>
          <w:sz w:val="32"/>
          <w:szCs w:val="32"/>
          <w:lang w:eastAsia="zh-CN"/>
        </w:rPr>
        <w:t>一是强化债券资金争取，做好到期债务化解，防范隐性债务风险。二是加强行政事业单位资产管理，充分挖掘闲置资产潜力。三是健全乡村振兴多元投入机制，强化乡村振兴资金保障。四是开展地方财经专项整治行动，资金使用绩效评价，财政投资评审工作。五是持续推进政府采购改革、国库集中支付改革、预算管理一体化建设。六是抓牢财政收入组织，强化民生基本保障，加大基层运转投入，强化民生事业保障力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二、</w:t>
      </w:r>
      <w:r>
        <w:rPr>
          <w:rFonts w:hint="eastAsia" w:ascii="黑体" w:hAnsi="宋体" w:eastAsia="黑体" w:cs="宋体"/>
          <w:color w:val="auto"/>
          <w:kern w:val="0"/>
          <w:sz w:val="32"/>
          <w:szCs w:val="32"/>
          <w:highlight w:val="none"/>
          <w:shd w:val="clear" w:color="auto" w:fill="FFFFFF"/>
          <w:lang w:eastAsia="zh-CN"/>
        </w:rPr>
        <w:t>部门</w:t>
      </w:r>
      <w:r>
        <w:rPr>
          <w:rFonts w:hint="eastAsia" w:ascii="黑体" w:hAnsi="宋体" w:eastAsia="黑体" w:cs="宋体"/>
          <w:color w:val="auto"/>
          <w:kern w:val="0"/>
          <w:sz w:val="32"/>
          <w:szCs w:val="32"/>
          <w:highlight w:val="none"/>
          <w:shd w:val="clear" w:color="auto" w:fill="FFFFFF"/>
        </w:rPr>
        <w:t>资金收支情况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（一）部门总体收支情况。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pPr>
        <w:pStyle w:val="8"/>
        <w:ind w:firstLine="640" w:firstLineChars="200"/>
        <w:rPr>
          <w:rFonts w:hint="eastAsia"/>
          <w:lang w:val="en-US" w:eastAsia="zh-CN"/>
        </w:rPr>
      </w:pPr>
      <w:r>
        <w:rPr>
          <w:rFonts w:hint="eastAsia"/>
          <w:lang w:val="en-US" w:eastAsia="zh-CN"/>
        </w:rPr>
        <w:t>2022年全年总收入1811.68万元，其中，财政拨款收入1811.68万元，政府性基金预算财政拨款收入0万元，约占0%；国有资本经营预算财政拨款收入0万元，占0%；事业收入0万元，占0%；经营收入0万元，占0%；附属单位上缴收入0万元，占0%；其他收入0万元，占0%。</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pPr>
        <w:pStyle w:val="8"/>
        <w:widowControl w:val="0"/>
        <w:numPr>
          <w:ilvl w:val="0"/>
          <w:numId w:val="0"/>
        </w:numPr>
        <w:ind w:firstLine="640" w:firstLineChars="200"/>
        <w:jc w:val="both"/>
        <w:rPr>
          <w:rFonts w:hint="eastAsia"/>
          <w:lang w:val="en-US" w:eastAsia="zh-CN"/>
        </w:rPr>
      </w:pPr>
      <w:r>
        <w:rPr>
          <w:rFonts w:hint="eastAsia"/>
          <w:lang w:val="en-US" w:eastAsia="zh-CN"/>
        </w:rPr>
        <w:t>2022年全年总支出1809.69万元，一般公共服务支出1587.48万元，社会保障和就业支出124.2万元，卫生健康支出40.02万元，住房保障支出57.99万元。</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3.部门总体结转结余情况</w:t>
      </w:r>
    </w:p>
    <w:p>
      <w:pPr>
        <w:pStyle w:val="8"/>
        <w:widowControl w:val="0"/>
        <w:numPr>
          <w:ilvl w:val="0"/>
          <w:numId w:val="0"/>
        </w:numPr>
        <w:ind w:firstLine="640" w:firstLineChars="200"/>
        <w:jc w:val="both"/>
        <w:rPr>
          <w:rFonts w:hint="default"/>
          <w:color w:val="auto"/>
          <w:lang w:val="en-US" w:eastAsia="zh-CN"/>
        </w:rPr>
      </w:pPr>
      <w:r>
        <w:rPr>
          <w:rFonts w:hint="eastAsia"/>
          <w:color w:val="auto"/>
          <w:lang w:val="en-US" w:eastAsia="zh-CN"/>
        </w:rPr>
        <w:t>2021年结转结余18.08万元。2022年无结转结余。</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（二）部门财政拨款收支情况。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pPr>
        <w:pStyle w:val="8"/>
        <w:ind w:firstLine="640" w:firstLineChars="200"/>
        <w:rPr>
          <w:rFonts w:hint="eastAsia"/>
          <w:color w:val="auto"/>
          <w:lang w:val="en-US" w:eastAsia="zh-CN"/>
        </w:rPr>
      </w:pPr>
      <w:r>
        <w:rPr>
          <w:rFonts w:hint="eastAsia"/>
          <w:color w:val="auto"/>
          <w:lang w:val="en-US" w:eastAsia="zh-CN"/>
        </w:rPr>
        <w:t>2022年全年财政拨款收入1811.68万元。</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pPr>
        <w:spacing w:line="600" w:lineRule="exact"/>
        <w:ind w:firstLine="640"/>
        <w:rPr>
          <w:rFonts w:hint="eastAsia" w:ascii="Times New Roman" w:hAnsi="Times New Roman" w:eastAsia="仿宋_GB2312" w:cs="Times New Roman"/>
          <w:color w:val="000000"/>
          <w:sz w:val="32"/>
          <w:szCs w:val="32"/>
          <w:lang w:val="zh-CN"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1811.68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color w:val="auto"/>
          <w:sz w:val="32"/>
          <w:szCs w:val="32"/>
          <w:highlight w:val="none"/>
        </w:rPr>
        <w:t>一般公共服务支出</w:t>
      </w:r>
      <w:r>
        <w:rPr>
          <w:rFonts w:hint="eastAsia" w:ascii="仿宋" w:hAnsi="仿宋" w:eastAsia="仿宋"/>
          <w:color w:val="auto"/>
          <w:sz w:val="32"/>
          <w:szCs w:val="32"/>
          <w:highlight w:val="none"/>
          <w:lang w:val="en-US" w:eastAsia="zh-CN"/>
        </w:rPr>
        <w:t>1587.47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87.62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Times New Roman" w:hAnsi="Times New Roman" w:eastAsia="仿宋_GB2312" w:cs="Times New Roman"/>
          <w:color w:val="000000"/>
          <w:sz w:val="32"/>
          <w:szCs w:val="32"/>
          <w:lang w:val="zh-CN" w:eastAsia="zh-CN"/>
        </w:rPr>
        <w:t>社会保障和就业支出</w:t>
      </w:r>
      <w:r>
        <w:rPr>
          <w:rFonts w:hint="eastAsia" w:eastAsia="仿宋_GB2312" w:cs="Times New Roman"/>
          <w:color w:val="000000"/>
          <w:sz w:val="32"/>
          <w:szCs w:val="32"/>
          <w:lang w:val="en-US" w:eastAsia="zh-CN"/>
        </w:rPr>
        <w:t>124.21</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6.86</w:t>
      </w:r>
      <w:r>
        <w:rPr>
          <w:rFonts w:hint="eastAsia" w:ascii="Times New Roman" w:hAnsi="Times New Roman" w:eastAsia="仿宋_GB2312" w:cs="Times New Roman"/>
          <w:color w:val="000000"/>
          <w:sz w:val="32"/>
          <w:szCs w:val="32"/>
          <w:lang w:val="zh-CN" w:eastAsia="zh-CN"/>
        </w:rPr>
        <w:t>%；卫生健康支出</w:t>
      </w:r>
      <w:r>
        <w:rPr>
          <w:rFonts w:hint="eastAsia" w:eastAsia="仿宋_GB2312" w:cs="Times New Roman"/>
          <w:color w:val="000000"/>
          <w:sz w:val="32"/>
          <w:szCs w:val="32"/>
          <w:lang w:val="en-US" w:eastAsia="zh-CN"/>
        </w:rPr>
        <w:t>42.01</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2.32</w:t>
      </w:r>
      <w:r>
        <w:rPr>
          <w:rFonts w:hint="eastAsia" w:ascii="Times New Roman" w:hAnsi="Times New Roman" w:eastAsia="仿宋_GB2312" w:cs="Times New Roman"/>
          <w:color w:val="000000"/>
          <w:sz w:val="32"/>
          <w:szCs w:val="32"/>
          <w:lang w:val="zh-CN" w:eastAsia="zh-CN"/>
        </w:rPr>
        <w:t>%；住房保障支出</w:t>
      </w:r>
      <w:r>
        <w:rPr>
          <w:rFonts w:hint="eastAsia" w:eastAsia="仿宋_GB2312" w:cs="Times New Roman"/>
          <w:color w:val="000000"/>
          <w:sz w:val="32"/>
          <w:szCs w:val="32"/>
          <w:lang w:val="en-US" w:eastAsia="zh-CN"/>
        </w:rPr>
        <w:t>57.99</w:t>
      </w:r>
      <w:r>
        <w:rPr>
          <w:rFonts w:hint="eastAsia" w:ascii="Times New Roman" w:hAnsi="Times New Roman" w:eastAsia="仿宋_GB2312" w:cs="Times New Roman"/>
          <w:color w:val="000000"/>
          <w:sz w:val="32"/>
          <w:szCs w:val="32"/>
          <w:lang w:val="zh-CN" w:eastAsia="zh-CN"/>
        </w:rPr>
        <w:t>万元，占</w:t>
      </w:r>
      <w:r>
        <w:rPr>
          <w:rFonts w:hint="eastAsia" w:eastAsia="仿宋_GB2312" w:cs="Times New Roman"/>
          <w:color w:val="000000"/>
          <w:sz w:val="32"/>
          <w:szCs w:val="32"/>
          <w:lang w:val="en-US" w:eastAsia="zh-CN"/>
        </w:rPr>
        <w:t>3.2</w:t>
      </w:r>
      <w:r>
        <w:rPr>
          <w:rFonts w:hint="eastAsia" w:ascii="Times New Roman" w:hAnsi="Times New Roman" w:eastAsia="仿宋_GB2312" w:cs="Times New Roman"/>
          <w:color w:val="000000"/>
          <w:sz w:val="32"/>
          <w:szCs w:val="32"/>
          <w:lang w:val="zh-CN" w:eastAsia="zh-CN"/>
        </w:rPr>
        <w:t>%。</w:t>
      </w:r>
    </w:p>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pPr>
        <w:pStyle w:val="8"/>
        <w:widowControl w:val="0"/>
        <w:numPr>
          <w:ilvl w:val="0"/>
          <w:numId w:val="0"/>
        </w:numPr>
        <w:ind w:firstLine="640" w:firstLineChars="200"/>
        <w:jc w:val="both"/>
        <w:rPr>
          <w:rFonts w:hint="default"/>
          <w:color w:val="auto"/>
          <w:lang w:val="en-US" w:eastAsia="zh-CN"/>
        </w:rPr>
      </w:pPr>
      <w:r>
        <w:rPr>
          <w:rFonts w:hint="eastAsia"/>
          <w:color w:val="auto"/>
          <w:lang w:val="en-US" w:eastAsia="zh-CN"/>
        </w:rPr>
        <w:t>2021年</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财政拨款</w:t>
      </w:r>
      <w:r>
        <w:rPr>
          <w:rFonts w:hint="eastAsia"/>
          <w:color w:val="auto"/>
          <w:lang w:val="en-US" w:eastAsia="zh-CN"/>
        </w:rPr>
        <w:t>结转结余18.07万元。2022年无结转结余。</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三、</w:t>
      </w:r>
      <w:r>
        <w:rPr>
          <w:rFonts w:hint="eastAsia" w:ascii="黑体" w:hAnsi="宋体" w:eastAsia="黑体" w:cs="宋体"/>
          <w:color w:val="auto"/>
          <w:kern w:val="0"/>
          <w:sz w:val="32"/>
          <w:szCs w:val="32"/>
          <w:highlight w:val="none"/>
          <w:u w:val="none"/>
          <w:shd w:val="clear" w:color="auto" w:fill="FFFFFF"/>
        </w:rPr>
        <w:t>部门整体绩效</w:t>
      </w:r>
      <w:r>
        <w:rPr>
          <w:rFonts w:hint="eastAsia" w:ascii="黑体" w:hAnsi="宋体" w:eastAsia="黑体" w:cs="宋体"/>
          <w:color w:val="auto"/>
          <w:kern w:val="0"/>
          <w:sz w:val="32"/>
          <w:szCs w:val="32"/>
          <w:highlight w:val="none"/>
          <w:u w:val="none"/>
          <w:shd w:val="clear" w:color="auto" w:fill="FFFFFF"/>
          <w:lang w:eastAsia="zh-CN"/>
        </w:rPr>
        <w:t>分析</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p>
    <w:p>
      <w:pPr>
        <w:widowControl/>
        <w:adjustRightInd w:val="0"/>
        <w:snapToGrid w:val="0"/>
        <w:spacing w:line="572" w:lineRule="exact"/>
        <w:ind w:firstLine="640" w:firstLineChars="200"/>
        <w:contextualSpacing/>
        <w:jc w:val="left"/>
        <w:rPr>
          <w:rFonts w:hint="default" w:ascii="仿宋_GB2312" w:hAnsi="Times New Roman" w:eastAsia="仿宋_GB2312" w:cs="仿宋"/>
          <w:color w:val="auto"/>
          <w:kern w:val="0"/>
          <w:sz w:val="32"/>
          <w:szCs w:val="32"/>
          <w:lang w:val="en-US" w:eastAsia="zh-CN" w:bidi="ar-SA"/>
        </w:rPr>
      </w:pPr>
      <w:r>
        <w:rPr>
          <w:rFonts w:hint="eastAsia" w:ascii="仿宋_GB2312" w:hAnsi="Times New Roman" w:eastAsia="仿宋_GB2312" w:cs="仿宋"/>
          <w:color w:val="auto"/>
          <w:kern w:val="0"/>
          <w:sz w:val="32"/>
          <w:szCs w:val="32"/>
          <w:lang w:val="zh-CN" w:eastAsia="zh-CN" w:bidi="ar-SA"/>
        </w:rPr>
        <w:t>区财政局部门绩效目标制定共计</w:t>
      </w:r>
      <w:r>
        <w:rPr>
          <w:rFonts w:hint="eastAsia" w:ascii="仿宋_GB2312" w:hAnsi="Times New Roman" w:eastAsia="仿宋_GB2312" w:cs="仿宋"/>
          <w:color w:val="auto"/>
          <w:kern w:val="0"/>
          <w:sz w:val="32"/>
          <w:szCs w:val="32"/>
          <w:lang w:val="en-US" w:eastAsia="zh-CN" w:bidi="ar-SA"/>
        </w:rPr>
        <w:t>18</w:t>
      </w:r>
      <w:r>
        <w:rPr>
          <w:rFonts w:hint="eastAsia" w:ascii="仿宋_GB2312" w:eastAsia="仿宋_GB2312" w:cs="仿宋"/>
          <w:color w:val="auto"/>
          <w:kern w:val="0"/>
          <w:sz w:val="32"/>
          <w:szCs w:val="32"/>
          <w:lang w:val="en-US" w:eastAsia="zh-CN" w:bidi="ar-SA"/>
        </w:rPr>
        <w:t>11.68</w:t>
      </w:r>
      <w:r>
        <w:rPr>
          <w:rFonts w:hint="eastAsia" w:ascii="仿宋_GB2312" w:hAnsi="Times New Roman" w:eastAsia="仿宋_GB2312" w:cs="仿宋"/>
          <w:color w:val="auto"/>
          <w:kern w:val="0"/>
          <w:sz w:val="32"/>
          <w:szCs w:val="32"/>
          <w:lang w:val="zh-CN" w:eastAsia="zh-CN" w:bidi="ar-SA"/>
        </w:rPr>
        <w:t>万元。其中人员类经费</w:t>
      </w:r>
      <w:r>
        <w:rPr>
          <w:rFonts w:hint="eastAsia" w:ascii="仿宋_GB2312" w:eastAsia="仿宋_GB2312" w:cs="仿宋"/>
          <w:color w:val="auto"/>
          <w:kern w:val="0"/>
          <w:sz w:val="32"/>
          <w:szCs w:val="32"/>
          <w:lang w:val="en-US" w:eastAsia="zh-CN" w:bidi="ar-SA"/>
        </w:rPr>
        <w:t>951.38</w:t>
      </w:r>
      <w:r>
        <w:rPr>
          <w:rFonts w:hint="eastAsia" w:ascii="仿宋_GB2312" w:hAnsi="Times New Roman" w:eastAsia="仿宋_GB2312" w:cs="仿宋"/>
          <w:color w:val="auto"/>
          <w:kern w:val="0"/>
          <w:sz w:val="32"/>
          <w:szCs w:val="32"/>
          <w:lang w:val="zh-CN" w:eastAsia="zh-CN" w:bidi="ar-SA"/>
        </w:rPr>
        <w:t>万元，运转类经费</w:t>
      </w:r>
      <w:r>
        <w:rPr>
          <w:rFonts w:hint="eastAsia" w:ascii="仿宋_GB2312" w:hAnsi="Times New Roman" w:eastAsia="仿宋_GB2312" w:cs="仿宋"/>
          <w:color w:val="auto"/>
          <w:kern w:val="0"/>
          <w:sz w:val="32"/>
          <w:szCs w:val="32"/>
          <w:lang w:val="en-US" w:eastAsia="zh-CN" w:bidi="ar-SA"/>
        </w:rPr>
        <w:t>125.62</w:t>
      </w:r>
      <w:r>
        <w:rPr>
          <w:rFonts w:hint="eastAsia" w:ascii="仿宋_GB2312" w:hAnsi="Times New Roman" w:eastAsia="仿宋_GB2312" w:cs="仿宋"/>
          <w:color w:val="auto"/>
          <w:kern w:val="0"/>
          <w:sz w:val="32"/>
          <w:szCs w:val="32"/>
          <w:lang w:val="zh-CN" w:eastAsia="zh-CN" w:bidi="ar-SA"/>
        </w:rPr>
        <w:t>万元，特定项目类经费</w:t>
      </w:r>
      <w:r>
        <w:rPr>
          <w:rFonts w:hint="eastAsia" w:ascii="仿宋_GB2312" w:eastAsia="仿宋_GB2312" w:cs="仿宋"/>
          <w:color w:val="auto"/>
          <w:kern w:val="0"/>
          <w:sz w:val="32"/>
          <w:szCs w:val="32"/>
          <w:lang w:val="en-US" w:eastAsia="zh-CN" w:bidi="ar-SA"/>
        </w:rPr>
        <w:t>764.40</w:t>
      </w:r>
      <w:r>
        <w:rPr>
          <w:rFonts w:hint="eastAsia" w:ascii="仿宋_GB2312" w:hAnsi="Times New Roman" w:eastAsia="仿宋_GB2312" w:cs="仿宋"/>
          <w:color w:val="auto"/>
          <w:kern w:val="0"/>
          <w:sz w:val="32"/>
          <w:szCs w:val="32"/>
          <w:lang w:val="en-US" w:eastAsia="zh-CN" w:bidi="ar-SA"/>
        </w:rPr>
        <w:t>万元。</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包括部门绩效目标制定、目标实现、支出控制、及时处置、执行进度、预算完成情况、资金结余率（低效无效率）和违规记录等情况。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年初人员类项目绩效目标制定严格执行相关政策，保障人员经费及时发放、足额发放，预算编制科学合理，减少结余资金。</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根据相关财务制度和相关办案经费支出标准，严格支出相关费用，优化经费支出结构，提高资金使用效益，提高资金支出率，加快支出进度。</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资金使用严格执行财务制度，资金的拨付有完整的审批程序和手续，资金支付符合项目预算批复或合同规定的用途，不存在截留、挤占、挪用、虚列支出等情况。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绩效目标实际完成情况：全年绩效目标圆满完成，完成率100%。</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年初运转类项目绩效目标制定严格执行相关政策，保障单位日常运转，提高预算编制质量，严格执行预算，无结余资金。</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根据相关财务制度和相关办案经费支出标准，严格支出相关费用，优化经费支出结构，提高资金使用效益，提高资金支出率，加快支出进度。</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资金使用严格执行财务制度，资金的拨付有完整的审批程序和手续，资金支付符合项目预算批复或合同规定的用途，不存在截留、挤占、挪用、虚列支出等情况。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绩效目标实际完成情况：全年绩效目标圆满完成，完成率100%。</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3.特定目标类项目绩效分析</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年初特定目标类项目绩效目标制定立项依据充分，符合国家法律法规及相关政策，符合行业发展规划和政策要求；项目立项与部门职责范围相符，属于部门履职所需。项目申请、设立过程符合要求，事前经过了可行性研究、绩效评估，项目设置了绩效目标，绩效目标与实际工作内容相关，预期产出效益和效果符合正常的业绩水平，绩效目标与预算确定的项目资金量相匹配。项目绩效目标进行了细化分解，指标值清晰、可衡量，绩效指标与项目目标任务、计划数相对应，但项目规划编制成果未能细化分解成具体指标。</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预算编制经过了科学论证，预算确定的资金量与工作任务相匹配，项目资金根据实际需求分配，依据基本充分。项目资金分配额度合理，与项目实际需求相适应。</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项目资金使用严格执行财务制度，资金的拨付有完整的审批程序和手续。资金支付符合项目预算批复或合同规定的用途，不存在截留、挤占、挪用、虚列支出等情况。项目有相应财务和业务管理制度，制度合法、合规、完整。</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绩效目标实际完成情况：全年绩效目标圆满完成，完成率100%。</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（二）部门整体履职绩效分析。</w:t>
      </w:r>
    </w:p>
    <w:p>
      <w:pPr>
        <w:pStyle w:val="3"/>
        <w:pageBreakBefore w:val="0"/>
        <w:widowControl w:val="0"/>
        <w:kinsoku/>
        <w:wordWrap/>
        <w:overflowPunct/>
        <w:topLinePunct w:val="0"/>
        <w:autoSpaceDE/>
        <w:autoSpaceDN/>
        <w:bidi w:val="0"/>
        <w:adjustRightInd/>
        <w:snapToGrid/>
        <w:spacing w:before="0" w:after="0" w:line="600" w:lineRule="exact"/>
        <w:ind w:firstLine="660" w:firstLineChars="200"/>
        <w:jc w:val="both"/>
        <w:textAlignment w:val="auto"/>
        <w:rPr>
          <w:rFonts w:hint="eastAsia" w:ascii="宋体" w:hAnsi="宋体" w:eastAsia="方正仿宋简体" w:cs="Times New Roman"/>
          <w:b w:val="0"/>
          <w:bCs w:val="0"/>
          <w:kern w:val="2"/>
          <w:sz w:val="33"/>
          <w:szCs w:val="33"/>
          <w:lang w:val="en-US" w:eastAsia="zh-CN" w:bidi="ar-SA"/>
        </w:rPr>
      </w:pPr>
      <w:r>
        <w:rPr>
          <w:rFonts w:hint="eastAsia" w:ascii="宋体" w:hAnsi="宋体" w:eastAsia="方正仿宋简体" w:cs="Times New Roman"/>
          <w:b w:val="0"/>
          <w:bCs w:val="0"/>
          <w:kern w:val="2"/>
          <w:sz w:val="33"/>
          <w:szCs w:val="33"/>
          <w:lang w:val="en-US" w:eastAsia="zh-CN" w:bidi="ar-SA"/>
        </w:rPr>
        <w:t>1.目标设定分析（5分）</w:t>
      </w:r>
    </w:p>
    <w:p>
      <w:pPr>
        <w:pageBreakBefore w:val="0"/>
        <w:widowControl w:val="0"/>
        <w:kinsoku/>
        <w:wordWrap/>
        <w:overflowPunct/>
        <w:topLinePunct w:val="0"/>
        <w:autoSpaceDE/>
        <w:autoSpaceDN/>
        <w:bidi w:val="0"/>
        <w:adjustRightInd/>
        <w:snapToGrid/>
        <w:spacing w:line="600" w:lineRule="exact"/>
        <w:ind w:firstLine="660" w:firstLineChars="200"/>
        <w:jc w:val="both"/>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部门整体年度绩效目标（2分）较合理。①本部门绩效目标符合《预算法》《财政部关于加快地方政府专项债券发行使用有关工作的通知》（财预〔2020〕94号），明确进一步优化财政收支结构和化解政府性债务风险；符合国家法律法规、国民经济和社会发展总体规划；②部门年度实施的重点项目”预算绩效管理监督检查工作经费”“财政投资评审经费”与本部门（单位）“贯彻执行地方政府债务管理制度和政策，制定全区地方政府债务管理具体办法并组织实施，按规定负责地方政府债券使用、管理和监督”、“负责全面实施预算绩效管理“等的职能密切相关。③2022年，我局配合区政府协调工作，未针对部门情况制定相应的中长期规划，因此绩效目标与中长期规划的相符性难以考察，此处扣0.5分。综上，扣除0.5分，此项得1.5分。</w:t>
      </w:r>
    </w:p>
    <w:p>
      <w:pPr>
        <w:pStyle w:val="41"/>
        <w:spacing w:line="360" w:lineRule="auto"/>
        <w:ind w:firstLine="660" w:firstLineChars="200"/>
        <w:jc w:val="both"/>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部门整体年度绩效指标（3分）较明确。①部门整体的年度绩效目标为:强化债券资金争取，做好到期债务化解；加大乡村振兴多元投入机制，全面落实乡村振兴财政政策；推进政府采购、国库集中支付改革，推进预算管理一体化建设，强化基本民生保障；开展资金使用绩效评价，财政投资评审工作；加强行政事业资产管理，挖掘闲置资产潜力。将绩效目标细化分解为了具体的工作任务；②部门整体的绩效目标部分量化为绩效指标，设置了开展财政投资评审工作送审项目数量≥200个、政府采购一体化平台完成采购项目数≥50个等数量指标3条；设置了财政评审报告接收率=100%、工资发放准确率=100%等质量指标2条；设置了全区经济发展运行等社会效益指标等1条；设置了服务单位满意度≥90%等受益对象满意度1条。绩效指标均量化、清晰，可衡量。但存在部分绩效目标未量化为绩效指标（如守住债务风险），以及指标归类不正确（如工资发放准确率=100%为质量指标）等问题，此处扣0.2分。③主要数量指标及效益指标与部门年度重点支出项目大致对应，详见表5-1，但存在个别重点支出项目关键数量指标及效益指标未纳入部门整体指标，且部分履职未有对应项目，此处扣0.2分；④在绩效目标表中，本部门基本支出727.80万元、项目支出919.3万元，与本年度部门预算资金1647.10万元相匹配。综上，扣除0.4分，此项得2.6分。</w:t>
      </w:r>
    </w:p>
    <w:p>
      <w:pPr>
        <w:pStyle w:val="41"/>
        <w:spacing w:line="360" w:lineRule="auto"/>
        <w:ind w:firstLine="660" w:firstLineChars="200"/>
        <w:jc w:val="both"/>
        <w:rPr>
          <w:rFonts w:hint="eastAsia" w:ascii="宋体" w:hAnsi="宋体" w:eastAsia="方正仿宋简体" w:cs="Times New Roman"/>
          <w:b w:val="0"/>
          <w:bCs w:val="0"/>
          <w:kern w:val="2"/>
          <w:sz w:val="33"/>
          <w:szCs w:val="33"/>
          <w:lang w:val="en-US" w:eastAsia="zh-CN" w:bidi="ar-SA"/>
        </w:rPr>
      </w:pPr>
      <w:r>
        <w:rPr>
          <w:rFonts w:hint="eastAsia" w:ascii="宋体" w:hAnsi="宋体" w:eastAsia="方正仿宋简体" w:cs="Times New Roman"/>
          <w:b w:val="0"/>
          <w:bCs w:val="0"/>
          <w:kern w:val="2"/>
          <w:sz w:val="33"/>
          <w:szCs w:val="33"/>
          <w:lang w:val="en-US" w:eastAsia="zh-CN" w:bidi="ar-SA"/>
        </w:rPr>
        <w:t>2.预算配置分析（15分）</w:t>
      </w:r>
    </w:p>
    <w:p>
      <w:pPr>
        <w:pStyle w:val="41"/>
        <w:spacing w:line="360" w:lineRule="auto"/>
        <w:ind w:firstLine="660" w:firstLineChars="200"/>
        <w:jc w:val="both"/>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（1）在职人员控制率（5分）</w:t>
      </w:r>
    </w:p>
    <w:p>
      <w:pPr>
        <w:pStyle w:val="41"/>
        <w:spacing w:line="360" w:lineRule="auto"/>
        <w:ind w:firstLine="660" w:firstLineChars="200"/>
        <w:jc w:val="both"/>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本部门在职人员控制率83.78%。截止2022年底，实有编制62人，机构编制部门核定批复的部门（单位）的人员编制数74人。在职人员控制率83.78%，小于100%。此项得5分。</w:t>
      </w:r>
    </w:p>
    <w:p>
      <w:pPr>
        <w:pStyle w:val="5"/>
        <w:keepNext/>
        <w:keepLines/>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（2）“三公经费”变动率（5分）</w:t>
      </w:r>
    </w:p>
    <w:p>
      <w:pPr>
        <w:pStyle w:val="5"/>
        <w:keepNext/>
        <w:keepLines/>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“三公经费”增加率48.97%。2021年“三公经费”决算数为9.19万元，2022年“三公经费”的决算数为13.69万元；“三公经费”增加4.5万元，“三公经费”增加率48.97%。此项扣除2.45分，得2.55分。</w:t>
      </w:r>
    </w:p>
    <w:p>
      <w:pPr>
        <w:pStyle w:val="5"/>
        <w:keepNext/>
        <w:keepLines/>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（3）重点支出安排率（5分）</w:t>
      </w:r>
    </w:p>
    <w:p>
      <w:pPr>
        <w:pStyle w:val="2"/>
        <w:pageBreakBefore w:val="0"/>
        <w:widowControl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重点支出安排率100%。年度与本部门履职和发展密切相关、具有明显社会和经济影响、党委政府关心或社会比较关注的项目支出14个，重点支出决算数764.41万元；部门年度项目支出决算数764.41万元；重点支出安排率764.41万元/764.41万元*100%=100%。年度重点支出项目数量14个，实际完成14个。详见表5-2。此项得5分。</w:t>
      </w:r>
    </w:p>
    <w:p>
      <w:pPr>
        <w:pStyle w:val="5"/>
        <w:keepNext/>
        <w:keepLines/>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宋体" w:hAnsi="宋体" w:eastAsia="方正仿宋简体" w:cs="Times New Roman"/>
          <w:b w:val="0"/>
          <w:bCs w:val="0"/>
          <w:kern w:val="2"/>
          <w:sz w:val="33"/>
          <w:szCs w:val="33"/>
          <w:lang w:val="en-US" w:eastAsia="zh-CN" w:bidi="ar-SA"/>
        </w:rPr>
      </w:pPr>
      <w:r>
        <w:rPr>
          <w:rFonts w:hint="eastAsia" w:ascii="宋体" w:hAnsi="宋体" w:eastAsia="方正仿宋简体" w:cs="Times New Roman"/>
          <w:b w:val="0"/>
          <w:bCs w:val="0"/>
          <w:kern w:val="2"/>
          <w:sz w:val="33"/>
          <w:szCs w:val="33"/>
          <w:lang w:val="en-US" w:eastAsia="zh-CN" w:bidi="ar-SA"/>
        </w:rPr>
        <w:t>3.预算执行分析（20分）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（1）预算完成率（4分）。预算完成率100%。此项得4分。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（2）预算调整率（2分）。预算调整率9.88%，此项扣除0.2分，得1.8分。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（3）支付进度率（2分）。支付进度率100%。完成年终进度和按季度完成预算进度。此项得2分。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（4）结转结余率（2分）。</w:t>
      </w:r>
      <w:bookmarkStart w:id="60" w:name="_Hlk134791824"/>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结转结余率0.987%</w:t>
      </w:r>
      <w:bookmarkEnd w:id="60"/>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。未达到预期目标值0%，低于5%。此项扣除1分，得1分。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（5）结转结余变动率（2分）。结转结余变动率0%。本年度累计结转结余资金总额18.07万元，上年度累计结转结余资金总额18.07万元。结转结余变动率低于15%。此项得2分。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（6）公用经费控制率（2分）。公用经费控制率70.77%。2022年度，本部门公用经费年初预算为135.50万元，实际支出95.90元，支出数在年初预算控制数内，公用经费</w:t>
      </w:r>
      <w:bookmarkStart w:id="75" w:name="_GoBack"/>
      <w:bookmarkEnd w:id="75"/>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控制率70.77%。此项得2分。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（7）“三公经费”控制率（2分）。“三公经费”控制率100%。2022年度，本部门“三公经费”年初预算为13.69万元，实际支出13.69元，支出数在年初预算控制数内，“三公经费”控制率100%。此项得2分。</w:t>
      </w:r>
    </w:p>
    <w:p>
      <w:pPr>
        <w:pStyle w:val="2"/>
        <w:pageBreakBefore w:val="0"/>
        <w:kinsoku/>
        <w:wordWrap/>
        <w:overflowPunct/>
        <w:topLinePunct w:val="0"/>
        <w:autoSpaceDE/>
        <w:autoSpaceDN/>
        <w:bidi w:val="0"/>
        <w:adjustRightInd/>
        <w:snapToGrid/>
        <w:spacing w:after="0" w:line="600" w:lineRule="exact"/>
        <w:ind w:firstLine="660" w:firstLineChars="2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（8）政府采购执行率（4分）。2022年，我部门年初政府采购预算6.16万元，实际政府采购金额为4.76万元，政府采购执行率为77.27%。此项不得分。</w:t>
      </w:r>
    </w:p>
    <w:p>
      <w:pPr>
        <w:pStyle w:val="5"/>
        <w:pageBreakBefore w:val="0"/>
        <w:kinsoku/>
        <w:wordWrap/>
        <w:overflowPunct/>
        <w:topLinePunct w:val="0"/>
        <w:autoSpaceDE/>
        <w:autoSpaceDN/>
        <w:bidi w:val="0"/>
        <w:adjustRightInd/>
        <w:snapToGrid/>
        <w:spacing w:before="0" w:after="0" w:line="600" w:lineRule="exact"/>
        <w:jc w:val="both"/>
        <w:textAlignment w:val="auto"/>
        <w:rPr>
          <w:rFonts w:hint="eastAsia" w:ascii="宋体" w:hAnsi="宋体" w:eastAsia="方正仿宋简体" w:cs="Times New Roman"/>
          <w:b w:val="0"/>
          <w:bCs w:val="0"/>
          <w:kern w:val="2"/>
          <w:sz w:val="33"/>
          <w:szCs w:val="33"/>
          <w:lang w:val="en-US" w:eastAsia="zh-CN" w:bidi="ar-SA"/>
        </w:rPr>
      </w:pPr>
      <w:r>
        <w:rPr>
          <w:rFonts w:hint="eastAsia" w:ascii="宋体" w:hAnsi="宋体" w:eastAsia="方正仿宋简体" w:cs="Times New Roman"/>
          <w:b w:val="0"/>
          <w:bCs w:val="0"/>
          <w:kern w:val="2"/>
          <w:sz w:val="33"/>
          <w:szCs w:val="33"/>
          <w:lang w:val="en-US" w:eastAsia="zh-CN" w:bidi="ar-SA"/>
        </w:rPr>
        <w:t>4.预算管理分析（5分）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（1）管理制度健全性（2分）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管理制度健全、执行有效。本部门制定了《资阳市雁江区财政局内部控制手册》，包括《行政单位采购管理制度》、《行政单位预算管理制度》、《收支业务制度》、《行政资产管理制度》、《行政单位结算管理制度》等相关制度，从“三重一大”决策、预算管理、财务管理、固定资产管理、合同管理、政府采购等方面进行了规范，内控制度基本建立；部门内部控制按照上述制度执行，内控执行有效。此项得2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（2）资金使用合规性（1分）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资金使用合规。本项目按照《资阳市雁江区财政局内部控制手册》等规定使用资金，资金使用符合项目预算批复及合同规定的用途，资金拨付审批程序和手续完整，不存在截留、挤占、挪用、虚列支出等情况。此项得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（3）预决算信息公开性（1分）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预决算信息公开及时、完整。本部门于2022年1月29日在政府信息公开网上公开《2022年部门预算编制说明》，公开在规定时间之内，含部门预算说明及全部附表;2022年部门决算截至自评时段暂未公开，符合我局实际情况，不扣分。此项得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（4）基础信息完善性（1分）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单位基础信息完整，基础数据信息和会计信息资料是完整、准确、真实。此项得1分。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kern w:val="2"/>
          <w:sz w:val="33"/>
          <w:szCs w:val="33"/>
          <w:lang w:val="en-US" w:eastAsia="zh-CN" w:bidi="ar-SA"/>
        </w:rPr>
      </w:pPr>
      <w:r>
        <w:rPr>
          <w:rFonts w:hint="eastAsia" w:ascii="宋体" w:hAnsi="宋体" w:eastAsia="方正仿宋简体" w:cs="Times New Roman"/>
          <w:b w:val="0"/>
          <w:bCs w:val="0"/>
          <w:kern w:val="2"/>
          <w:sz w:val="33"/>
          <w:szCs w:val="33"/>
          <w:lang w:val="en-US" w:eastAsia="zh-CN" w:bidi="ar-SA"/>
        </w:rPr>
        <w:t>5.资产管理分析（5分）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（1）管理制度健全性（2分）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管理制度健全、执行较好。本部门根据《事业单位国有资产管理暂行办法》（财政部令第36号）制定了本单位的《行政资产管理制度》，制度对资产的购置、使用及报废作了相应的规定，并按照上述办法进行资产管理，资产管理制度执行有效。此项得2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（2）资产管理安全性（2分）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①本部门全面清点固定资产，针对每一项固定资产进行盘点，并张贴标签，梳理全局资产遗留问题，保持了较好资产使用管理状况，资产保存完整。②2022年，本部门配置固定资产37.58万元（其中新购13.43万元，调拨24.15万元），配置无形资产3.32万元（均为新购，为计算机软件），符合部门实际情况，配置资产合理。③2022年，本部门未对部门资产进行处置，按规定对部门固定资产进行了折旧，符合部门实际情况。④截至2022年12月31日，资产账面净值为572.24万元（其中固定资产163.93万元，流动资产396.84万元），盘点实际在用资产账面净值为572.24万元，资产账务管理合规。⑤2022年，本部门资产无出租出借情况，资产无有偿使用情况，无相关资产进行处置。此项不扣分，得2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（3）固定资产利用率（1分）。固定资产利用率100%。截止2022年12月31日，本部门实际在用固定资产总额462.05万元，所有固定资产总额462.05万元。此项得1分。</w:t>
      </w:r>
    </w:p>
    <w:p>
      <w:pPr>
        <w:pageBreakBefore w:val="0"/>
        <w:kinsoku/>
        <w:wordWrap/>
        <w:overflowPunct/>
        <w:topLinePunct w:val="0"/>
        <w:autoSpaceDE/>
        <w:autoSpaceDN/>
        <w:bidi w:val="0"/>
        <w:adjustRightInd/>
        <w:snapToGrid/>
        <w:spacing w:line="600" w:lineRule="exact"/>
        <w:ind w:firstLine="330" w:firstLineChars="100"/>
        <w:jc w:val="both"/>
        <w:textAlignment w:val="auto"/>
        <w:rPr>
          <w:rFonts w:hint="eastAsia" w:ascii="宋体" w:hAnsi="宋体" w:eastAsia="方正仿宋简体" w:cs="Times New Roman"/>
          <w:b w:val="0"/>
          <w:bCs w:val="0"/>
          <w:kern w:val="2"/>
          <w:sz w:val="33"/>
          <w:szCs w:val="33"/>
          <w:lang w:val="en-US" w:eastAsia="zh-CN" w:bidi="ar-SA"/>
        </w:rPr>
      </w:pPr>
      <w:r>
        <w:rPr>
          <w:rFonts w:hint="eastAsia" w:ascii="宋体" w:hAnsi="宋体" w:eastAsia="方正仿宋简体" w:cs="Times New Roman"/>
          <w:b w:val="0"/>
          <w:bCs w:val="0"/>
          <w:kern w:val="2"/>
          <w:sz w:val="33"/>
          <w:szCs w:val="33"/>
          <w:lang w:val="en-US" w:eastAsia="zh-CN" w:bidi="ar-SA"/>
        </w:rPr>
        <w:t>6.部门职能履行情况</w:t>
      </w:r>
    </w:p>
    <w:p>
      <w:pPr>
        <w:pStyle w:val="2"/>
        <w:pageBreakBefore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2022年我局各项重点工作顺利推进，全面完成了既定目标，社会满意度稳步提升。</w:t>
      </w:r>
    </w:p>
    <w:p>
      <w:pPr>
        <w:pStyle w:val="2"/>
        <w:pageBreakBefore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（1）重点支出项目实际完成率（8分）。主要完成了预算绩效管理监督检查、财政财务相关培训、财政投资评审、国资资产评估、网络信息化安全建设及运行等14个重点项目。完成率100%。此项得8分。</w:t>
      </w:r>
    </w:p>
    <w:p>
      <w:pPr>
        <w:pStyle w:val="2"/>
        <w:pageBreakBefore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2）重点支出项目完成及时率（4分）。2022年，及时完成预算管理一体化建设、预算绩效管理改革；及时完成了社会事业工作，包括支农惠农、惠企利民、乡村振兴以及社会民生等4个方面；及时完成财政支出管理、防控财会领域风险、防范化解债务风险等工作。此项得4分。</w:t>
      </w:r>
    </w:p>
    <w:p>
      <w:pPr>
        <w:pStyle w:val="2"/>
        <w:pageBreakBefore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（3）重点支出项目质量达标率（8分）。主要完成了“穿透式审查”财政监管、专项检查覆盖全区、常态化开展闲置资产盘活工作、全面推进乡村振兴等，重点项目质量均达标。质量达标率100%。此项得8分。</w:t>
      </w:r>
    </w:p>
    <w:p>
      <w:pPr>
        <w:pStyle w:val="2"/>
        <w:pageBreakBefore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(4)满意度实现分析（5分）。2022年，围绕部门重点履职，提供的社会公共服务的综合满意度95.8%。此项得5分。</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（三）结果应用情况。</w:t>
      </w:r>
    </w:p>
    <w:p>
      <w:pPr>
        <w:widowControl/>
        <w:adjustRightInd w:val="0"/>
        <w:snapToGrid w:val="0"/>
        <w:spacing w:line="572" w:lineRule="exact"/>
        <w:ind w:firstLine="640" w:firstLineChars="200"/>
        <w:contextualSpacing/>
        <w:jc w:val="left"/>
        <w:rPr>
          <w:rFonts w:hint="eastAsia" w:ascii="仿宋_GB2312" w:hAnsi="Times New Roman" w:eastAsia="仿宋_GB2312" w:cs="仿宋"/>
          <w:color w:val="auto"/>
          <w:kern w:val="0"/>
          <w:sz w:val="32"/>
          <w:szCs w:val="32"/>
          <w:lang w:val="zh-CN" w:eastAsia="zh-CN" w:bidi="ar-SA"/>
        </w:rPr>
      </w:pPr>
      <w:r>
        <w:rPr>
          <w:rFonts w:hint="eastAsia" w:ascii="仿宋_GB2312" w:hAnsi="Times New Roman" w:eastAsia="仿宋_GB2312" w:cs="仿宋"/>
          <w:color w:val="auto"/>
          <w:kern w:val="0"/>
          <w:sz w:val="32"/>
          <w:szCs w:val="32"/>
          <w:lang w:val="en-US" w:eastAsia="zh-CN" w:bidi="ar-SA"/>
        </w:rPr>
        <w:t>1.</w:t>
      </w:r>
      <w:r>
        <w:rPr>
          <w:rFonts w:hint="default" w:ascii="仿宋_GB2312" w:hAnsi="Times New Roman" w:eastAsia="仿宋_GB2312" w:cs="仿宋"/>
          <w:color w:val="auto"/>
          <w:kern w:val="0"/>
          <w:sz w:val="32"/>
          <w:szCs w:val="32"/>
          <w:lang w:val="zh-CN" w:eastAsia="zh-CN" w:bidi="ar-SA"/>
        </w:rPr>
        <w:t>及时反馈评价结果。及时将预算绩效管理结果反馈项目相关部门和</w:t>
      </w:r>
      <w:r>
        <w:rPr>
          <w:rFonts w:hint="eastAsia" w:ascii="仿宋_GB2312" w:hAnsi="Times New Roman" w:eastAsia="仿宋_GB2312" w:cs="仿宋"/>
          <w:color w:val="auto"/>
          <w:kern w:val="0"/>
          <w:sz w:val="32"/>
          <w:szCs w:val="32"/>
          <w:lang w:val="zh-CN" w:eastAsia="zh-CN" w:bidi="ar-SA"/>
        </w:rPr>
        <w:t>股室</w:t>
      </w:r>
      <w:r>
        <w:rPr>
          <w:rFonts w:hint="default" w:ascii="仿宋_GB2312" w:hAnsi="Times New Roman" w:eastAsia="仿宋_GB2312" w:cs="仿宋"/>
          <w:color w:val="auto"/>
          <w:kern w:val="0"/>
          <w:sz w:val="32"/>
          <w:szCs w:val="32"/>
          <w:lang w:val="zh-CN" w:eastAsia="zh-CN" w:bidi="ar-SA"/>
        </w:rPr>
        <w:t>，要求其针对绩效评价结果提出的问题，制定整改方案，按时进行整改，项目相关部门和</w:t>
      </w:r>
      <w:r>
        <w:rPr>
          <w:rFonts w:hint="eastAsia" w:ascii="仿宋_GB2312" w:hAnsi="Times New Roman" w:eastAsia="仿宋_GB2312" w:cs="仿宋"/>
          <w:color w:val="auto"/>
          <w:kern w:val="0"/>
          <w:sz w:val="32"/>
          <w:szCs w:val="32"/>
          <w:lang w:val="zh-CN" w:eastAsia="zh-CN" w:bidi="ar-SA"/>
        </w:rPr>
        <w:t>股室</w:t>
      </w:r>
      <w:r>
        <w:rPr>
          <w:rFonts w:hint="default" w:ascii="仿宋_GB2312" w:hAnsi="Times New Roman" w:eastAsia="仿宋_GB2312" w:cs="仿宋"/>
          <w:color w:val="auto"/>
          <w:kern w:val="0"/>
          <w:sz w:val="32"/>
          <w:szCs w:val="32"/>
          <w:lang w:val="zh-CN" w:eastAsia="zh-CN" w:bidi="ar-SA"/>
        </w:rPr>
        <w:t>要及时反馈整改完成情况。</w:t>
      </w:r>
    </w:p>
    <w:p>
      <w:pPr>
        <w:widowControl/>
        <w:adjustRightInd w:val="0"/>
        <w:snapToGrid w:val="0"/>
        <w:spacing w:line="572" w:lineRule="exact"/>
        <w:ind w:firstLine="640" w:firstLineChars="200"/>
        <w:contextualSpacing/>
        <w:jc w:val="left"/>
        <w:rPr>
          <w:rFonts w:hint="default" w:ascii="仿宋_GB2312" w:hAnsi="Times New Roman" w:eastAsia="仿宋_GB2312" w:cs="仿宋"/>
          <w:color w:val="auto"/>
          <w:kern w:val="0"/>
          <w:sz w:val="32"/>
          <w:szCs w:val="32"/>
          <w:lang w:val="zh-CN" w:eastAsia="zh-CN" w:bidi="ar-SA"/>
        </w:rPr>
      </w:pPr>
      <w:r>
        <w:rPr>
          <w:rFonts w:hint="eastAsia" w:ascii="仿宋_GB2312" w:hAnsi="Times New Roman" w:eastAsia="仿宋_GB2312" w:cs="仿宋"/>
          <w:color w:val="auto"/>
          <w:kern w:val="0"/>
          <w:sz w:val="32"/>
          <w:szCs w:val="32"/>
          <w:lang w:val="en-US" w:eastAsia="zh-CN" w:bidi="ar-SA"/>
        </w:rPr>
        <w:t>2.</w:t>
      </w:r>
      <w:r>
        <w:rPr>
          <w:rFonts w:hint="default" w:ascii="仿宋_GB2312" w:hAnsi="Times New Roman" w:eastAsia="仿宋_GB2312" w:cs="仿宋"/>
          <w:color w:val="auto"/>
          <w:kern w:val="0"/>
          <w:sz w:val="32"/>
          <w:szCs w:val="32"/>
          <w:lang w:val="zh-CN" w:eastAsia="zh-CN" w:bidi="ar-SA"/>
        </w:rPr>
        <w:t>建立评价结果与预算安排挂钩制度。将评价结果与预算编制有机结合，把绩效评价结果作为安排年度预算的重要依据和财政专项资金因素分配法安排资金的重要内容。对评价结果好的</w:t>
      </w:r>
      <w:r>
        <w:rPr>
          <w:rFonts w:hint="eastAsia" w:ascii="仿宋_GB2312" w:hAnsi="Times New Roman" w:eastAsia="仿宋_GB2312" w:cs="仿宋"/>
          <w:color w:val="auto"/>
          <w:kern w:val="0"/>
          <w:sz w:val="32"/>
          <w:szCs w:val="32"/>
          <w:lang w:val="zh-CN" w:eastAsia="zh-CN" w:bidi="ar-SA"/>
        </w:rPr>
        <w:t>股室和单位</w:t>
      </w:r>
      <w:r>
        <w:rPr>
          <w:rFonts w:hint="default" w:ascii="仿宋_GB2312" w:hAnsi="Times New Roman" w:eastAsia="仿宋_GB2312" w:cs="仿宋"/>
          <w:color w:val="auto"/>
          <w:kern w:val="0"/>
          <w:sz w:val="32"/>
          <w:szCs w:val="32"/>
          <w:lang w:val="zh-CN" w:eastAsia="zh-CN" w:bidi="ar-SA"/>
        </w:rPr>
        <w:t>，予以表扬和继续支持；对绩效评价发现问题、评价结果较差、整改不到位的，相应调减预算，直至取消该项财政支出。</w:t>
      </w:r>
    </w:p>
    <w:p>
      <w:pPr>
        <w:widowControl/>
        <w:adjustRightInd w:val="0"/>
        <w:snapToGrid w:val="0"/>
        <w:spacing w:line="572" w:lineRule="exact"/>
        <w:ind w:firstLine="640" w:firstLineChars="200"/>
        <w:contextualSpacing/>
        <w:jc w:val="left"/>
        <w:rPr>
          <w:rFonts w:hint="default" w:ascii="仿宋_GB2312" w:hAnsi="Times New Roman" w:eastAsia="仿宋_GB2312" w:cs="仿宋"/>
          <w:color w:val="auto"/>
          <w:kern w:val="0"/>
          <w:sz w:val="32"/>
          <w:szCs w:val="32"/>
          <w:lang w:val="zh-CN" w:eastAsia="zh-CN" w:bidi="ar-SA"/>
        </w:rPr>
      </w:pPr>
      <w:r>
        <w:rPr>
          <w:rFonts w:hint="eastAsia" w:ascii="仿宋_GB2312" w:hAnsi="Times New Roman" w:eastAsia="仿宋_GB2312" w:cs="仿宋"/>
          <w:color w:val="auto"/>
          <w:kern w:val="0"/>
          <w:sz w:val="32"/>
          <w:szCs w:val="32"/>
          <w:lang w:val="en-US" w:eastAsia="zh-CN" w:bidi="ar-SA"/>
        </w:rPr>
        <w:t>3.</w:t>
      </w:r>
      <w:r>
        <w:rPr>
          <w:rFonts w:hint="default" w:ascii="仿宋_GB2312" w:hAnsi="Times New Roman" w:eastAsia="仿宋_GB2312" w:cs="仿宋"/>
          <w:color w:val="auto"/>
          <w:kern w:val="0"/>
          <w:sz w:val="32"/>
          <w:szCs w:val="32"/>
          <w:lang w:val="zh-CN" w:eastAsia="zh-CN" w:bidi="ar-SA"/>
        </w:rPr>
        <w:t>建立绩效公开制度。按照政府信息公开的有关规定，将绩效评价结果尤其是社会关注度高、影响力大的民生项目和重点项目支出绩效情况在一定范围内公开，接受社会监督。</w:t>
      </w:r>
    </w:p>
    <w:p>
      <w:pPr>
        <w:widowControl/>
        <w:adjustRightInd w:val="0"/>
        <w:snapToGrid w:val="0"/>
        <w:spacing w:line="572" w:lineRule="exact"/>
        <w:ind w:firstLine="640" w:firstLineChars="200"/>
        <w:contextualSpacing/>
        <w:jc w:val="left"/>
        <w:rPr>
          <w:rFonts w:hint="eastAsia" w:ascii="仿宋_GB2312" w:hAnsi="Times New Roman" w:eastAsia="仿宋_GB2312" w:cs="仿宋"/>
          <w:color w:val="auto"/>
          <w:kern w:val="0"/>
          <w:sz w:val="32"/>
          <w:szCs w:val="32"/>
          <w:lang w:val="zh-CN" w:eastAsia="zh-CN" w:bidi="ar-SA"/>
        </w:rPr>
      </w:pPr>
      <w:r>
        <w:rPr>
          <w:rFonts w:hint="eastAsia" w:ascii="仿宋_GB2312" w:hAnsi="Times New Roman" w:eastAsia="仿宋_GB2312" w:cs="仿宋"/>
          <w:color w:val="auto"/>
          <w:kern w:val="0"/>
          <w:sz w:val="32"/>
          <w:szCs w:val="32"/>
          <w:lang w:val="en-US" w:eastAsia="zh-CN" w:bidi="ar-SA"/>
        </w:rPr>
        <w:t>4.</w:t>
      </w:r>
      <w:r>
        <w:rPr>
          <w:rFonts w:hint="default" w:ascii="仿宋_GB2312" w:hAnsi="Times New Roman" w:eastAsia="仿宋_GB2312" w:cs="仿宋"/>
          <w:color w:val="auto"/>
          <w:kern w:val="0"/>
          <w:sz w:val="32"/>
          <w:szCs w:val="32"/>
          <w:lang w:val="zh-CN" w:eastAsia="zh-CN" w:bidi="ar-SA"/>
        </w:rPr>
        <w:t>建立绩效问责制度。对预算绩效管理工作开展不力，财政资金配置和执行绩效未能达到预期目标或规定标准</w:t>
      </w:r>
      <w:r>
        <w:rPr>
          <w:rFonts w:hint="eastAsia" w:ascii="仿宋_GB2312" w:eastAsia="仿宋_GB2312" w:cs="仿宋"/>
          <w:color w:val="auto"/>
          <w:kern w:val="0"/>
          <w:sz w:val="32"/>
          <w:szCs w:val="32"/>
          <w:lang w:val="zh-CN" w:eastAsia="zh-CN" w:bidi="ar-SA"/>
        </w:rPr>
        <w:t>。</w:t>
      </w:r>
      <w:r>
        <w:rPr>
          <w:rFonts w:hint="default" w:ascii="仿宋_GB2312" w:hAnsi="Times New Roman" w:eastAsia="仿宋_GB2312" w:cs="仿宋"/>
          <w:color w:val="auto"/>
          <w:kern w:val="0"/>
          <w:sz w:val="32"/>
          <w:szCs w:val="32"/>
          <w:lang w:val="zh-CN" w:eastAsia="zh-CN" w:bidi="ar-SA"/>
        </w:rPr>
        <w:t>在绩效评价工作中发现滥用职权、玩忽职守、徇私舞弊等违法违纪行为的，按照《中华人民共和国预算法》《财政违法行为处罚处分条例》等有关法律规定追究相应责任。</w:t>
      </w:r>
    </w:p>
    <w:p>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自评质量。</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本次自评</w:t>
      </w:r>
      <w:r>
        <w:rPr>
          <w:rFonts w:hint="eastAsia" w:ascii="宋体" w:hAnsi="宋体" w:eastAsia="方正仿宋简体" w:cs="Times New Roman"/>
          <w:sz w:val="33"/>
          <w:szCs w:val="33"/>
        </w:rPr>
        <w:t>结合本部门特点、评价重点，</w:t>
      </w:r>
      <w:r>
        <w:rPr>
          <w:rFonts w:hint="eastAsia" w:ascii="宋体" w:hAnsi="宋体" w:eastAsia="方正仿宋简体" w:cs="Times New Roman"/>
          <w:sz w:val="33"/>
          <w:szCs w:val="33"/>
          <w:lang w:eastAsia="zh-CN"/>
        </w:rPr>
        <w:t>通过</w:t>
      </w:r>
      <w:r>
        <w:rPr>
          <w:rFonts w:hint="eastAsia" w:ascii="宋体" w:hAnsi="宋体" w:eastAsia="方正仿宋简体" w:cs="Times New Roman"/>
          <w:sz w:val="33"/>
          <w:szCs w:val="33"/>
        </w:rPr>
        <w:t>绩效评价指标分为“投入</w:t>
      </w:r>
      <w:r>
        <w:rPr>
          <w:rFonts w:hint="eastAsia" w:ascii="宋体" w:hAnsi="宋体" w:eastAsia="方正仿宋简体" w:cs="Times New Roman"/>
          <w:sz w:val="33"/>
          <w:szCs w:val="33"/>
          <w:lang w:eastAsia="zh-CN"/>
        </w:rPr>
        <w:t>”“</w:t>
      </w:r>
      <w:r>
        <w:rPr>
          <w:rFonts w:hint="eastAsia" w:ascii="宋体" w:hAnsi="宋体" w:eastAsia="方正仿宋简体" w:cs="Times New Roman"/>
          <w:sz w:val="33"/>
          <w:szCs w:val="33"/>
        </w:rPr>
        <w:t>过程</w:t>
      </w:r>
      <w:r>
        <w:rPr>
          <w:rFonts w:hint="eastAsia" w:ascii="宋体" w:hAnsi="宋体" w:eastAsia="方正仿宋简体" w:cs="Times New Roman"/>
          <w:sz w:val="33"/>
          <w:szCs w:val="33"/>
          <w:lang w:eastAsia="zh-CN"/>
        </w:rPr>
        <w:t>”“</w:t>
      </w:r>
      <w:r>
        <w:rPr>
          <w:rFonts w:hint="eastAsia" w:ascii="宋体" w:hAnsi="宋体" w:eastAsia="方正仿宋简体" w:cs="Times New Roman"/>
          <w:sz w:val="33"/>
          <w:szCs w:val="33"/>
        </w:rPr>
        <w:t>产出</w:t>
      </w:r>
      <w:r>
        <w:rPr>
          <w:rFonts w:hint="eastAsia" w:ascii="宋体" w:hAnsi="宋体" w:eastAsia="方正仿宋简体" w:cs="Times New Roman"/>
          <w:sz w:val="33"/>
          <w:szCs w:val="33"/>
          <w:lang w:eastAsia="zh-CN"/>
        </w:rPr>
        <w:t>”“</w:t>
      </w:r>
      <w:r>
        <w:rPr>
          <w:rFonts w:hint="eastAsia" w:ascii="宋体" w:hAnsi="宋体" w:eastAsia="方正仿宋简体" w:cs="Times New Roman"/>
          <w:sz w:val="33"/>
          <w:szCs w:val="33"/>
        </w:rPr>
        <w:t>效益”四大类</w:t>
      </w:r>
      <w:r>
        <w:rPr>
          <w:rFonts w:hint="eastAsia" w:ascii="宋体" w:hAnsi="宋体" w:eastAsia="方正仿宋简体" w:cs="Times New Roman"/>
          <w:sz w:val="33"/>
          <w:szCs w:val="33"/>
          <w:lang w:eastAsia="zh-CN"/>
        </w:rPr>
        <w:t>进行自评</w:t>
      </w:r>
      <w:r>
        <w:rPr>
          <w:rFonts w:hint="eastAsia" w:ascii="宋体" w:hAnsi="宋体" w:eastAsia="方正仿宋简体" w:cs="Times New Roman"/>
          <w:sz w:val="33"/>
          <w:szCs w:val="33"/>
        </w:rPr>
        <w:t>。</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部门整体自评工作准确。</w:t>
      </w:r>
      <w:r>
        <w:rPr>
          <w:rFonts w:ascii="仿宋_GB2312" w:hAnsi="仿宋_GB2312" w:eastAsia="仿宋_GB2312" w:cs="仿宋_GB2312"/>
          <w:color w:val="000000"/>
          <w:kern w:val="0"/>
          <w:sz w:val="31"/>
          <w:szCs w:val="31"/>
          <w:lang w:val="en-US" w:eastAsia="zh-CN" w:bidi="ar"/>
        </w:rPr>
        <w:t>严格按照预算绩效管理有关要求以及资金管理、项目申报的有关规定使用专项资金，项目开展取得了较为优异的成绩。以全面绩效管理作为宏观抓手，以点带面拉动资金使用效率，聚焦</w:t>
      </w:r>
      <w:r>
        <w:rPr>
          <w:rFonts w:hint="eastAsia" w:ascii="仿宋_GB2312" w:hAnsi="仿宋_GB2312" w:eastAsia="仿宋_GB2312" w:cs="仿宋_GB2312"/>
          <w:color w:val="000000"/>
          <w:kern w:val="0"/>
          <w:sz w:val="31"/>
          <w:szCs w:val="31"/>
          <w:lang w:val="en-US" w:eastAsia="zh-CN" w:bidi="ar"/>
        </w:rPr>
        <w:t>本领域</w:t>
      </w:r>
      <w:r>
        <w:rPr>
          <w:rFonts w:ascii="仿宋_GB2312" w:hAnsi="仿宋_GB2312" w:eastAsia="仿宋_GB2312" w:cs="仿宋_GB2312"/>
          <w:color w:val="000000"/>
          <w:kern w:val="0"/>
          <w:sz w:val="31"/>
          <w:szCs w:val="31"/>
          <w:lang w:val="en-US" w:eastAsia="zh-CN" w:bidi="ar"/>
        </w:rPr>
        <w:t>的难点问题、重点问题、民生问题，突出创新发展能力，不断增强地区竞争力，实现专项资金项目的可持续效益，降低成本，提高投入产出比，进一步实现财政预算绩效最大化</w:t>
      </w:r>
      <w:r>
        <w:rPr>
          <w:rFonts w:hint="eastAsia" w:ascii="宋体" w:hAnsi="宋体" w:eastAsia="方正仿宋简体"/>
          <w:sz w:val="33"/>
          <w:szCs w:val="33"/>
        </w:rPr>
        <w:t>。</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四、评价结论及建议</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（一）评价结论。</w:t>
      </w:r>
    </w:p>
    <w:p>
      <w:pPr>
        <w:pStyle w:val="38"/>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仿宋_GB2312" w:hAnsi="Times New Roman" w:eastAsia="仿宋_GB2312" w:cs="仿宋"/>
          <w:color w:val="auto"/>
          <w:kern w:val="0"/>
          <w:sz w:val="32"/>
          <w:szCs w:val="32"/>
          <w:lang w:val="zh-CN" w:eastAsia="zh-CN" w:bidi="ar-SA"/>
        </w:rPr>
      </w:pPr>
      <w:r>
        <w:rPr>
          <w:rFonts w:hint="eastAsia" w:ascii="仿宋_GB2312" w:hAnsi="Times New Roman" w:eastAsia="仿宋_GB2312" w:cs="仿宋"/>
          <w:color w:val="auto"/>
          <w:kern w:val="0"/>
          <w:sz w:val="32"/>
          <w:szCs w:val="32"/>
          <w:lang w:val="zh-CN" w:eastAsia="zh-CN" w:bidi="ar-SA"/>
        </w:rPr>
        <w:t>雁江区财政局202</w:t>
      </w:r>
      <w:r>
        <w:rPr>
          <w:rFonts w:hint="eastAsia" w:ascii="仿宋_GB2312" w:eastAsia="仿宋_GB2312" w:cs="仿宋"/>
          <w:color w:val="auto"/>
          <w:kern w:val="0"/>
          <w:sz w:val="32"/>
          <w:szCs w:val="32"/>
          <w:lang w:val="en-US" w:eastAsia="zh-CN" w:bidi="ar-SA"/>
        </w:rPr>
        <w:t>2</w:t>
      </w:r>
      <w:r>
        <w:rPr>
          <w:rFonts w:hint="eastAsia" w:ascii="仿宋_GB2312" w:hAnsi="Times New Roman" w:eastAsia="仿宋_GB2312" w:cs="仿宋"/>
          <w:color w:val="auto"/>
          <w:kern w:val="0"/>
          <w:sz w:val="32"/>
          <w:szCs w:val="32"/>
          <w:lang w:val="zh-CN" w:eastAsia="zh-CN" w:bidi="ar-SA"/>
        </w:rPr>
        <w:t>年资金预算合理、执行良好、管理严格。区财政自评综合得分为</w:t>
      </w:r>
      <w:r>
        <w:rPr>
          <w:rFonts w:hint="eastAsia" w:ascii="仿宋_GB2312" w:hAnsi="Times New Roman" w:eastAsia="仿宋_GB2312" w:cs="仿宋"/>
          <w:color w:val="auto"/>
          <w:kern w:val="0"/>
          <w:sz w:val="32"/>
          <w:szCs w:val="32"/>
          <w:lang w:val="en-US" w:eastAsia="zh-CN" w:bidi="ar-SA"/>
        </w:rPr>
        <w:t>9</w:t>
      </w:r>
      <w:r>
        <w:rPr>
          <w:rFonts w:hint="eastAsia" w:ascii="仿宋_GB2312" w:eastAsia="仿宋_GB2312" w:cs="仿宋"/>
          <w:color w:val="auto"/>
          <w:kern w:val="0"/>
          <w:sz w:val="32"/>
          <w:szCs w:val="32"/>
          <w:lang w:val="en-US" w:eastAsia="zh-CN" w:bidi="ar-SA"/>
        </w:rPr>
        <w:t>2.25</w:t>
      </w:r>
      <w:r>
        <w:rPr>
          <w:rFonts w:hint="eastAsia" w:ascii="仿宋_GB2312" w:hAnsi="Times New Roman" w:eastAsia="仿宋_GB2312" w:cs="仿宋"/>
          <w:color w:val="auto"/>
          <w:kern w:val="0"/>
          <w:sz w:val="32"/>
          <w:szCs w:val="32"/>
          <w:lang w:val="zh-CN" w:eastAsia="zh-CN" w:bidi="ar-SA"/>
        </w:rPr>
        <w:t>分、部门整体支出绩效为“优”。</w:t>
      </w:r>
    </w:p>
    <w:p>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存在问题。</w:t>
      </w:r>
    </w:p>
    <w:p>
      <w:pPr>
        <w:pStyle w:val="2"/>
        <w:widowControl w:val="0"/>
        <w:numPr>
          <w:ilvl w:val="0"/>
          <w:numId w:val="9"/>
        </w:numPr>
        <w:spacing w:beforeLines="30"/>
        <w:ind w:firstLine="600" w:firstLineChars="200"/>
        <w:jc w:val="both"/>
        <w:rPr>
          <w:rFonts w:hint="eastAsia"/>
          <w:lang w:val="zh-CN"/>
        </w:rPr>
      </w:pPr>
      <w:r>
        <w:rPr>
          <w:rFonts w:hint="eastAsia"/>
          <w:lang w:val="zh-CN"/>
        </w:rPr>
        <w:t>部分指标设置归类有误、部分绩效目标未量化分解为绩效指标、个别重点支出项目关键指标未纳入部门整体指标，并缺失</w:t>
      </w:r>
      <w:r>
        <w:rPr>
          <w:rFonts w:hint="eastAsia" w:hAnsi="Times New Roman" w:cs="Times New Roman"/>
          <w:lang w:val="zh-CN"/>
        </w:rPr>
        <w:t>相应的</w:t>
      </w:r>
      <w:r>
        <w:rPr>
          <w:rFonts w:hint="eastAsia"/>
          <w:lang w:val="zh-CN"/>
        </w:rPr>
        <w:t>中长期规划。</w:t>
      </w:r>
    </w:p>
    <w:p>
      <w:pPr>
        <w:numPr>
          <w:ilvl w:val="0"/>
          <w:numId w:val="9"/>
        </w:numPr>
        <w:ind w:left="0" w:leftChars="0" w:firstLine="600" w:firstLineChars="200"/>
        <w:rPr>
          <w:rFonts w:hint="eastAsia" w:ascii="仿宋_GB2312" w:hAnsi="Times New Roman" w:eastAsia="仿宋_GB2312" w:cs="Times New Roman"/>
          <w:kern w:val="0"/>
          <w:sz w:val="30"/>
          <w:szCs w:val="24"/>
          <w:lang w:val="en-US" w:eastAsia="zh-CN" w:bidi="ar-SA"/>
        </w:rPr>
      </w:pPr>
      <w:r>
        <w:rPr>
          <w:rFonts w:hint="eastAsia" w:ascii="仿宋_GB2312" w:hAnsi="Times New Roman" w:eastAsia="仿宋_GB2312" w:cs="Times New Roman"/>
          <w:kern w:val="0"/>
          <w:sz w:val="30"/>
          <w:szCs w:val="24"/>
          <w:lang w:val="en-US" w:eastAsia="zh-CN" w:bidi="ar-SA"/>
        </w:rPr>
        <w:t>“三公经费”增加较多，为48.97%。</w:t>
      </w:r>
    </w:p>
    <w:p>
      <w:pPr>
        <w:pStyle w:val="2"/>
        <w:numPr>
          <w:ilvl w:val="0"/>
          <w:numId w:val="9"/>
        </w:numPr>
        <w:ind w:left="0" w:leftChars="0" w:firstLine="660" w:firstLineChars="200"/>
        <w:rPr>
          <w:rFonts w:hint="eastAsia"/>
          <w:lang w:val="en-US" w:eastAsia="zh-CN"/>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政府采购执行率较低，仅为77.27%。</w:t>
      </w:r>
    </w:p>
    <w:p>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改进建议。</w:t>
      </w:r>
    </w:p>
    <w:p>
      <w:pPr>
        <w:pStyle w:val="2"/>
        <w:numPr>
          <w:ilvl w:val="0"/>
          <w:numId w:val="0"/>
        </w:numPr>
        <w:ind w:firstLine="640" w:firstLineChars="200"/>
        <w:rPr>
          <w:rFonts w:hint="eastAsia" w:ascii="仿宋_GB2312" w:hAnsi="Times New Roman" w:eastAsia="仿宋_GB2312" w:cs="仿宋"/>
          <w:color w:val="auto"/>
          <w:kern w:val="0"/>
          <w:sz w:val="32"/>
          <w:szCs w:val="32"/>
          <w:lang w:val="zh-CN" w:eastAsia="zh-CN" w:bidi="ar-SA"/>
        </w:rPr>
      </w:pPr>
      <w:r>
        <w:rPr>
          <w:rFonts w:hint="eastAsia" w:ascii="仿宋_GB2312" w:hAnsi="Times New Roman" w:eastAsia="仿宋_GB2312" w:cs="仿宋"/>
          <w:color w:val="auto"/>
          <w:kern w:val="0"/>
          <w:sz w:val="32"/>
          <w:szCs w:val="32"/>
          <w:lang w:val="zh-CN" w:eastAsia="zh-CN" w:bidi="ar-SA"/>
        </w:rPr>
        <w:t>针对上述存在的问题及对外整体支出管理工作的需要，拟实施的改进措施如下：</w:t>
      </w:r>
    </w:p>
    <w:p>
      <w:pPr>
        <w:pageBreakBefore w:val="0"/>
        <w:widowControl w:val="0"/>
        <w:numPr>
          <w:ilvl w:val="0"/>
          <w:numId w:val="10"/>
        </w:numPr>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建议加强预算绩效目标编制培训，提高绩效指标设置质量。进一步学习预算绩效管理相关政策文件，不断提高部门对预算绩效管理的认知水平，注重绩效目标与评价指标的关联性，将重点支出项目关键数量指标及效益指标纳入部门整体指标，更加科学合理地确定部门绩效目标，并将其细化分解为具体的绩效指标。此外，根据部门职能职责以及上级相关通知要求完善部门专项规划、中长期规划，并在填制部门整体绩效目标时与之对应。</w:t>
      </w:r>
    </w:p>
    <w:p>
      <w:pPr>
        <w:pStyle w:val="7"/>
        <w:numPr>
          <w:ilvl w:val="0"/>
          <w:numId w:val="10"/>
        </w:numPr>
        <w:ind w:left="0" w:leftChars="0" w:firstLine="660" w:firstLineChars="200"/>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建议落实中央“过紧日子”及“严格控制一般性支出”的要求，对三公经费严格控制。将“三公经费”支出预算具体到项目和岗位，明确支出统一标准，做到“三公经费”预算公开透明，进一步推行“三公经费”精细化管理制度，完善相应的公务支出公务卡结算机制，并逐步建立“三公经费”支出预警机制和公示制度，定期公示，明确支出内容，进而达到控制三公经费支出的目的。</w:t>
      </w:r>
    </w:p>
    <w:p>
      <w:pPr>
        <w:pageBreakBefore w:val="0"/>
        <w:widowControl w:val="0"/>
        <w:kinsoku/>
        <w:wordWrap/>
        <w:overflowPunct/>
        <w:topLinePunct w:val="0"/>
        <w:autoSpaceDE/>
        <w:autoSpaceDN/>
        <w:bidi w:val="0"/>
        <w:adjustRightInd/>
        <w:snapToGrid/>
        <w:spacing w:line="600" w:lineRule="exact"/>
        <w:ind w:firstLine="660" w:firstLineChars="200"/>
        <w:jc w:val="left"/>
        <w:textAlignment w:val="auto"/>
        <w:rPr>
          <w:rFonts w:hint="default" w:ascii="宋体" w:hAnsi="宋体" w:eastAsia="方正仿宋简体" w:cs="Times New Roman"/>
          <w:b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color w:val="000000" w:themeColor="text1"/>
          <w:kern w:val="2"/>
          <w:sz w:val="33"/>
          <w:szCs w:val="33"/>
          <w:lang w:val="en-US" w:eastAsia="zh-CN" w:bidi="ar-SA"/>
          <w14:textFill>
            <w14:solidFill>
              <w14:schemeClr w14:val="tx1"/>
            </w14:solidFill>
          </w14:textFill>
        </w:rPr>
        <w:t>（3）针对政府采购预算，建议细化采购预算编制内容，将采购预算资金尽可能细化，同时借助电子化采购平台进行跟踪监控，及时调整政府采购预算，做到有迹可循，有据可查，过程可溯，保障政府采购预算编制的科学性，进而提高政府采购执行率。</w:t>
      </w:r>
    </w:p>
    <w:p>
      <w:pPr>
        <w:rPr>
          <w:rFonts w:hint="eastAsia" w:ascii="宋体" w:hAnsi="宋体" w:eastAsia="方正仿宋简体" w:cs="Times New Roman"/>
          <w:b w:val="0"/>
          <w:color w:val="000000" w:themeColor="text1"/>
          <w:kern w:val="2"/>
          <w:sz w:val="33"/>
          <w:szCs w:val="33"/>
          <w:lang w:val="zh-CN" w:eastAsia="zh-CN" w:bidi="ar-SA"/>
          <w14:textFill>
            <w14:solidFill>
              <w14:schemeClr w14:val="tx1"/>
            </w14:solidFill>
          </w14:textFill>
        </w:rPr>
      </w:pPr>
    </w:p>
    <w:p>
      <w:pPr>
        <w:pStyle w:val="7"/>
        <w:rPr>
          <w:rFonts w:hint="eastAsia" w:ascii="宋体" w:hAnsi="宋体" w:eastAsia="方正仿宋简体" w:cs="Times New Roman"/>
          <w:b w:val="0"/>
          <w:color w:val="000000" w:themeColor="text1"/>
          <w:kern w:val="2"/>
          <w:sz w:val="33"/>
          <w:szCs w:val="33"/>
          <w:lang w:val="zh-CN" w:eastAsia="zh-CN" w:bidi="ar-SA"/>
          <w14:textFill>
            <w14:solidFill>
              <w14:schemeClr w14:val="tx1"/>
            </w14:solidFill>
          </w14:textFill>
        </w:rPr>
      </w:pPr>
    </w:p>
    <w:p>
      <w:pPr>
        <w:pStyle w:val="7"/>
        <w:rPr>
          <w:rFonts w:hint="eastAsia"/>
          <w:lang w:val="zh-CN" w:eastAsia="zh-CN"/>
        </w:rPr>
      </w:pPr>
    </w:p>
    <w:p>
      <w:pPr>
        <w:spacing w:line="600" w:lineRule="exact"/>
        <w:jc w:val="center"/>
        <w:rPr>
          <w:rFonts w:hint="eastAsia" w:ascii="宋体" w:hAnsi="宋体" w:eastAsia="方正仿宋简体" w:cs="Times New Roman"/>
          <w:sz w:val="33"/>
          <w:szCs w:val="33"/>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1.</w:t>
      </w:r>
      <w:r>
        <w:rPr>
          <w:rFonts w:hint="eastAsia" w:ascii="宋体" w:hAnsi="宋体" w:eastAsia="方正仿宋简体" w:cs="Times New Roman"/>
          <w:sz w:val="33"/>
          <w:szCs w:val="33"/>
          <w:lang w:eastAsia="zh-CN"/>
        </w:rPr>
        <w:t>2022</w:t>
      </w:r>
      <w:r>
        <w:rPr>
          <w:rFonts w:hint="eastAsia" w:ascii="宋体" w:hAnsi="宋体" w:eastAsia="方正仿宋简体" w:cs="Times New Roman"/>
          <w:sz w:val="33"/>
          <w:szCs w:val="33"/>
        </w:rPr>
        <w:t>年度区本级部门整体支出绩效目标</w:t>
      </w:r>
    </w:p>
    <w:p>
      <w:pPr>
        <w:spacing w:line="600" w:lineRule="exact"/>
        <w:ind w:firstLine="1980" w:firstLineChars="600"/>
        <w:jc w:val="both"/>
        <w:rPr>
          <w:rFonts w:hint="eastAsia" w:ascii="仿宋_GB2312" w:hAnsi="仿宋_GB2312" w:eastAsia="仿宋_GB2312" w:cs="仿宋_GB2312"/>
          <w:color w:val="auto"/>
          <w:sz w:val="32"/>
          <w:szCs w:val="32"/>
          <w:highlight w:val="none"/>
          <w:lang w:val="en-US" w:eastAsia="zh-CN"/>
        </w:rPr>
      </w:pPr>
      <w:r>
        <w:rPr>
          <w:rFonts w:hint="eastAsia" w:ascii="宋体" w:hAnsi="宋体" w:eastAsia="方正仿宋简体" w:cs="Times New Roman"/>
          <w:sz w:val="33"/>
          <w:szCs w:val="33"/>
        </w:rPr>
        <w:t>完成情况表</w:t>
      </w:r>
    </w:p>
    <w:p>
      <w:pPr>
        <w:spacing w:line="600" w:lineRule="exact"/>
        <w:jc w:val="center"/>
        <w:rPr>
          <w:rFonts w:hint="eastAsia" w:ascii="宋体" w:hAnsi="宋体" w:eastAsia="方正仿宋简体" w:cs="Times New Roman"/>
          <w:sz w:val="33"/>
          <w:szCs w:val="33"/>
        </w:rPr>
      </w:pPr>
      <w:r>
        <w:rPr>
          <w:rFonts w:hint="eastAsia" w:ascii="宋体" w:hAnsi="宋体" w:eastAsia="方正仿宋简体" w:cs="Times New Roman"/>
          <w:sz w:val="33"/>
          <w:szCs w:val="33"/>
          <w:lang w:val="en-US" w:eastAsia="zh-CN"/>
        </w:rPr>
        <w:t>2.</w:t>
      </w:r>
      <w:r>
        <w:rPr>
          <w:rFonts w:hint="eastAsia" w:ascii="宋体" w:hAnsi="宋体" w:eastAsia="方正仿宋简体" w:cs="Times New Roman"/>
          <w:sz w:val="33"/>
          <w:szCs w:val="33"/>
          <w:lang w:eastAsia="zh-CN"/>
        </w:rPr>
        <w:t>2022</w:t>
      </w:r>
      <w:r>
        <w:rPr>
          <w:rFonts w:hint="eastAsia" w:ascii="宋体" w:hAnsi="宋体" w:eastAsia="方正仿宋简体" w:cs="Times New Roman"/>
          <w:sz w:val="33"/>
          <w:szCs w:val="33"/>
        </w:rPr>
        <w:t>年区级项目支出绩效自评报告</w:t>
      </w:r>
    </w:p>
    <w:p>
      <w:pPr>
        <w:spacing w:line="600" w:lineRule="exact"/>
        <w:jc w:val="center"/>
        <w:rPr>
          <w:rFonts w:hint="eastAsia" w:ascii="宋体" w:hAnsi="宋体" w:eastAsia="方正仿宋简体" w:cs="Times New Roman"/>
          <w:kern w:val="2"/>
          <w:sz w:val="33"/>
          <w:szCs w:val="33"/>
          <w:lang w:val="en-US" w:eastAsia="zh-CN" w:bidi="ar-SA"/>
        </w:rPr>
        <w:sectPr>
          <w:footerReference r:id="rId5" w:type="first"/>
          <w:headerReference r:id="rId3" w:type="default"/>
          <w:footerReference r:id="rId4" w:type="default"/>
          <w:pgSz w:w="11906" w:h="16838"/>
          <w:pgMar w:top="1440" w:right="1800" w:bottom="1440" w:left="1800" w:header="851" w:footer="992" w:gutter="0"/>
          <w:pgNumType w:fmt="decimal" w:start="1"/>
          <w:cols w:space="0" w:num="1"/>
          <w:titlePg/>
          <w:rtlGutter w:val="0"/>
          <w:docGrid w:type="lines" w:linePitch="312" w:charSpace="0"/>
        </w:sectPr>
      </w:pPr>
      <w:r>
        <w:rPr>
          <w:rFonts w:hint="eastAsia" w:ascii="宋体" w:hAnsi="宋体" w:eastAsia="方正仿宋简体" w:cs="Times New Roman"/>
          <w:sz w:val="33"/>
          <w:szCs w:val="33"/>
          <w:lang w:val="en-US" w:eastAsia="zh-CN"/>
        </w:rPr>
        <w:t xml:space="preserve">    </w:t>
      </w:r>
      <w:r>
        <w:rPr>
          <w:rFonts w:hint="eastAsia" w:ascii="宋体" w:hAnsi="宋体" w:eastAsia="方正仿宋简体" w:cs="Times New Roman"/>
          <w:kern w:val="2"/>
          <w:sz w:val="33"/>
          <w:szCs w:val="33"/>
          <w:lang w:val="en-US" w:eastAsia="zh-CN" w:bidi="ar-SA"/>
        </w:rPr>
        <w:t>3.2022年度部门预算项目支出绩效自评表</w:t>
      </w:r>
    </w:p>
    <w:p>
      <w:pPr>
        <w:pStyle w:val="2"/>
        <w:rPr>
          <w:rFonts w:hint="eastAsia" w:ascii="宋体" w:hAnsi="宋体" w:eastAsia="方正黑体简体"/>
          <w:color w:val="000000"/>
          <w:kern w:val="0"/>
          <w:sz w:val="32"/>
          <w:szCs w:val="32"/>
          <w:lang w:val="en-US" w:eastAsia="zh-CN"/>
        </w:rPr>
      </w:pPr>
      <w:r>
        <w:rPr>
          <w:rFonts w:ascii="宋体" w:hAnsi="宋体" w:eastAsia="方正黑体简体"/>
          <w:color w:val="000000"/>
          <w:kern w:val="0"/>
          <w:sz w:val="32"/>
          <w:szCs w:val="32"/>
        </w:rPr>
        <w:t>附件</w:t>
      </w:r>
      <w:r>
        <w:rPr>
          <w:rFonts w:hint="eastAsia" w:ascii="宋体" w:hAnsi="宋体" w:eastAsia="方正黑体简体"/>
          <w:color w:val="000000"/>
          <w:kern w:val="0"/>
          <w:sz w:val="32"/>
          <w:szCs w:val="32"/>
          <w:lang w:val="en-US" w:eastAsia="zh-CN"/>
        </w:rPr>
        <w:t>1</w:t>
      </w:r>
    </w:p>
    <w:p>
      <w:pPr>
        <w:spacing w:line="620" w:lineRule="exact"/>
        <w:jc w:val="center"/>
        <w:rPr>
          <w:rFonts w:hint="eastAsia" w:ascii="宋体" w:hAnsi="宋体" w:eastAsia="方正小标宋简体" w:cs="Times New Roman"/>
          <w:color w:val="000000"/>
          <w:kern w:val="0"/>
          <w:sz w:val="36"/>
          <w:szCs w:val="36"/>
        </w:rPr>
      </w:pPr>
      <w:r>
        <w:rPr>
          <w:rFonts w:hint="eastAsia" w:ascii="宋体" w:hAnsi="宋体" w:eastAsia="方正小标宋简体" w:cs="Times New Roman"/>
          <w:color w:val="000000"/>
          <w:kern w:val="0"/>
          <w:sz w:val="36"/>
          <w:szCs w:val="36"/>
        </w:rPr>
        <w:t>202</w:t>
      </w:r>
      <w:r>
        <w:rPr>
          <w:rFonts w:hint="eastAsia" w:ascii="宋体" w:hAnsi="宋体" w:eastAsia="方正小标宋简体" w:cs="Times New Roman"/>
          <w:color w:val="000000"/>
          <w:kern w:val="0"/>
          <w:sz w:val="36"/>
          <w:szCs w:val="36"/>
          <w:lang w:val="en-US" w:eastAsia="zh-CN"/>
        </w:rPr>
        <w:t>2</w:t>
      </w:r>
      <w:r>
        <w:rPr>
          <w:rFonts w:hint="eastAsia" w:ascii="宋体" w:hAnsi="宋体" w:eastAsia="方正小标宋简体" w:cs="Times New Roman"/>
          <w:color w:val="000000"/>
          <w:kern w:val="0"/>
          <w:sz w:val="36"/>
          <w:szCs w:val="36"/>
        </w:rPr>
        <w:t>年度雁江区整体支出绩效目标完成情况表</w:t>
      </w:r>
    </w:p>
    <w:p>
      <w:pPr>
        <w:spacing w:line="620" w:lineRule="exact"/>
        <w:jc w:val="both"/>
        <w:rPr>
          <w:rFonts w:hint="eastAsia" w:ascii="宋体" w:hAnsi="宋体" w:eastAsia="方正小标宋简体"/>
          <w:color w:val="000000" w:themeColor="text1"/>
          <w:kern w:val="0"/>
          <w:sz w:val="21"/>
          <w:szCs w:val="21"/>
          <w14:textFill>
            <w14:solidFill>
              <w14:schemeClr w14:val="tx1"/>
            </w14:solidFill>
          </w14:textFill>
        </w:rPr>
      </w:pPr>
    </w:p>
    <w:tbl>
      <w:tblPr>
        <w:tblStyle w:val="18"/>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75"/>
        <w:gridCol w:w="851"/>
        <w:gridCol w:w="599"/>
        <w:gridCol w:w="1669"/>
        <w:gridCol w:w="1683"/>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themeColor="text1"/>
                <w:kern w:val="0"/>
                <w:sz w:val="18"/>
                <w:szCs w:val="18"/>
                <w14:textFill>
                  <w14:solidFill>
                    <w14:schemeClr w14:val="tx1"/>
                  </w14:solidFill>
                </w14:textFill>
              </w:rPr>
            </w:pPr>
            <w:r>
              <w:rPr>
                <w:rFonts w:hint="eastAsia" w:ascii="宋体" w:hAnsi="宋体" w:eastAsia="宋体" w:cs="Times New Roman"/>
                <w:color w:val="000000"/>
                <w:kern w:val="0"/>
                <w:sz w:val="18"/>
                <w:szCs w:val="18"/>
              </w:rPr>
              <w:t>部门（单位）名称</w:t>
            </w:r>
          </w:p>
        </w:tc>
        <w:tc>
          <w:tcPr>
            <w:tcW w:w="4194" w:type="dxa"/>
            <w:gridSpan w:val="4"/>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eastAsia="zh-CN"/>
              </w:rPr>
              <w:t>资阳市雁江区财政局</w:t>
            </w:r>
            <w:r>
              <w:rPr>
                <w:rFonts w:hint="eastAsia"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预算单位编码</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121001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76"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themeColor="text1"/>
                <w:kern w:val="0"/>
                <w:sz w:val="18"/>
                <w:szCs w:val="18"/>
                <w14:textFill>
                  <w14:solidFill>
                    <w14:schemeClr w14:val="tx1"/>
                  </w14:solidFill>
                </w14:textFill>
              </w:rPr>
            </w:pPr>
            <w:r>
              <w:rPr>
                <w:rFonts w:hint="eastAsia" w:ascii="宋体" w:hAnsi="宋体" w:eastAsia="宋体" w:cs="Times New Roman"/>
                <w:color w:val="000000"/>
                <w:kern w:val="0"/>
                <w:sz w:val="18"/>
                <w:szCs w:val="18"/>
              </w:rPr>
              <w:t>预算执行情况</w:t>
            </w: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项目</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预算额(</w:t>
            </w:r>
            <w:r>
              <w:rPr>
                <w:rFonts w:hint="eastAsia" w:ascii="宋体" w:hAnsi="宋体" w:eastAsia="宋体" w:cs="Times New Roman"/>
                <w:color w:val="000000"/>
                <w:kern w:val="0"/>
                <w:sz w:val="18"/>
                <w:szCs w:val="18"/>
                <w:lang w:val="en-US" w:eastAsia="zh-CN"/>
              </w:rPr>
              <w:t>万</w:t>
            </w:r>
            <w:r>
              <w:rPr>
                <w:rFonts w:hint="eastAsia" w:ascii="宋体" w:hAnsi="宋体" w:eastAsia="宋体" w:cs="Times New Roman"/>
                <w:color w:val="000000"/>
                <w:kern w:val="0"/>
                <w:sz w:val="18"/>
                <w:szCs w:val="18"/>
              </w:rPr>
              <w:t>元)</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执行额(</w:t>
            </w:r>
            <w:r>
              <w:rPr>
                <w:rFonts w:hint="eastAsia" w:ascii="宋体" w:hAnsi="宋体" w:eastAsia="宋体" w:cs="Times New Roman"/>
                <w:color w:val="000000"/>
                <w:kern w:val="0"/>
                <w:sz w:val="18"/>
                <w:szCs w:val="18"/>
                <w:lang w:val="en-US" w:eastAsia="zh-CN"/>
              </w:rPr>
              <w:t>万</w:t>
            </w:r>
            <w:r>
              <w:rPr>
                <w:rFonts w:hint="eastAsia" w:ascii="宋体" w:hAnsi="宋体" w:eastAsia="宋体" w:cs="Times New Roman"/>
                <w:color w:val="000000"/>
                <w:kern w:val="0"/>
                <w:sz w:val="18"/>
                <w:szCs w:val="18"/>
              </w:rPr>
              <w:t>元)</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当年结转结余额(</w:t>
            </w:r>
            <w:r>
              <w:rPr>
                <w:rFonts w:hint="eastAsia" w:ascii="宋体" w:hAnsi="宋体" w:eastAsia="宋体" w:cs="Times New Roman"/>
                <w:color w:val="000000"/>
                <w:kern w:val="0"/>
                <w:sz w:val="18"/>
                <w:szCs w:val="18"/>
                <w:lang w:val="en-US" w:eastAsia="zh-CN"/>
              </w:rPr>
              <w:t>万</w:t>
            </w:r>
            <w:r>
              <w:rPr>
                <w:rFonts w:hint="eastAsia" w:ascii="宋体" w:hAnsi="宋体" w:eastAsia="宋体" w:cs="Times New Roman"/>
                <w:color w:val="000000"/>
                <w:kern w:val="0"/>
                <w:sz w:val="18"/>
                <w:szCs w:val="18"/>
              </w:rPr>
              <w:t>元)</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结转结余率%</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结转结余变动率%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合计</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1829.76</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1811.68</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18.07</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0.987%</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rPr>
              <w:t>　</w:t>
            </w: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基本支出</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1047.28</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1047.28</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政策和项目支出</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782.48</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764.41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18.07</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2.31%</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rPr>
              <w:t>　</w:t>
            </w: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w:t>
            </w:r>
          </w:p>
          <w:p>
            <w:pPr>
              <w:widowControl/>
              <w:spacing w:line="240" w:lineRule="exact"/>
              <w:jc w:val="center"/>
              <w:rPr>
                <w:rFonts w:ascii="宋体" w:hAnsi="宋体"/>
                <w:color w:val="000000" w:themeColor="text1"/>
                <w:kern w:val="0"/>
                <w:sz w:val="18"/>
                <w:szCs w:val="18"/>
                <w14:textFill>
                  <w14:solidFill>
                    <w14:schemeClr w14:val="tx1"/>
                  </w14:solidFill>
                </w14:textFill>
              </w:rPr>
            </w:pPr>
            <w:r>
              <w:rPr>
                <w:rFonts w:hint="eastAsia" w:ascii="宋体" w:hAnsi="宋体" w:eastAsia="宋体" w:cs="Times New Roman"/>
                <w:color w:val="000000"/>
                <w:kern w:val="0"/>
                <w:sz w:val="18"/>
                <w:szCs w:val="18"/>
              </w:rPr>
              <w:t>结构</w:t>
            </w: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项目</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合计</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一般公共预算安排</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政府性基金预算安排</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国有资本经营预算安排</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社保基金预算安排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预算额(</w:t>
            </w:r>
            <w:r>
              <w:rPr>
                <w:rFonts w:hint="eastAsia" w:ascii="宋体" w:hAnsi="宋体" w:eastAsia="宋体" w:cs="Times New Roman"/>
                <w:color w:val="000000"/>
                <w:kern w:val="0"/>
                <w:sz w:val="18"/>
                <w:szCs w:val="18"/>
                <w:lang w:val="en-US" w:eastAsia="zh-CN"/>
              </w:rPr>
              <w:t>万</w:t>
            </w:r>
            <w:r>
              <w:rPr>
                <w:rFonts w:hint="eastAsia" w:ascii="宋体" w:hAnsi="宋体" w:eastAsia="宋体" w:cs="Times New Roman"/>
                <w:color w:val="000000"/>
                <w:kern w:val="0"/>
                <w:sz w:val="18"/>
                <w:szCs w:val="18"/>
              </w:rPr>
              <w:t>元)</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rPr>
            </w:pPr>
            <w:r>
              <w:rPr>
                <w:rFonts w:hint="eastAsia" w:ascii="宋体" w:hAnsi="宋体" w:eastAsia="宋体" w:cs="Times New Roman"/>
                <w:color w:val="000000"/>
                <w:kern w:val="0"/>
                <w:sz w:val="18"/>
                <w:szCs w:val="18"/>
                <w:lang w:val="en-US" w:eastAsia="zh-CN"/>
              </w:rPr>
              <w:t>1829.76</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1829.76</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执行额(</w:t>
            </w:r>
            <w:r>
              <w:rPr>
                <w:rFonts w:hint="eastAsia" w:ascii="宋体" w:hAnsi="宋体" w:eastAsia="宋体" w:cs="Times New Roman"/>
                <w:color w:val="000000"/>
                <w:kern w:val="0"/>
                <w:sz w:val="18"/>
                <w:szCs w:val="18"/>
                <w:lang w:val="en-US" w:eastAsia="zh-CN"/>
              </w:rPr>
              <w:t>万</w:t>
            </w:r>
            <w:r>
              <w:rPr>
                <w:rFonts w:hint="eastAsia" w:ascii="宋体" w:hAnsi="宋体" w:eastAsia="宋体" w:cs="Times New Roman"/>
                <w:color w:val="000000"/>
                <w:kern w:val="0"/>
                <w:sz w:val="18"/>
                <w:szCs w:val="18"/>
              </w:rPr>
              <w:t>元)</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1811.68</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1811.68</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当年结转结余额(</w:t>
            </w:r>
            <w:r>
              <w:rPr>
                <w:rFonts w:hint="eastAsia" w:ascii="宋体" w:hAnsi="宋体" w:eastAsia="宋体" w:cs="Times New Roman"/>
                <w:color w:val="000000"/>
                <w:kern w:val="0"/>
                <w:sz w:val="18"/>
                <w:szCs w:val="18"/>
                <w:lang w:val="en-US" w:eastAsia="zh-CN"/>
              </w:rPr>
              <w:t>万</w:t>
            </w:r>
            <w:r>
              <w:rPr>
                <w:rFonts w:hint="eastAsia" w:ascii="宋体" w:hAnsi="宋体" w:eastAsia="宋体" w:cs="Times New Roman"/>
                <w:color w:val="000000"/>
                <w:kern w:val="0"/>
                <w:sz w:val="18"/>
                <w:szCs w:val="18"/>
              </w:rPr>
              <w:t>元)</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rPr>
            </w:pPr>
            <w:r>
              <w:rPr>
                <w:rFonts w:hint="eastAsia" w:ascii="宋体" w:hAnsi="宋体" w:eastAsia="宋体" w:cs="Times New Roman"/>
                <w:color w:val="000000"/>
                <w:kern w:val="0"/>
                <w:sz w:val="18"/>
                <w:szCs w:val="18"/>
                <w:lang w:val="en-US" w:eastAsia="zh-CN"/>
              </w:rPr>
              <w:t>18.07</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rPr>
            </w:pPr>
            <w:r>
              <w:rPr>
                <w:rFonts w:hint="eastAsia" w:ascii="宋体" w:hAnsi="宋体" w:eastAsia="宋体" w:cs="Times New Roman"/>
                <w:color w:val="000000"/>
                <w:kern w:val="0"/>
                <w:sz w:val="18"/>
                <w:szCs w:val="18"/>
                <w:lang w:val="en-US" w:eastAsia="zh-CN"/>
              </w:rPr>
              <w:t>18.07</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结转结余率%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0.987%</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0.987%</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结转结余变动率%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0</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76"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themeColor="text1"/>
                <w:kern w:val="0"/>
                <w:sz w:val="18"/>
                <w:szCs w:val="18"/>
                <w14:textFill>
                  <w14:solidFill>
                    <w14:schemeClr w14:val="tx1"/>
                  </w14:solidFill>
                </w14:textFill>
              </w:rPr>
            </w:pPr>
            <w:r>
              <w:rPr>
                <w:rFonts w:hint="eastAsia" w:ascii="宋体" w:hAnsi="宋体" w:eastAsia="宋体" w:cs="Times New Roman"/>
                <w:color w:val="000000"/>
                <w:kern w:val="0"/>
                <w:sz w:val="18"/>
                <w:szCs w:val="18"/>
              </w:rPr>
              <w:t>年度总体目标</w:t>
            </w: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预算总体目标</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预算总体目标执行结果</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预算总体目标与预算总体目标</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执行结果偏差情况及原因分析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目标1</w:t>
            </w:r>
            <w:r>
              <w:rPr>
                <w:rFonts w:hint="eastAsia" w:ascii="宋体" w:hAnsi="宋体" w:eastAsia="宋体" w:cs="Times New Roman"/>
                <w:color w:val="000000"/>
                <w:kern w:val="0"/>
                <w:sz w:val="18"/>
                <w:szCs w:val="18"/>
                <w:lang w:eastAsia="zh-CN"/>
              </w:rPr>
              <w:t>：强化债券资金争取，做好到期债务化解，防范隐性债务风险。</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rPr>
              <w:t>　</w:t>
            </w:r>
            <w:r>
              <w:rPr>
                <w:rFonts w:hint="eastAsia" w:ascii="宋体" w:hAnsi="宋体" w:eastAsia="宋体" w:cs="Times New Roman"/>
                <w:color w:val="000000"/>
                <w:kern w:val="0"/>
                <w:sz w:val="18"/>
                <w:szCs w:val="18"/>
                <w:lang w:eastAsia="zh-CN"/>
              </w:rPr>
              <w:t>已完成。</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rPr>
              <w:t>目标2</w:t>
            </w:r>
            <w:r>
              <w:rPr>
                <w:rFonts w:hint="eastAsia" w:ascii="宋体" w:hAnsi="宋体" w:eastAsia="宋体" w:cs="Times New Roman"/>
                <w:color w:val="000000"/>
                <w:kern w:val="0"/>
                <w:sz w:val="18"/>
                <w:szCs w:val="18"/>
                <w:lang w:eastAsia="zh-CN"/>
              </w:rPr>
              <w:t>：加强行政事业单位资产管理，充分挖掘闲置资产潜力。</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eastAsia="zh-CN"/>
              </w:rPr>
              <w:t>已完成。</w:t>
            </w:r>
            <w:r>
              <w:rPr>
                <w:rFonts w:hint="eastAsia" w:ascii="宋体" w:hAnsi="宋体" w:eastAsia="宋体" w:cs="Times New Roman"/>
                <w:color w:val="000000"/>
                <w:kern w:val="0"/>
                <w:sz w:val="18"/>
                <w:szCs w:val="18"/>
              </w:rPr>
              <w:t>　</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目标3</w:t>
            </w:r>
            <w:r>
              <w:rPr>
                <w:rFonts w:hint="eastAsia" w:ascii="宋体" w:hAnsi="宋体" w:eastAsia="宋体" w:cs="Times New Roman"/>
                <w:color w:val="000000"/>
                <w:kern w:val="0"/>
                <w:sz w:val="18"/>
                <w:szCs w:val="18"/>
                <w:lang w:eastAsia="zh-CN"/>
              </w:rPr>
              <w:t>：</w:t>
            </w:r>
            <w:r>
              <w:rPr>
                <w:rFonts w:hint="eastAsia" w:ascii="宋体" w:hAnsi="宋体" w:eastAsia="宋体" w:cs="Times New Roman"/>
                <w:color w:val="000000"/>
                <w:kern w:val="0"/>
                <w:sz w:val="18"/>
                <w:szCs w:val="18"/>
                <w:lang w:val="zh-CN" w:eastAsia="zh-CN"/>
              </w:rPr>
              <w:t>健全乡村振兴多元投入机制，强化乡村振兴资金保障</w:t>
            </w:r>
            <w:r>
              <w:rPr>
                <w:rFonts w:hint="eastAsia" w:ascii="宋体" w:hAnsi="宋体" w:eastAsia="宋体" w:cs="Times New Roman"/>
                <w:color w:val="000000"/>
                <w:kern w:val="0"/>
                <w:sz w:val="18"/>
                <w:szCs w:val="18"/>
                <w:lang w:eastAsia="zh-CN"/>
              </w:rPr>
              <w:t>。</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eastAsia="zh-CN"/>
              </w:rPr>
              <w:t>已完成。</w:t>
            </w:r>
            <w:r>
              <w:rPr>
                <w:rFonts w:hint="eastAsia" w:ascii="宋体" w:hAnsi="宋体" w:eastAsia="宋体" w:cs="Times New Roman"/>
                <w:color w:val="000000"/>
                <w:kern w:val="0"/>
                <w:sz w:val="18"/>
                <w:szCs w:val="18"/>
              </w:rPr>
              <w:t>　</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eastAsia="zh-CN"/>
              </w:rPr>
              <w:t>目标</w:t>
            </w:r>
            <w:r>
              <w:rPr>
                <w:rFonts w:hint="eastAsia" w:ascii="宋体" w:hAnsi="宋体" w:eastAsia="宋体" w:cs="Times New Roman"/>
                <w:color w:val="000000"/>
                <w:kern w:val="0"/>
                <w:sz w:val="18"/>
                <w:szCs w:val="18"/>
                <w:lang w:val="en-US" w:eastAsia="zh-CN"/>
              </w:rPr>
              <w:t>4：开展地方财经专项整治行动，资金使用绩效评价，财政投资评审工作。</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eastAsia="zh-CN"/>
              </w:rPr>
              <w:t>已完成。</w:t>
            </w:r>
            <w:r>
              <w:rPr>
                <w:rFonts w:hint="eastAsia" w:ascii="宋体" w:hAnsi="宋体" w:eastAsia="宋体" w:cs="Times New Roman"/>
                <w:color w:val="000000"/>
                <w:kern w:val="0"/>
                <w:sz w:val="18"/>
                <w:szCs w:val="18"/>
              </w:rPr>
              <w:t>　</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eastAsia="zh-CN"/>
              </w:rPr>
              <w:t>目标</w:t>
            </w:r>
            <w:r>
              <w:rPr>
                <w:rFonts w:hint="eastAsia" w:ascii="宋体" w:hAnsi="宋体" w:eastAsia="宋体" w:cs="Times New Roman"/>
                <w:color w:val="000000"/>
                <w:kern w:val="0"/>
                <w:sz w:val="18"/>
                <w:szCs w:val="18"/>
                <w:lang w:val="en-US" w:eastAsia="zh-CN"/>
              </w:rPr>
              <w:t>5：持续推进政府采购改革、国库集中支付改革、预算管理一体化建设。</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lang w:eastAsia="zh-CN"/>
              </w:rPr>
              <w:t>已完成。</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926"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eastAsia="zh-CN"/>
              </w:rPr>
              <w:t>目标</w:t>
            </w:r>
            <w:r>
              <w:rPr>
                <w:rFonts w:hint="eastAsia" w:ascii="宋体" w:hAnsi="宋体" w:eastAsia="宋体" w:cs="Times New Roman"/>
                <w:color w:val="000000"/>
                <w:kern w:val="0"/>
                <w:sz w:val="18"/>
                <w:szCs w:val="18"/>
                <w:lang w:val="en-US" w:eastAsia="zh-CN"/>
              </w:rPr>
              <w:t>6：抓牢财政收入组织，强化民生基本保障，加大基层运转投入，强化民生事业保障力度。</w:t>
            </w:r>
          </w:p>
        </w:tc>
        <w:tc>
          <w:tcPr>
            <w:tcW w:w="22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lang w:eastAsia="zh-CN"/>
              </w:rPr>
              <w:t>已完成。</w:t>
            </w:r>
          </w:p>
        </w:tc>
        <w:tc>
          <w:tcPr>
            <w:tcW w:w="387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76"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themeColor="text1"/>
                <w:kern w:val="0"/>
                <w:sz w:val="18"/>
                <w:szCs w:val="18"/>
                <w14:textFill>
                  <w14:solidFill>
                    <w14:schemeClr w14:val="tx1"/>
                  </w14:solidFill>
                </w14:textFill>
              </w:rPr>
            </w:pPr>
            <w:r>
              <w:rPr>
                <w:rFonts w:hint="eastAsia" w:ascii="宋体" w:hAnsi="宋体" w:eastAsia="宋体" w:cs="Times New Roman"/>
                <w:color w:val="000000"/>
                <w:kern w:val="0"/>
                <w:sz w:val="18"/>
                <w:szCs w:val="18"/>
              </w:rPr>
              <w:t>年度绩效指标</w:t>
            </w:r>
          </w:p>
        </w:tc>
        <w:tc>
          <w:tcPr>
            <w:tcW w:w="107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一级指标</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二级指标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三级指标</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预算指标值(包含数字及文字描述)</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预算指标值执行结果(包含数字及文字描述)</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预算指标值与预算指标值执行结果偏差情况及原因分析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完成</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数量</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指标1:开展财政投资评审工作送审项目数量</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≥200个</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default"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已完成</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质量</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rPr>
              <w:t>项目均已完成。</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rPr>
              <w:t>整个机关正常运行。</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项目完成，</w:t>
            </w:r>
            <w:r>
              <w:rPr>
                <w:rFonts w:hint="eastAsia" w:ascii="宋体" w:hAnsi="宋体" w:eastAsia="宋体" w:cs="Times New Roman"/>
                <w:color w:val="000000"/>
                <w:kern w:val="0"/>
                <w:sz w:val="18"/>
                <w:szCs w:val="18"/>
                <w:lang w:eastAsia="zh-CN"/>
              </w:rPr>
              <w:t>部分项目执行情况与预期有偏差</w:t>
            </w:r>
            <w:r>
              <w:rPr>
                <w:rFonts w:hint="eastAsia" w:ascii="宋体" w:hAnsi="宋体" w:eastAsia="宋体"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时效</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rPr>
              <w:t>基本支出均按时按进度拨付，项目资金</w:t>
            </w:r>
            <w:r>
              <w:rPr>
                <w:rFonts w:hint="eastAsia" w:ascii="宋体" w:hAnsi="宋体" w:eastAsia="宋体" w:cs="Times New Roman"/>
                <w:color w:val="000000"/>
                <w:kern w:val="0"/>
                <w:sz w:val="18"/>
                <w:szCs w:val="18"/>
                <w:lang w:eastAsia="zh-CN"/>
              </w:rPr>
              <w:t>也已</w:t>
            </w:r>
            <w:r>
              <w:rPr>
                <w:rFonts w:hint="eastAsia" w:ascii="宋体" w:hAnsi="宋体" w:eastAsia="宋体" w:cs="Times New Roman"/>
                <w:color w:val="000000"/>
                <w:kern w:val="0"/>
                <w:sz w:val="18"/>
                <w:szCs w:val="18"/>
              </w:rPr>
              <w:t>拨付</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val="en-US" w:eastAsia="zh-CN"/>
              </w:rPr>
              <w:t>所有资金按进度拨付使用。</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成本</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效益</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经济效益指标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社会效益指标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rPr>
              <w:t>保障</w:t>
            </w:r>
            <w:r>
              <w:rPr>
                <w:rFonts w:hint="eastAsia" w:ascii="宋体" w:hAnsi="宋体" w:eastAsia="宋体" w:cs="Times New Roman"/>
                <w:color w:val="000000"/>
                <w:kern w:val="0"/>
                <w:sz w:val="18"/>
                <w:szCs w:val="18"/>
                <w:lang w:eastAsia="zh-CN"/>
              </w:rPr>
              <w:t>财政局</w:t>
            </w:r>
            <w:r>
              <w:rPr>
                <w:rFonts w:hint="eastAsia" w:ascii="宋体" w:hAnsi="宋体" w:eastAsia="宋体" w:cs="Times New Roman"/>
                <w:color w:val="000000"/>
                <w:kern w:val="0"/>
                <w:sz w:val="18"/>
                <w:szCs w:val="18"/>
              </w:rPr>
              <w:t>正常运行。</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val="en-US" w:eastAsia="zh-CN"/>
              </w:rPr>
            </w:pPr>
            <w:r>
              <w:rPr>
                <w:rFonts w:hint="eastAsia" w:ascii="宋体" w:hAnsi="宋体" w:eastAsia="宋体" w:cs="Times New Roman"/>
                <w:color w:val="000000"/>
                <w:kern w:val="0"/>
                <w:sz w:val="18"/>
                <w:szCs w:val="18"/>
                <w:lang w:eastAsia="zh-CN"/>
              </w:rPr>
              <w:t>认真履职，保障工资等三保资金。保障民生扶贫资金。</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 w:val="18"/>
                <w:szCs w:val="18"/>
              </w:rPr>
              <w:t>工作正常开展，经费未完全拨付。主要是财政资金紧张造成。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生态效益指标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可持续影响指标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满意度</w:t>
            </w:r>
          </w:p>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w:t>
            </w:r>
          </w:p>
        </w:tc>
        <w:tc>
          <w:tcPr>
            <w:tcW w:w="85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满意度指标</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指标1:</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组织干部职工到联系村、社区和区级各部门开展“大走访”和社会评价宣传工作，收集并解决群众和管理服务对象反馈问题。</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ascii="宋体" w:hAnsi="宋体" w:eastAsia="宋体" w:cs="Times New Roman"/>
                <w:color w:val="000000"/>
                <w:kern w:val="0"/>
                <w:sz w:val="18"/>
                <w:szCs w:val="18"/>
              </w:rPr>
              <w:t>　</w:t>
            </w:r>
            <w:r>
              <w:rPr>
                <w:rFonts w:hint="eastAsia" w:ascii="宋体" w:hAnsi="宋体" w:eastAsia="宋体" w:cs="Times New Roman"/>
                <w:color w:val="000000"/>
                <w:kern w:val="0"/>
                <w:sz w:val="18"/>
                <w:szCs w:val="18"/>
              </w:rPr>
              <w:t>通过社会评价体系在全区的排名提升</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指标2:</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kern w:val="0"/>
                <w:sz w:val="18"/>
                <w:szCs w:val="18"/>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Times New Roman"/>
                <w:color w:val="000000"/>
                <w:kern w:val="0"/>
                <w:sz w:val="18"/>
                <w:szCs w:val="18"/>
              </w:rPr>
            </w:pP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w:t>
            </w:r>
          </w:p>
        </w:tc>
        <w:tc>
          <w:tcPr>
            <w:tcW w:w="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166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1683"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c>
          <w:tcPr>
            <w:tcW w:w="2194"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　</w:t>
            </w:r>
          </w:p>
        </w:tc>
      </w:tr>
    </w:tbl>
    <w:p>
      <w:pPr>
        <w:pStyle w:val="2"/>
        <w:rPr>
          <w:rFonts w:hint="eastAsia" w:ascii="宋体" w:hAnsi="宋体" w:eastAsia="方正黑体简体"/>
          <w:color w:val="000000"/>
          <w:kern w:val="0"/>
          <w:sz w:val="32"/>
          <w:szCs w:val="32"/>
          <w:lang w:val="en-US" w:eastAsia="zh-CN"/>
        </w:rPr>
        <w:sectPr>
          <w:footerReference r:id="rId7" w:type="first"/>
          <w:footerReference r:id="rId6" w:type="default"/>
          <w:pgSz w:w="11906" w:h="16838"/>
          <w:pgMar w:top="1440" w:right="1800" w:bottom="1440" w:left="1800" w:header="851" w:footer="992" w:gutter="0"/>
          <w:pgNumType w:fmt="decimal" w:start="48"/>
          <w:cols w:space="0" w:num="1"/>
          <w:titlePg/>
          <w:rtlGutter w:val="0"/>
          <w:docGrid w:type="lines" w:linePitch="312" w:charSpace="0"/>
        </w:sectPr>
      </w:pPr>
    </w:p>
    <w:p>
      <w:pPr>
        <w:spacing w:line="600" w:lineRule="exact"/>
        <w:jc w:val="left"/>
        <w:rPr>
          <w:rFonts w:hint="eastAsia" w:ascii="宋体" w:hAnsi="宋体" w:eastAsia="方正黑体简体" w:cs="Times New Roman"/>
          <w:color w:val="000000"/>
          <w:kern w:val="0"/>
          <w:sz w:val="32"/>
          <w:szCs w:val="32"/>
          <w:lang w:val="en-US" w:eastAsia="zh-CN" w:bidi="ar-SA"/>
        </w:rPr>
      </w:pPr>
      <w:r>
        <w:rPr>
          <w:rFonts w:hint="eastAsia" w:ascii="宋体" w:hAnsi="宋体" w:eastAsia="方正黑体简体" w:cs="Times New Roman"/>
          <w:color w:val="000000"/>
          <w:kern w:val="0"/>
          <w:sz w:val="32"/>
          <w:szCs w:val="32"/>
          <w:lang w:val="en-US" w:eastAsia="zh-CN" w:bidi="ar-SA"/>
        </w:rPr>
        <w:t>附件2</w:t>
      </w:r>
    </w:p>
    <w:p>
      <w:pPr>
        <w:spacing w:line="600" w:lineRule="exact"/>
        <w:jc w:val="center"/>
        <w:rPr>
          <w:rFonts w:hint="eastAsia" w:ascii="宋体" w:hAnsi="宋体" w:eastAsia="方正小标宋简体"/>
          <w:color w:val="000000"/>
          <w:spacing w:val="-12"/>
          <w:kern w:val="0"/>
          <w:sz w:val="40"/>
          <w:szCs w:val="40"/>
          <w:lang w:eastAsia="zh-CN"/>
        </w:rPr>
      </w:pPr>
      <w:r>
        <w:rPr>
          <w:rFonts w:hint="eastAsia" w:ascii="宋体" w:hAnsi="宋体" w:eastAsia="方正小标宋简体"/>
          <w:color w:val="000000"/>
          <w:spacing w:val="-12"/>
          <w:kern w:val="0"/>
          <w:sz w:val="40"/>
          <w:szCs w:val="40"/>
        </w:rPr>
        <w:t>资阳市雁江区</w:t>
      </w:r>
      <w:r>
        <w:rPr>
          <w:rFonts w:hint="eastAsia" w:ascii="宋体" w:hAnsi="宋体" w:eastAsia="方正小标宋简体"/>
          <w:color w:val="000000"/>
          <w:spacing w:val="-12"/>
          <w:kern w:val="0"/>
          <w:sz w:val="40"/>
          <w:szCs w:val="40"/>
          <w:lang w:eastAsia="zh-CN"/>
        </w:rPr>
        <w:t>财政局</w:t>
      </w:r>
    </w:p>
    <w:p>
      <w:pPr>
        <w:spacing w:line="600" w:lineRule="exact"/>
        <w:jc w:val="center"/>
        <w:rPr>
          <w:rFonts w:ascii="宋体" w:hAnsi="宋体" w:eastAsia="方正小标宋简体"/>
          <w:color w:val="000000"/>
          <w:spacing w:val="-12"/>
          <w:kern w:val="0"/>
          <w:sz w:val="40"/>
          <w:szCs w:val="40"/>
        </w:rPr>
      </w:pPr>
      <w:r>
        <w:rPr>
          <w:rFonts w:hint="eastAsia" w:ascii="宋体" w:hAnsi="宋体" w:eastAsia="方正小标宋简体"/>
          <w:color w:val="000000"/>
          <w:spacing w:val="-12"/>
          <w:kern w:val="0"/>
          <w:sz w:val="40"/>
          <w:szCs w:val="40"/>
          <w:lang w:eastAsia="zh-CN"/>
        </w:rPr>
        <w:t>2022</w:t>
      </w:r>
      <w:r>
        <w:rPr>
          <w:rFonts w:ascii="宋体" w:hAnsi="宋体" w:eastAsia="方正小标宋简体"/>
          <w:color w:val="000000"/>
          <w:spacing w:val="-12"/>
          <w:kern w:val="0"/>
          <w:sz w:val="40"/>
          <w:szCs w:val="40"/>
        </w:rPr>
        <w:t>年</w:t>
      </w:r>
      <w:r>
        <w:rPr>
          <w:rFonts w:hint="eastAsia" w:ascii="宋体" w:hAnsi="宋体" w:eastAsia="方正小标宋简体"/>
          <w:color w:val="000000"/>
          <w:spacing w:val="-12"/>
          <w:kern w:val="0"/>
          <w:sz w:val="40"/>
          <w:szCs w:val="40"/>
        </w:rPr>
        <w:t>区</w:t>
      </w:r>
      <w:r>
        <w:rPr>
          <w:rFonts w:ascii="宋体" w:hAnsi="宋体" w:eastAsia="方正小标宋简体"/>
          <w:color w:val="000000"/>
          <w:spacing w:val="-12"/>
          <w:kern w:val="0"/>
          <w:sz w:val="40"/>
          <w:szCs w:val="40"/>
        </w:rPr>
        <w:t>级项目支出绩效自评报告</w:t>
      </w:r>
    </w:p>
    <w:p>
      <w:pPr>
        <w:spacing w:line="600" w:lineRule="exact"/>
        <w:jc w:val="center"/>
        <w:outlineLvl w:val="0"/>
        <w:rPr>
          <w:rFonts w:ascii="宋体" w:hAnsi="宋体" w:eastAsia="方正楷体简体" w:cs="宋体"/>
          <w:b/>
          <w:color w:val="000000" w:themeColor="text1"/>
          <w:sz w:val="33"/>
          <w:szCs w:val="33"/>
          <w14:textFill>
            <w14:solidFill>
              <w14:schemeClr w14:val="tx1"/>
            </w14:solidFill>
          </w14:textFill>
        </w:rPr>
      </w:pPr>
      <w:r>
        <w:rPr>
          <w:rFonts w:hint="eastAsia" w:ascii="宋体" w:hAnsi="宋体" w:eastAsia="方正楷体_GBK" w:cs="方正楷体_GBK"/>
          <w:b/>
          <w:bCs w:val="0"/>
          <w:sz w:val="32"/>
          <w:szCs w:val="32"/>
        </w:rPr>
        <w:t>（</w:t>
      </w:r>
      <w:r>
        <w:rPr>
          <w:rFonts w:hint="eastAsia" w:ascii="宋体" w:hAnsi="宋体" w:eastAsia="方正楷体简体" w:cs="宋体"/>
          <w:b/>
          <w:color w:val="000000" w:themeColor="text1"/>
          <w:sz w:val="33"/>
          <w:szCs w:val="33"/>
          <w:lang w:eastAsia="zh-CN"/>
          <w14:textFill>
            <w14:solidFill>
              <w14:schemeClr w14:val="tx1"/>
            </w14:solidFill>
          </w14:textFill>
        </w:rPr>
        <w:t>2021年网络信息化安全建设及运行维护费</w:t>
      </w:r>
      <w:r>
        <w:rPr>
          <w:rFonts w:hint="eastAsia" w:ascii="宋体" w:hAnsi="宋体" w:eastAsia="方正楷体简体" w:cs="宋体"/>
          <w:b/>
          <w:color w:val="000000" w:themeColor="text1"/>
          <w:sz w:val="33"/>
          <w:szCs w:val="33"/>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90" w:lineRule="exact"/>
        <w:ind w:firstLine="640" w:firstLineChars="200"/>
        <w:textAlignment w:val="auto"/>
        <w:outlineLvl w:val="0"/>
        <w:rPr>
          <w:rFonts w:hint="eastAsia" w:ascii="宋体" w:hAnsi="宋体" w:eastAsia="方正黑体_GBK" w:cs="方正黑体_GBK"/>
          <w:sz w:val="32"/>
          <w:szCs w:val="32"/>
        </w:rPr>
      </w:pP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一、项目基本情况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（一）概况</w:t>
      </w:r>
    </w:p>
    <w:p>
      <w:pPr>
        <w:pStyle w:val="2"/>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1．立项背景及目的</w:t>
      </w:r>
    </w:p>
    <w:p>
      <w:pPr>
        <w:spacing w:line="600" w:lineRule="exact"/>
        <w:ind w:firstLine="641"/>
        <w:jc w:val="left"/>
        <w:rPr>
          <w:rFonts w:hint="default" w:ascii="宋体" w:hAnsi="宋体" w:eastAsia="方正仿宋简体" w:cs="Times New Roman"/>
          <w:kern w:val="2"/>
          <w:sz w:val="33"/>
          <w:szCs w:val="33"/>
          <w:lang w:val="en-US" w:eastAsia="zh-CN" w:bidi="ar-SA"/>
        </w:rPr>
      </w:pPr>
      <w:r>
        <w:rPr>
          <w:rFonts w:hint="eastAsia" w:ascii="宋体" w:hAnsi="宋体" w:eastAsia="方正仿宋简体" w:cs="Times New Roman"/>
          <w:kern w:val="2"/>
          <w:sz w:val="33"/>
          <w:szCs w:val="33"/>
          <w:lang w:val="en-US" w:eastAsia="zh-CN" w:bidi="ar-SA"/>
        </w:rPr>
        <w:t>党的十九大和十九届四中全会对运用互联网技术和信息化手段开展工作提出了明确要求，互联网与信息化成为推进治理体系和治理能力现代化的重要途径。而资阳市雁江区财政局作为资阳市雁江区人民政府工作部门，认真贯彻落实党中央、四川省党委和市委关于财经工作的方针政策和决策部署，以信息化建设助推财政各项改革和管理创新，先后开发实施了办公自动化系统、政府采购监督管理系统、财政一体化系统（包括部门预算、指标管理、国库支付、公务卡、支付电子化、动态监控、总账等子系统）等财政应用系统，不仅提高了工作效率，促进了财政管理科学化和规范化，而且强化了对财政资金运行的监督管理。为了保障机关正常运行，为其提供技术性和辅助性保障，保障信息化工作正常运行，特提出2021年网络信息化安全建设及运行维护费项目。</w:t>
      </w:r>
    </w:p>
    <w:p>
      <w:pPr>
        <w:pStyle w:val="2"/>
        <w:numPr>
          <w:ilvl w:val="0"/>
          <w:numId w:val="11"/>
        </w:numPr>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预算资金来源及使用情况</w:t>
      </w:r>
    </w:p>
    <w:p>
      <w:pPr>
        <w:spacing w:line="600" w:lineRule="exact"/>
        <w:ind w:firstLine="641"/>
        <w:jc w:val="left"/>
        <w:rPr>
          <w:rFonts w:hint="eastAsia" w:ascii="宋体" w:hAnsi="宋体" w:eastAsia="方正仿宋简体" w:cs="Times New Roman"/>
          <w:kern w:val="2"/>
          <w:sz w:val="33"/>
          <w:szCs w:val="33"/>
          <w:lang w:val="en-US" w:eastAsia="zh-CN" w:bidi="ar-SA"/>
        </w:rPr>
      </w:pPr>
      <w:r>
        <w:rPr>
          <w:rFonts w:hint="eastAsia" w:ascii="宋体" w:hAnsi="宋体" w:eastAsia="方正仿宋简体" w:cs="Times New Roman"/>
          <w:kern w:val="2"/>
          <w:sz w:val="33"/>
          <w:szCs w:val="33"/>
          <w:lang w:val="en-US" w:eastAsia="zh-CN" w:bidi="ar-SA"/>
        </w:rPr>
        <w:t>项目资金用于支付全局各种系统维护信息调试工作费用。</w:t>
      </w:r>
    </w:p>
    <w:p>
      <w:pPr>
        <w:spacing w:line="600" w:lineRule="exact"/>
        <w:ind w:firstLine="641"/>
        <w:jc w:val="left"/>
        <w:rPr>
          <w:rFonts w:hint="eastAsia" w:ascii="宋体" w:hAnsi="宋体" w:eastAsia="方正仿宋简体" w:cs="Times New Roman"/>
          <w:kern w:val="2"/>
          <w:sz w:val="33"/>
          <w:szCs w:val="33"/>
          <w:lang w:val="en-US" w:eastAsia="zh-CN" w:bidi="ar-SA"/>
        </w:rPr>
      </w:pPr>
      <w:r>
        <w:rPr>
          <w:rFonts w:hint="eastAsia" w:ascii="宋体" w:hAnsi="宋体" w:eastAsia="方正仿宋简体" w:cs="Times New Roman"/>
          <w:kern w:val="2"/>
          <w:sz w:val="33"/>
          <w:szCs w:val="33"/>
          <w:lang w:val="en-US" w:eastAsia="zh-CN" w:bidi="ar-SA"/>
        </w:rPr>
        <w:t>2022年，本项目年初预算68.2万元，调整预算数为68.2万元，截至2022年12月31日，本项目预算执行数为68.2万元，预算执行率为100%，全部为一般公共预算拨款。</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实施情况（项目完成情况）</w:t>
      </w:r>
    </w:p>
    <w:p>
      <w:pPr>
        <w:spacing w:line="600" w:lineRule="exact"/>
        <w:ind w:firstLine="641"/>
        <w:jc w:val="left"/>
        <w:rPr>
          <w:rFonts w:hint="eastAsia" w:ascii="宋体" w:hAnsi="宋体" w:eastAsia="方正仿宋简体" w:cs="Times New Roman"/>
          <w:kern w:val="2"/>
          <w:sz w:val="33"/>
          <w:szCs w:val="33"/>
          <w:lang w:val="en-US" w:eastAsia="zh-CN" w:bidi="ar-SA"/>
        </w:rPr>
      </w:pPr>
      <w:r>
        <w:rPr>
          <w:rFonts w:hint="eastAsia" w:ascii="宋体" w:hAnsi="宋体" w:eastAsia="方正仿宋简体" w:cs="Times New Roman"/>
          <w:kern w:val="2"/>
          <w:sz w:val="33"/>
          <w:szCs w:val="33"/>
          <w:lang w:val="en-US" w:eastAsia="zh-CN" w:bidi="ar-SA"/>
        </w:rPr>
        <w:t>根据年度预算安排及实际工作需要，本项目的实际使用情况如下：一是用于各种系统维护，进行信息调试，保障雁江区财政局各网络线路畅通，确保各有关单位对财政业务系统的访问线路稳定畅通。二是保障信息中心机房及各硬件设备运行正常，及时进行设备系统维护。2022年度，该项目总体实施情况良好。</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组织及管理（项目组织、管理流程及实际执行情况）</w:t>
      </w:r>
    </w:p>
    <w:p>
      <w:pPr>
        <w:spacing w:line="600" w:lineRule="exact"/>
        <w:ind w:firstLine="641"/>
        <w:jc w:val="left"/>
        <w:rPr>
          <w:rFonts w:hint="default"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本项目按年初预算资金安排，根据工作实际，按照合同约定进行资金拨付。</w:t>
      </w:r>
      <w:r>
        <w:rPr>
          <w:rFonts w:hint="eastAsia" w:ascii="宋体" w:hAnsi="宋体" w:eastAsia="方正仿宋简体" w:cs="宋体"/>
          <w:color w:val="000000" w:themeColor="text1"/>
          <w:sz w:val="33"/>
          <w:szCs w:val="33"/>
          <w:lang w:val="en-US" w:eastAsia="zh-CN"/>
          <w14:textFill>
            <w14:solidFill>
              <w14:schemeClr w14:val="tx1"/>
            </w14:solidFill>
          </w14:textFill>
        </w:rPr>
        <w:t>2022年度，</w:t>
      </w:r>
      <w:r>
        <w:rPr>
          <w:rFonts w:hint="eastAsia" w:ascii="宋体" w:hAnsi="宋体" w:eastAsia="方正仿宋简体" w:cs="宋体"/>
          <w:color w:val="000000" w:themeColor="text1"/>
          <w:sz w:val="33"/>
          <w:szCs w:val="33"/>
          <w14:textFill>
            <w14:solidFill>
              <w14:schemeClr w14:val="tx1"/>
            </w14:solidFill>
          </w14:textFill>
        </w:rPr>
        <w:t>本项目资金实际支出</w:t>
      </w:r>
      <w:r>
        <w:rPr>
          <w:rFonts w:hint="eastAsia" w:ascii="宋体" w:hAnsi="宋体" w:eastAsia="方正仿宋简体" w:cs="宋体"/>
          <w:color w:val="000000" w:themeColor="text1"/>
          <w:sz w:val="33"/>
          <w:szCs w:val="33"/>
          <w:lang w:val="en-US" w:eastAsia="zh-CN"/>
          <w14:textFill>
            <w14:solidFill>
              <w14:schemeClr w14:val="tx1"/>
            </w14:solidFill>
          </w14:textFill>
        </w:rPr>
        <w:t>68.2</w:t>
      </w:r>
      <w:r>
        <w:rPr>
          <w:rFonts w:hint="eastAsia" w:ascii="宋体" w:hAnsi="宋体" w:eastAsia="方正仿宋简体" w:cs="宋体"/>
          <w:color w:val="000000" w:themeColor="text1"/>
          <w:sz w:val="33"/>
          <w:szCs w:val="33"/>
          <w14:textFill>
            <w14:solidFill>
              <w14:schemeClr w14:val="tx1"/>
            </w14:solidFill>
          </w14:textFill>
        </w:rPr>
        <w:t>万元。</w:t>
      </w:r>
    </w:p>
    <w:p>
      <w:pPr>
        <w:spacing w:line="600" w:lineRule="exact"/>
        <w:ind w:firstLine="641"/>
        <w:jc w:val="left"/>
        <w:rPr>
          <w:rFonts w:hint="eastAsia"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（1）项目组织情况，局办公室为项目主要负责股室，负责牵头实施本项目；</w:t>
      </w:r>
    </w:p>
    <w:p>
      <w:pPr>
        <w:spacing w:line="600" w:lineRule="exact"/>
        <w:ind w:firstLine="641"/>
        <w:jc w:val="left"/>
        <w:rPr>
          <w:rFonts w:hint="eastAsia"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（2）项目管理情况，项目管理主体为局办公室，负责监督、考核并组织验收工作；项目实施主体为委托的第三方公司，负责具体实施工作，包括各种系统维护、信息调试等。</w:t>
      </w:r>
    </w:p>
    <w:p>
      <w:pPr>
        <w:spacing w:line="600" w:lineRule="exact"/>
        <w:ind w:firstLine="641"/>
        <w:jc w:val="left"/>
        <w:rPr>
          <w:rFonts w:hint="eastAsia"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（3）项目执行情况，局办公室按照政府采购程序或单位内控管理制度，确定项目实施主体并签订相关合同；实施主体按照合同约定，完成履约；局办公室根据合同对项目开展相关监督检查工作等。</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（二）绩效目标</w:t>
      </w:r>
    </w:p>
    <w:p>
      <w:pPr>
        <w:spacing w:line="600" w:lineRule="exact"/>
        <w:ind w:firstLine="641"/>
        <w:jc w:val="left"/>
        <w:rPr>
          <w:rFonts w:hint="default"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绩效总体目标：根据三定方案财政局职能需求，2022年，本项目使用财政资金68.2万元，主要用于支付全局各种系统维护信息调试工作费用，保障全局各种系统正常运行。</w:t>
      </w:r>
    </w:p>
    <w:p>
      <w:pPr>
        <w:spacing w:line="600" w:lineRule="exact"/>
        <w:ind w:firstLine="641"/>
        <w:jc w:val="left"/>
        <w:rPr>
          <w:rFonts w:hint="eastAsia"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具体绩效目标：</w:t>
      </w:r>
    </w:p>
    <w:p>
      <w:pPr>
        <w:spacing w:line="600" w:lineRule="exact"/>
        <w:ind w:firstLine="641"/>
        <w:jc w:val="left"/>
        <w:rPr>
          <w:rFonts w:hint="eastAsia"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1.完成全局各种系统维护工作，保障其正常运转。</w:t>
      </w:r>
    </w:p>
    <w:p>
      <w:pPr>
        <w:spacing w:line="600" w:lineRule="exact"/>
        <w:ind w:firstLine="641"/>
        <w:jc w:val="left"/>
        <w:rPr>
          <w:rFonts w:hint="eastAsia"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2.及时做好信息调试工作，保障信息化工作的顺利进行。</w:t>
      </w: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二、绩效自评工作情况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（一）自评工作组织领导</w:t>
      </w:r>
    </w:p>
    <w:p>
      <w:pPr>
        <w:pageBreakBefore w:val="0"/>
        <w:widowControl w:val="0"/>
        <w:kinsoku/>
        <w:wordWrap/>
        <w:overflowPunct/>
        <w:topLinePunct w:val="0"/>
        <w:autoSpaceDE/>
        <w:autoSpaceDN/>
        <w:bidi w:val="0"/>
        <w:adjustRightInd/>
        <w:snapToGrid/>
        <w:spacing w:line="600" w:lineRule="exact"/>
        <w:ind w:firstLine="641"/>
        <w:jc w:val="left"/>
        <w:textAlignment w:val="auto"/>
        <w:rPr>
          <w:rFonts w:hint="default"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在组织领导方面，本部门自评工作以财政局局长为组长，分管财务领导为副组长，财务部门为成员进行自评工作的开展，本着客观、真实、准确的原则进行2021年网络信息化安全建设及运行维护费项目的自评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（二）自评方式、方法、重点等</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1.绩效评价标准及方法</w:t>
      </w:r>
    </w:p>
    <w:p>
      <w:pPr>
        <w:pStyle w:val="2"/>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绩效管理股等业务股室收集资料，掌握项目立项决策、项目资金落实、项目实施管理、财务管理全过程（文献法）；收集项目完成情况与年初绩效目标（计划标准、行业标准）开展对比分（比较法）；并通过发放问卷，对系统使用人员开展满意度问卷调查（社会调查法）。对项目绩效差异通过因素分析，分析内、外部因素，并提出改进措施及建议（因素分析法）。具体4个步骤如下：</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（1）组建绩效评价工作小组，讨论形成工作思路；</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（2）对资料进行审查核实，采用对比法，认真核对2022年项目相关财务数据；</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（3）综合分析并形成评价结论；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（4）撰写2022年项目支出绩效评价报告。</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2.绩效评价指标体系及重点</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结合该项目特点、评价重点，按照《资阳市雁江区财政局关于开展2022年度财政支出绩效自评工作的通知》（资雁财发〔2023〕165号）附件7“2022年度雁江区项目支出绩效自评计分表”，该项目绩效评价指标分为“投入”、“过程”、“产出”、“效益”四大类。指标数据来源于政府文件、项目资料、实地调研、访谈、问卷调查等。</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“投入”指标关注重点：项目立项是否规范、绩效目标是否合理、需求是否紧迫、绩效指标是否细化、量化可衡量。</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“过程”指标关注重点：制度执行是否有效、资金使用是否合规、财务监控是否有效。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“产出”指标关注重点：系统使用人数是否达标；各项系统是否正常运转；系统是否响应及时；成本控制是否有效。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“效益”指标关注重点：系统办公保障率是否达标；信息化机制是否健全；系统使用人员满意度。</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三、评价结论</w:t>
      </w:r>
    </w:p>
    <w:p>
      <w:pPr>
        <w:pageBreakBefore w:val="0"/>
        <w:widowControl w:val="0"/>
        <w:kinsoku/>
        <w:wordWrap/>
        <w:overflowPunct/>
        <w:topLinePunct w:val="0"/>
        <w:autoSpaceDE/>
        <w:autoSpaceDN/>
        <w:bidi w:val="0"/>
        <w:adjustRightInd/>
        <w:snapToGrid/>
        <w:spacing w:line="600" w:lineRule="exact"/>
        <w:ind w:firstLine="641"/>
        <w:jc w:val="left"/>
        <w:textAlignment w:val="auto"/>
        <w:rPr>
          <w:rFonts w:hint="default" w:ascii="宋体" w:hAnsi="宋体" w:eastAsia="方正仿宋简体" w:cs="宋体"/>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lang w:val="en-US" w:eastAsia="zh-CN"/>
          <w14:textFill>
            <w14:solidFill>
              <w14:schemeClr w14:val="tx1"/>
            </w14:solidFill>
          </w14:textFill>
        </w:rPr>
        <w:t>总体而言，本项目实施符合区政府决策，与部门职能密切相关，立项依据充分；项目实施及管理制度健全、执行有效；完成各个系统软件的维护工作和信息调试工作，有效保障各个系统正常运转；自评得分97分，依据资雁财发〔2023〕165号规定确定绩效等级为优。具体得分情况见表3-1.</w:t>
      </w:r>
    </w:p>
    <w:p>
      <w:pPr>
        <w:widowControl w:val="0"/>
        <w:spacing w:before="60" w:after="60"/>
        <w:jc w:val="center"/>
        <w:rPr>
          <w:rFonts w:ascii="仿宋" w:hAnsi="仿宋" w:eastAsia="仿宋" w:cs="Times New Roman"/>
          <w:b/>
          <w:color w:val="auto"/>
          <w:sz w:val="28"/>
          <w:szCs w:val="28"/>
          <w:lang w:val="en-US" w:eastAsia="zh-CN" w:bidi="ar-SA"/>
        </w:rPr>
      </w:pPr>
      <w:r>
        <w:rPr>
          <w:rFonts w:hint="eastAsia" w:ascii="仿宋" w:hAnsi="仿宋" w:eastAsia="仿宋" w:cs="Times New Roman"/>
          <w:b/>
          <w:color w:val="auto"/>
          <w:sz w:val="28"/>
          <w:szCs w:val="28"/>
          <w:lang w:val="en-US" w:eastAsia="zh-CN" w:bidi="ar-SA"/>
        </w:rPr>
        <w:t>表</w:t>
      </w:r>
      <w:r>
        <w:rPr>
          <w:rFonts w:ascii="仿宋" w:hAnsi="仿宋" w:eastAsia="仿宋" w:cs="Times New Roman"/>
          <w:b/>
          <w:color w:val="auto"/>
          <w:sz w:val="28"/>
          <w:szCs w:val="28"/>
          <w:lang w:val="en-US" w:eastAsia="zh-CN" w:bidi="ar-SA"/>
        </w:rPr>
        <w:t>3</w:t>
      </w:r>
      <w:r>
        <w:rPr>
          <w:rFonts w:hint="eastAsia" w:ascii="仿宋" w:hAnsi="仿宋" w:eastAsia="仿宋" w:cs="Times New Roman"/>
          <w:b/>
          <w:color w:val="auto"/>
          <w:sz w:val="28"/>
          <w:szCs w:val="28"/>
          <w:lang w:val="en-US" w:eastAsia="zh-CN" w:bidi="ar-SA"/>
        </w:rPr>
        <w:t>-</w:t>
      </w:r>
      <w:r>
        <w:rPr>
          <w:rFonts w:ascii="仿宋" w:hAnsi="仿宋" w:eastAsia="仿宋" w:cs="Times New Roman"/>
          <w:b/>
          <w:color w:val="auto"/>
          <w:sz w:val="28"/>
          <w:szCs w:val="28"/>
          <w:lang w:val="en-US" w:eastAsia="zh-CN" w:bidi="ar-SA"/>
        </w:rPr>
        <w:t>1</w:t>
      </w:r>
      <w:r>
        <w:rPr>
          <w:rFonts w:hint="eastAsia" w:ascii="仿宋" w:hAnsi="仿宋" w:eastAsia="仿宋" w:cs="Times New Roman"/>
          <w:b/>
          <w:color w:val="auto"/>
          <w:sz w:val="28"/>
          <w:szCs w:val="28"/>
          <w:lang w:val="en-US" w:eastAsia="zh-CN" w:bidi="ar-SA"/>
        </w:rPr>
        <w:t xml:space="preserve"> </w:t>
      </w:r>
      <w:r>
        <w:rPr>
          <w:rFonts w:ascii="仿宋" w:hAnsi="仿宋" w:eastAsia="仿宋" w:cs="Times New Roman"/>
          <w:b/>
          <w:color w:val="auto"/>
          <w:sz w:val="28"/>
          <w:szCs w:val="28"/>
          <w:lang w:val="en-US" w:eastAsia="zh-CN" w:bidi="ar-SA"/>
        </w:rPr>
        <w:t>项目评价得分情况</w:t>
      </w:r>
    </w:p>
    <w:tbl>
      <w:tblPr>
        <w:tblStyle w:val="18"/>
        <w:tblW w:w="51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721"/>
        <w:gridCol w:w="2439"/>
        <w:gridCol w:w="721"/>
        <w:gridCol w:w="929"/>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shd w:val="clear" w:color="auto" w:fill="auto"/>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二级指标</w:t>
            </w:r>
          </w:p>
        </w:tc>
        <w:tc>
          <w:tcPr>
            <w:tcW w:w="1397"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三级指标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自评分数</w:t>
            </w:r>
          </w:p>
        </w:tc>
        <w:tc>
          <w:tcPr>
            <w:tcW w:w="5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w:t>
            </w:r>
          </w:p>
        </w:tc>
        <w:tc>
          <w:tcPr>
            <w:tcW w:w="18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投入（25分）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项目立项（15分）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项目立项规范性（5分）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绩效目标合理性（4分）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绩效指标明确性（6分）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2</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eastAsia="zh-CN"/>
              </w:rPr>
              <w:t>设置的指标较少，如产出数量指标仅“系统使用人数≥50人”1个，缺失部分关键性指标用以反映绩效目标，绩效指标设置有待进一步细化，根据该情况扣1分；缺失描述信息调试等方面的相关指标，根据该情况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资金落实（10分）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资金到位率（5分）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6"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到位及时率（5分）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过程（25分）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业务管理（13分）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制度执行有效性（6分)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项目质量可控性（3分）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财务管理（12分）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资金使用合规性（7分）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财务监控有效性（2分）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1</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-1</w:t>
            </w:r>
          </w:p>
        </w:tc>
        <w:tc>
          <w:tcPr>
            <w:tcW w:w="1832" w:type="pct"/>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未制定相应的监控机制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产出（20分）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项目产出（20分）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实际完成率（4分）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完成及时率（6分）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质量达标率（5分）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成本节约率（5分）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效果指标（30分）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项目效益（30分）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社会效益（10分）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可持续影响（10分）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社会公众或服务对象满意度（10分）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223" w:type="pct"/>
            <w:gridSpan w:val="3"/>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413"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97</w:t>
            </w:r>
          </w:p>
        </w:tc>
        <w:tc>
          <w:tcPr>
            <w:tcW w:w="532"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w:t>
            </w:r>
            <w:r>
              <w:rPr>
                <w:rFonts w:hint="eastAsia" w:ascii="宋体" w:hAnsi="宋体" w:cs="宋体"/>
                <w:b/>
                <w:bCs/>
                <w:color w:val="auto"/>
                <w:kern w:val="0"/>
                <w:sz w:val="20"/>
                <w:szCs w:val="20"/>
                <w:highlight w:val="none"/>
                <w:lang w:val="en-US" w:eastAsia="zh-CN"/>
              </w:rPr>
              <w:t>3</w:t>
            </w:r>
          </w:p>
        </w:tc>
        <w:tc>
          <w:tcPr>
            <w:tcW w:w="1832" w:type="pct"/>
            <w:shd w:val="clear" w:color="auto" w:fill="auto"/>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bl>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lang w:eastAsia="zh-CN"/>
        </w:rPr>
        <w:t>四、</w:t>
      </w:r>
      <w:r>
        <w:rPr>
          <w:rFonts w:hint="eastAsia" w:ascii="宋体" w:hAnsi="宋体" w:eastAsia="方正黑体简体" w:cs="Times New Roman"/>
          <w:sz w:val="33"/>
          <w:szCs w:val="33"/>
        </w:rPr>
        <w:t>绩效分析</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（一）投入</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1.</w:t>
      </w:r>
      <w:r>
        <w:rPr>
          <w:rFonts w:ascii="宋体" w:hAnsi="宋体" w:eastAsia="方正仿宋简体"/>
          <w:color w:val="000000" w:themeColor="text1"/>
          <w:sz w:val="33"/>
          <w:szCs w:val="33"/>
          <w:highlight w:val="none"/>
          <w14:textFill>
            <w14:solidFill>
              <w14:schemeClr w14:val="tx1"/>
            </w14:solidFill>
          </w14:textFill>
        </w:rPr>
        <w:t>项目立项规范性</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5分</w:t>
      </w:r>
      <w:r>
        <w:rPr>
          <w:rFonts w:hint="eastAsia" w:ascii="宋体" w:hAnsi="宋体" w:eastAsia="方正仿宋简体"/>
          <w:color w:val="000000" w:themeColor="text1"/>
          <w:sz w:val="33"/>
          <w:szCs w:val="33"/>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该项目属于机关正常运转费用类项目，项目的申请、设立过程符合财政局内部要求，由财政局党组会讨论通过，通过集体决策，项目按照规定的程序申请设立；所提交的文件、材料均符合相关要求。该项得满分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2.绩效目标合理性（4分）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该</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项目绩效目标合理。①本项目实施符合《国家政务信息化项目建设管理办法》等国家相关法律法规、国民经济发展规划和党委政府决策要求；②本项目实施内容与局办公室“牵头财政信息化建设”等职能密切相关，能够保障全区财务系统正常使用；③本项目能够保障雁江区网络系统正常运行，通过信息调试保障信息化工作正常运转，为促进事业发展所必需；④该项目预期产出及效果根据上级文件、计划标准制定，符合正常的业绩水平。该项得满分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3.绩效指标明确性（6分）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①设置了：系统使用人数≥50人等数量指标、系统正常运转率≥90%等质量指标、系统响应及时率≥90%的时效指标等、系统预算成本≤68.2万元等指标，该项目已将绩效目标细化分解为具体的绩效指标。②设置的指标，如“系统使用人数≥50人”“系统正常运转率≥90%”“系统使用人员满意度≥90%”等指标值等清晰、可衡量，但设置的指标较少，如产出数量指标仅“系统使用人数≥50人”1个，缺失部分关键性指标用以反映绩效目标，绩效指标设置有待进一步细化，根据该情况扣1分。③本项目2022年度计划实施2项任务，包括系统维护和信息调试，但项目绩效指标并未完全对应，缺失描述信息调试等方面的相关指标，根据该情况扣1分。④本项目预算根据已签订的相关合同确定，前期调研充分，成本测算依据充分；预算资金总额与本项目实施任务匹配。该项扣2分，得分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4.资金到位率(5分)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本项目年初预算资金68.2万元，调整后预算数为68.2万元，截至2022年12月31日，实际到位资金68.2万元，资金到位率=（实际到位资金68.2万元/计划投入资金68.2万元）×100%=100%。该项得满分5分。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5.到位及时率(5分)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2022年，截至规定时点实际落实到具体项目的资金为68.2万元，到位及时率=（及时到位资金68.2万元/应到位资金68.2万元）×100%=100%。该项得满分5分。</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（二）过程</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1.管理制度健全性（4分）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在制度方面，本部门制定了《资阳市雁江区财政局内部控制手册》，包括《行政单位采购管理制度》、《行政单位预算管理制度》、《收支业务制度》、《行政资产管理制度》、《行政单位结算管理制度》等相关制度，从“三重一大”决策、预算管理、财务管理、固定资产管理、合同管理、政府采购等方面进行了规范，内控制度基本建立，具有合法、合规、完整的项目管理制度，业务管理制度健全，合法、合规、内容完整。该项得满分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2.制度执行有效性（6分)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在项目执行方面，本部门严格遵守相关法律法规和业务管理规定，2022年，该项目预算未进行调整，不存在相应的项目调整及支出调整手续。同时，在项目执行过程中，项目合同书等资料齐全并及时归档，委托第三方公司负责，项目实施的人员条件、场地设备、信息支撑等均已落实到位，完成系统维护和信息调试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3.项目质量可控性（3分）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本项目已制定或具有相应的项目质量要求或标准，明确在项目执行过程中，须保障各项系统正常运转等，并采取了相应的项目质量检查、验收等必需的控制措施或手段，如用户反馈等。该项得满分3分。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4.管理制度健全性（3分）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本部门为加强项目资金管理，制定了《资阳市雁江区财政局内部控制手册》用以规范项目管理相关工作，明确了直接支付管理以及授权支付管理等，符合相关财务会计制度的规定。该项得满分3分。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5.资金使用合规性（7分）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项目资金</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按照</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财务管理</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规定使用财政资金，由执行部门根据实际工作发起支出申请表，</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财务分管领导</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对资金申请进行业务审批</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预算资金的拨付审批程序和手续完整，资金使用规范。项目资金使用符合项目预算批复及合同规定的用途，资金拨付审批程序和手续完整，不存在截留、挤占、挪用、虚列支出等情况。该项得满分7分。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196" w:firstLine="330" w:firstLineChars="1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6.财务监控有效性（2分）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该项目财务监控有效</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性不足</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2022年，本部门</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对项目资金使用情况及项目管理进度</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未</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实施监控，</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对项目进度情况未制定相应的监控机制，根据该情况扣1分</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。在预算控制、财务报销审核、资产入账等环节进行了财务审核</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，进行了财务检查</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该项扣1分，得分1分。</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（三）产出</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1.实际完成率（4分）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本项目计划完成雁江区各种系统维护和信息调试工作，系统软件的使用人数达到目标要求，保持系统正常运转，本项目实际执行过程中，系统软件的使用人数均达到年初计划人数以上，信息调试工作已完成，2022年度，本项目实际产出的产品或提供的服务数量达到年初计划要求，实际完成率为100%。</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该项得满分</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4</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2.完成及时率（6分）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2022年，本项目计划系统响应及时率大于等于90%，实际执行过程中各个系统平台均及时响应，未响应情况也得到及时处理，此外，信息调试工作已及时完成，完成及时率为100%。</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该项得满分</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6</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3.质量达标率（5分）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2022年，本项目计划系统</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正常运转率</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在90%以上，实际执行过程中各个软件平台均正常运转，未正常运转情况也得到及时处理，信息调试质量符合相关要求，有助于信息化工作顺利开展，质量达标率为100%。</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该项得满分</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5</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分。</w:t>
      </w:r>
    </w:p>
    <w:p>
      <w:pPr>
        <w:pStyle w:val="2"/>
        <w:keepNext w:val="0"/>
        <w:keepLines w:val="0"/>
        <w:pageBreakBefore w:val="0"/>
        <w:widowControl w:val="0"/>
        <w:numPr>
          <w:ilvl w:val="0"/>
          <w:numId w:val="11"/>
        </w:numPr>
        <w:kinsoku/>
        <w:wordWrap/>
        <w:overflowPunct/>
        <w:topLinePunct w:val="0"/>
        <w:autoSpaceDE/>
        <w:autoSpaceDN/>
        <w:bidi w:val="0"/>
        <w:adjustRightInd/>
        <w:snapToGrid/>
        <w:spacing w:after="0" w:line="600" w:lineRule="exact"/>
        <w:ind w:left="0" w:leftChars="0"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成本节约率（5分）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60" w:firstLineChars="200"/>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本项目</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主要成本来自各种系统维护费及信息调试工作费用，2022年项目计划成本68.2万元，</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实际成本为</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68.2</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万元。成本节约率</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为0，未节约成本，也未增加项目成本，该项不扣分</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。该项得满分5分。</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（四）效果</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1.社会效益-系统办公保障率(10分）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default" w:ascii="宋体" w:hAnsi="宋体" w:eastAsia="方正仿宋简体"/>
          <w:color w:val="000000" w:themeColor="text1"/>
          <w:sz w:val="33"/>
          <w:szCs w:val="33"/>
          <w:highlight w:val="none"/>
          <w:lang w:val="en-US" w:eastAsia="zh-CN"/>
          <w14:textFill>
            <w14:solidFill>
              <w14:schemeClr w14:val="tx1"/>
            </w14:solidFill>
          </w14:textFill>
        </w:rPr>
        <w:t>本项目的实施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有效保障了</w:t>
      </w:r>
      <w:r>
        <w:rPr>
          <w:rFonts w:hint="default" w:ascii="宋体" w:hAnsi="宋体" w:eastAsia="方正仿宋简体"/>
          <w:color w:val="000000" w:themeColor="text1"/>
          <w:sz w:val="33"/>
          <w:szCs w:val="33"/>
          <w:highlight w:val="none"/>
          <w:lang w:val="en-US" w:eastAsia="zh-CN"/>
          <w14:textFill>
            <w14:solidFill>
              <w14:schemeClr w14:val="tx1"/>
            </w14:solidFill>
          </w14:textFill>
        </w:rPr>
        <w:t>雁江区行政事业单位使用的</w:t>
      </w:r>
      <w:r>
        <w:rPr>
          <w:rFonts w:hint="eastAsia" w:ascii="宋体" w:hAnsi="宋体" w:eastAsia="方正仿宋简体"/>
          <w:color w:val="000000" w:themeColor="text1"/>
          <w:sz w:val="33"/>
          <w:szCs w:val="33"/>
          <w:highlight w:val="none"/>
          <w:lang w:val="en-US" w:eastAsia="zh-CN"/>
          <w14:textFill>
            <w14:solidFill>
              <w14:schemeClr w14:val="tx1"/>
            </w14:solidFill>
          </w14:textFill>
        </w:rPr>
        <w:t>各项系统的正常运转</w:t>
      </w:r>
      <w:r>
        <w:rPr>
          <w:rFonts w:hint="default" w:ascii="宋体" w:hAnsi="宋体" w:eastAsia="方正仿宋简体"/>
          <w:color w:val="000000" w:themeColor="text1"/>
          <w:sz w:val="33"/>
          <w:szCs w:val="33"/>
          <w:highlight w:val="none"/>
          <w:lang w:val="en-US" w:eastAsia="zh-CN"/>
          <w14:textFill>
            <w14:solidFill>
              <w14:schemeClr w14:val="tx1"/>
            </w14:solidFill>
          </w14:textFill>
        </w:rPr>
        <w:t>，保障</w:t>
      </w:r>
      <w:r>
        <w:rPr>
          <w:rFonts w:hint="eastAsia" w:ascii="宋体" w:hAnsi="宋体" w:eastAsia="方正仿宋简体"/>
          <w:color w:val="000000" w:themeColor="text1"/>
          <w:sz w:val="33"/>
          <w:szCs w:val="33"/>
          <w:highlight w:val="none"/>
          <w:lang w:val="en-US" w:eastAsia="zh-CN"/>
          <w14:textFill>
            <w14:solidFill>
              <w14:schemeClr w14:val="tx1"/>
            </w14:solidFill>
          </w14:textFill>
        </w:rPr>
        <w:t>了</w:t>
      </w:r>
      <w:r>
        <w:rPr>
          <w:rFonts w:hint="default" w:ascii="宋体" w:hAnsi="宋体" w:eastAsia="方正仿宋简体"/>
          <w:color w:val="000000" w:themeColor="text1"/>
          <w:sz w:val="33"/>
          <w:szCs w:val="33"/>
          <w:highlight w:val="none"/>
          <w:lang w:val="en-US" w:eastAsia="zh-CN"/>
          <w14:textFill>
            <w14:solidFill>
              <w14:schemeClr w14:val="tx1"/>
            </w14:solidFill>
          </w14:textFill>
        </w:rPr>
        <w:t>全区财务系统使用正常，</w:t>
      </w:r>
      <w:r>
        <w:rPr>
          <w:rFonts w:hint="eastAsia" w:ascii="宋体" w:hAnsi="宋体" w:eastAsia="方正仿宋简体"/>
          <w:color w:val="000000" w:themeColor="text1"/>
          <w:sz w:val="33"/>
          <w:szCs w:val="33"/>
          <w:highlight w:val="none"/>
          <w:lang w:val="en-US" w:eastAsia="zh-CN"/>
          <w14:textFill>
            <w14:solidFill>
              <w14:schemeClr w14:val="tx1"/>
            </w14:solidFill>
          </w14:textFill>
        </w:rPr>
        <w:t>信息调试工作得以顺利完成，有助于信息化工作顺利开展，系统办公保障率达到目标值90%以上</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2.可持续影响-信息化机制健全性（10分）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该项目的实施有助于保障各种系统正常运转，</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以信息化建设助推财政各项改革和管理创新，</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不断完善信息化建设，信息化机制健全，具备可持续影响。</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该项得满分</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10</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5.社会公众或服务对象满意度-系统使用人员满意度(10分)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根据满意度指标设置的评价标准，满意度目标值为≥90%，通过对系统使用人员的访谈以及调查，得出满意度为90.5%，高于目标值90%。</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该项得满分</w:t>
      </w: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10</w:t>
      </w:r>
      <w:r>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eastAsia" w:ascii="宋体" w:hAnsi="宋体" w:eastAsia="方正黑体_GBK" w:cs="方正黑体_GBK"/>
          <w:sz w:val="32"/>
          <w:szCs w:val="32"/>
        </w:rPr>
      </w:pPr>
      <w:r>
        <w:rPr>
          <w:rFonts w:hint="eastAsia" w:ascii="宋体" w:hAnsi="宋体" w:eastAsia="方正黑体_GBK" w:cs="方正黑体_GBK"/>
          <w:sz w:val="32"/>
          <w:szCs w:val="32"/>
        </w:rPr>
        <w:t>五、主要经验及做法、存在的问题和建议</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（一）主要经验及做法</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在项目管理方面，为有效保障各种系统的正常运转，顺利完成信息调试工作，本部门通过委托第三方公司进行系统维护和开展信息调试工作，并对系统使用人员进行访谈，有效保障了各种系统的正常运转。</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在项目资金使用方面，为合理、有效、规范使用项目资金，本部门选择专人负责，严格按照相关会计制度进行会计核算和财务处理，做到财务处理及时、会计核算规范。严把审批关，杜绝了弄虚作假、截留、挤占、挪用专项资金的情况发生。</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（二）存在的问题</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1.指标设置未与任务数对应，部分关键性指标缺失。</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s="宋体"/>
          <w:color w:val="000000" w:themeColor="text1"/>
          <w:kern w:val="2"/>
          <w:sz w:val="33"/>
          <w:szCs w:val="33"/>
          <w:lang w:val="en-US" w:eastAsia="zh-CN" w:bidi="ar-SA"/>
          <w14:textFill>
            <w14:solidFill>
              <w14:schemeClr w14:val="tx1"/>
            </w14:solidFill>
          </w14:textFill>
        </w:rPr>
        <w:t>2022年，在本次项目绩效指标设置中，总体设置的指标较少，如产出数量指标仅“系统使用人数≥50人”1个，质量指</w:t>
      </w:r>
      <w:r>
        <w:rPr>
          <w:rFonts w:hint="eastAsia" w:ascii="宋体" w:hAnsi="宋体" w:eastAsia="方正仿宋简体"/>
          <w:color w:val="000000" w:themeColor="text1"/>
          <w:sz w:val="33"/>
          <w:szCs w:val="33"/>
          <w:highlight w:val="none"/>
          <w:lang w:val="en-US" w:eastAsia="zh-CN"/>
          <w14:textFill>
            <w14:solidFill>
              <w14:schemeClr w14:val="tx1"/>
            </w14:solidFill>
          </w14:textFill>
        </w:rPr>
        <w:t>标也仅一个，缺失部分关键性指标用以反映绩效目标，绩效指标设置有待进一步细化。此外，该项目2022年总体上可分为系统维护和信息调试两项年度任务数，但绩效目标表种缺失描述信息调试等方面的相关指标，仅对应系统维护设置了相关指标。综上所述，该项目指标设置未与任务数对应，部分关键性指标缺失，须进一步加强预算绩效管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lang w:val="en-US"/>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2.未制定相应的监控机制，监控有效性不足。</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lang w:val="en-US" w:eastAsia="zh-CN"/>
        </w:rPr>
      </w:pPr>
      <w:r>
        <w:rPr>
          <w:rFonts w:ascii="宋体" w:hAnsi="宋体" w:eastAsia="方正仿宋简体"/>
          <w:color w:val="000000" w:themeColor="text1"/>
          <w:sz w:val="33"/>
          <w:szCs w:val="33"/>
          <w:highlight w:val="none"/>
          <w14:textFill>
            <w14:solidFill>
              <w14:schemeClr w14:val="tx1"/>
            </w14:solidFill>
          </w14:textFill>
        </w:rPr>
        <w:t>绩效目标和指标往往根据项目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ascii="宋体" w:hAnsi="宋体" w:eastAsia="方正仿宋简体"/>
          <w:color w:val="000000" w:themeColor="text1"/>
          <w:sz w:val="33"/>
          <w:szCs w:val="33"/>
          <w:highlight w:val="none"/>
          <w14:textFill>
            <w14:solidFill>
              <w14:schemeClr w14:val="tx1"/>
            </w14:solidFill>
          </w14:textFill>
        </w:rPr>
        <w:t>情况制定，对项目执行过程有效约束不够，存在一定的偏差</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只注重项目完成结果，</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该项目在实施过程中未制定相应的监控机制，</w:t>
      </w:r>
      <w:r>
        <w:rPr>
          <w:rFonts w:hint="eastAsia" w:ascii="宋体" w:hAnsi="宋体" w:eastAsia="方正仿宋简体"/>
          <w:color w:val="000000" w:themeColor="text1"/>
          <w:sz w:val="33"/>
          <w:szCs w:val="33"/>
          <w:highlight w:val="none"/>
          <w14:textFill>
            <w14:solidFill>
              <w14:schemeClr w14:val="tx1"/>
            </w14:solidFill>
          </w14:textFill>
        </w:rPr>
        <w:t>对执行过程没有根据项目进度随时考评</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监控有效性不足</w:t>
      </w:r>
      <w:r>
        <w:rPr>
          <w:rFonts w:hint="eastAsia"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（二）建议和改进措施</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1.加强绩效指标管理，科学合理制定绩效指标。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加强预算绩效管理相关理论学习，根据机关运转经费项目的行业标准和要求，对项目涉及的质量达标要求设置绩效指标，增加相应的产出指标，如”信息调试范围覆盖率“”信息调试质量达标率“等，与项目年初确定的计划任务数相对应，同时根据项目绩效目标做到细化分解，完善相应关键性指标的设置，确保绩效指标设置范围覆盖整个绩效目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2.完善监控机制，加强项目的监督管理。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Times New Roman"/>
          <w:color w:val="000000" w:themeColor="text1"/>
          <w:kern w:val="2"/>
          <w:sz w:val="33"/>
          <w:szCs w:val="33"/>
          <w:highlight w:val="none"/>
          <w14:textFill>
            <w14:solidFill>
              <w14:schemeClr w14:val="tx1"/>
            </w14:solidFill>
          </w14:textFill>
        </w:rPr>
      </w:pPr>
      <w:r>
        <w:rPr>
          <w:rFonts w:hint="eastAsia" w:eastAsia="方正仿宋简体" w:cs="Times New Roman"/>
          <w:color w:val="000000" w:themeColor="text1"/>
          <w:kern w:val="2"/>
          <w:sz w:val="33"/>
          <w:szCs w:val="33"/>
          <w:highlight w:val="none"/>
          <w:lang w:val="en-US" w:eastAsia="zh-CN"/>
          <w14:textFill>
            <w14:solidFill>
              <w14:schemeClr w14:val="tx1"/>
            </w14:solidFill>
          </w14:textFill>
        </w:rPr>
        <w:t>建议完善监控机制，加强项目监督管理，</w:t>
      </w:r>
      <w:r>
        <w:rPr>
          <w:rFonts w:hint="eastAsia" w:ascii="宋体" w:hAnsi="宋体" w:eastAsia="方正仿宋简体" w:cs="Times New Roman"/>
          <w:color w:val="000000" w:themeColor="text1"/>
          <w:kern w:val="2"/>
          <w:sz w:val="33"/>
          <w:szCs w:val="33"/>
          <w:highlight w:val="none"/>
          <w14:textFill>
            <w14:solidFill>
              <w14:schemeClr w14:val="tx1"/>
            </w14:solidFill>
          </w14:textFill>
        </w:rPr>
        <w:t>通过绩效监控工作，掌握项目绩效目标的完成情况、项目实施进程和资金支出进度，当项目执行绩效与绩效目标发生偏离时，并采取措施予以纠正，确保实现绩效目标及项目效益。</w:t>
      </w:r>
      <w:r>
        <w:rPr>
          <w:rFonts w:hint="eastAsia" w:eastAsia="方正仿宋简体" w:cs="Times New Roman"/>
          <w:color w:val="000000" w:themeColor="text1"/>
          <w:kern w:val="2"/>
          <w:sz w:val="33"/>
          <w:szCs w:val="33"/>
          <w:highlight w:val="none"/>
          <w:lang w:val="en-US" w:eastAsia="zh-CN"/>
          <w14:textFill>
            <w14:solidFill>
              <w14:schemeClr w14:val="tx1"/>
            </w14:solidFill>
          </w14:textFill>
        </w:rPr>
        <w:t>此外，</w:t>
      </w:r>
      <w:r>
        <w:rPr>
          <w:rFonts w:ascii="宋体" w:hAnsi="宋体" w:eastAsia="方正仿宋简体" w:cs="Times New Roman"/>
          <w:color w:val="000000" w:themeColor="text1"/>
          <w:kern w:val="2"/>
          <w:sz w:val="33"/>
          <w:szCs w:val="33"/>
          <w:highlight w:val="none"/>
          <w14:textFill>
            <w14:solidFill>
              <w14:schemeClr w14:val="tx1"/>
            </w14:solidFill>
          </w14:textFill>
        </w:rPr>
        <w:t>规范绩效评价管理资料的收集整理，确保相关信息完整、可靠，客观公正地反映项目资金实际使用和产生的绩效状况，为今后该项目实施方向及管理方式的改进提供指导。</w:t>
      </w:r>
    </w:p>
    <w:p>
      <w:pPr>
        <w:pStyle w:val="2"/>
        <w:rPr>
          <w:rFonts w:hint="eastAsia"/>
          <w:lang w:val="en-US" w:eastAsia="zh-CN"/>
        </w:rPr>
        <w:sectPr>
          <w:pgSz w:w="11906" w:h="16838"/>
          <w:pgMar w:top="1440" w:right="1800" w:bottom="1440" w:left="1800" w:header="851" w:footer="992" w:gutter="0"/>
          <w:pgNumType w:fmt="decimal"/>
          <w:cols w:space="0" w:num="1"/>
          <w:titlePg/>
          <w:rtlGutter w:val="0"/>
          <w:docGrid w:type="lines" w:linePitch="312" w:charSpace="0"/>
        </w:sectPr>
      </w:pPr>
    </w:p>
    <w:p>
      <w:pPr>
        <w:spacing w:line="600" w:lineRule="exact"/>
        <w:jc w:val="center"/>
        <w:rPr>
          <w:rFonts w:hint="eastAsia" w:ascii="宋体" w:hAnsi="宋体" w:eastAsia="方正小标宋简体"/>
          <w:color w:val="000000"/>
          <w:spacing w:val="-12"/>
          <w:kern w:val="0"/>
          <w:sz w:val="40"/>
          <w:szCs w:val="40"/>
          <w:lang w:eastAsia="zh-CN"/>
        </w:rPr>
      </w:pPr>
      <w:r>
        <w:rPr>
          <w:rFonts w:hint="eastAsia" w:ascii="宋体" w:hAnsi="宋体" w:eastAsia="方正小标宋简体"/>
          <w:color w:val="000000"/>
          <w:spacing w:val="-12"/>
          <w:kern w:val="0"/>
          <w:sz w:val="40"/>
          <w:szCs w:val="40"/>
        </w:rPr>
        <w:t>资阳市雁江区</w:t>
      </w:r>
      <w:r>
        <w:rPr>
          <w:rFonts w:hint="eastAsia" w:ascii="宋体" w:hAnsi="宋体" w:eastAsia="方正小标宋简体"/>
          <w:color w:val="000000"/>
          <w:spacing w:val="-12"/>
          <w:kern w:val="0"/>
          <w:sz w:val="40"/>
          <w:szCs w:val="40"/>
          <w:lang w:eastAsia="zh-CN"/>
        </w:rPr>
        <w:t>财政局</w:t>
      </w:r>
    </w:p>
    <w:p>
      <w:pPr>
        <w:spacing w:line="600" w:lineRule="exact"/>
        <w:jc w:val="center"/>
        <w:rPr>
          <w:rFonts w:hint="eastAsia" w:ascii="宋体" w:hAnsi="宋体" w:eastAsia="方正小标宋简体" w:cs="Times New Roman"/>
          <w:color w:val="000000"/>
          <w:spacing w:val="-12"/>
          <w:kern w:val="0"/>
          <w:sz w:val="40"/>
          <w:szCs w:val="40"/>
        </w:rPr>
      </w:pPr>
      <w:r>
        <w:rPr>
          <w:rFonts w:hint="eastAsia" w:ascii="宋体" w:hAnsi="宋体" w:eastAsia="方正小标宋简体" w:cs="Times New Roman"/>
          <w:color w:val="000000"/>
          <w:spacing w:val="-12"/>
          <w:kern w:val="0"/>
          <w:sz w:val="40"/>
          <w:szCs w:val="40"/>
        </w:rPr>
        <w:t>202</w:t>
      </w:r>
      <w:r>
        <w:rPr>
          <w:rFonts w:hint="eastAsia" w:ascii="宋体" w:hAnsi="宋体" w:eastAsia="方正小标宋简体" w:cs="Times New Roman"/>
          <w:color w:val="000000"/>
          <w:spacing w:val="-12"/>
          <w:kern w:val="0"/>
          <w:sz w:val="40"/>
          <w:szCs w:val="40"/>
          <w:lang w:val="en-US" w:eastAsia="zh-CN"/>
        </w:rPr>
        <w:t>2</w:t>
      </w:r>
      <w:r>
        <w:rPr>
          <w:rFonts w:hint="eastAsia" w:ascii="宋体" w:hAnsi="宋体" w:eastAsia="方正小标宋简体" w:cs="Times New Roman"/>
          <w:color w:val="000000"/>
          <w:spacing w:val="-12"/>
          <w:kern w:val="0"/>
          <w:sz w:val="40"/>
          <w:szCs w:val="40"/>
        </w:rPr>
        <w:t>年雁江区项目支出绩效自评报告</w:t>
      </w:r>
    </w:p>
    <w:p>
      <w:pPr>
        <w:spacing w:line="600" w:lineRule="exact"/>
        <w:jc w:val="center"/>
        <w:rPr>
          <w:rFonts w:hint="eastAsia" w:ascii="宋体" w:hAnsi="宋体" w:eastAsia="方正楷体简体" w:cs="Times New Roman"/>
          <w:b/>
          <w:sz w:val="32"/>
          <w:szCs w:val="32"/>
        </w:rPr>
      </w:pPr>
      <w:r>
        <w:rPr>
          <w:rFonts w:hint="eastAsia" w:ascii="宋体" w:hAnsi="宋体" w:eastAsia="方正楷体简体" w:cs="Times New Roman"/>
          <w:b/>
          <w:sz w:val="32"/>
          <w:szCs w:val="32"/>
        </w:rPr>
        <w:t>（</w:t>
      </w:r>
      <w:r>
        <w:rPr>
          <w:rFonts w:hint="eastAsia" w:ascii="宋体" w:hAnsi="宋体" w:eastAsia="方正楷体简体" w:cs="Times New Roman"/>
          <w:b/>
          <w:sz w:val="32"/>
          <w:szCs w:val="32"/>
          <w:lang w:eastAsia="zh-CN"/>
        </w:rPr>
        <w:t>财政投资评审经费</w:t>
      </w:r>
      <w:r>
        <w:rPr>
          <w:rFonts w:hint="eastAsia" w:ascii="宋体" w:hAnsi="宋体" w:eastAsia="方正楷体简体" w:cs="Times New Roman"/>
          <w:b/>
          <w:sz w:val="32"/>
          <w:szCs w:val="32"/>
        </w:rPr>
        <w:t>）</w:t>
      </w:r>
    </w:p>
    <w:p>
      <w:pPr>
        <w:spacing w:line="280" w:lineRule="exact"/>
        <w:jc w:val="center"/>
        <w:rPr>
          <w:rFonts w:hint="eastAsia" w:ascii="宋体" w:hAnsi="宋体" w:eastAsia="方正仿宋简体"/>
          <w:b/>
          <w:sz w:val="32"/>
          <w:szCs w:val="32"/>
        </w:rPr>
      </w:pPr>
    </w:p>
    <w:p>
      <w:pPr>
        <w:pStyle w:val="7"/>
        <w:rPr>
          <w:rFonts w:hint="eastAsia"/>
        </w:rPr>
      </w:pPr>
    </w:p>
    <w:p>
      <w:pPr>
        <w:keepNext w:val="0"/>
        <w:keepLines w:val="0"/>
        <w:pageBreakBefore w:val="0"/>
        <w:kinsoku/>
        <w:wordWrap/>
        <w:overflowPunct/>
        <w:topLinePunct w:val="0"/>
        <w:autoSpaceDE/>
        <w:autoSpaceDN/>
        <w:bidi w:val="0"/>
        <w:adjustRightInd/>
        <w:snapToGrid/>
        <w:spacing w:line="57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一、项目基本情况</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（一）概况</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1．立项背景及目的</w:t>
      </w:r>
    </w:p>
    <w:p>
      <w:pPr>
        <w:spacing w:line="600" w:lineRule="exact"/>
        <w:ind w:firstLine="641"/>
        <w:jc w:val="left"/>
        <w:rPr>
          <w:rFonts w:hint="default"/>
          <w:lang w:val="en-US" w:eastAsia="zh-CN"/>
        </w:rPr>
      </w:pPr>
      <w:r>
        <w:rPr>
          <w:rFonts w:hint="eastAsia" w:ascii="宋体" w:hAnsi="宋体" w:eastAsia="方正仿宋简体" w:cs="宋体"/>
          <w:color w:val="000000" w:themeColor="text1"/>
          <w:sz w:val="33"/>
          <w:szCs w:val="33"/>
          <w:lang w:val="en-US" w:eastAsia="zh-CN"/>
          <w14:textFill>
            <w14:solidFill>
              <w14:schemeClr w14:val="tx1"/>
            </w14:solidFill>
          </w14:textFill>
        </w:rPr>
        <w:t>根据《财政投资评审管理规定》，财政投资评审是财政职能的重要组成部分，财政部门通过对财政性资金投资项目预（概）算和竣工决（结）算进行评价与审查，对财政性资金投资项目资金使用情况，以及其他财政专项资金使用情况进行专项核查及追踪问效，是财政资金规范、安全、有效运行的基本保证。而资阳市雁江区财政局作为资阳市雁江区人民政府工作部门，</w:t>
      </w:r>
      <w:r>
        <w:rPr>
          <w:rFonts w:hint="eastAsia" w:ascii="宋体" w:hAnsi="宋体" w:eastAsia="方正仿宋简体" w:cs="宋体"/>
          <w:color w:val="000000" w:themeColor="text1"/>
          <w:sz w:val="33"/>
          <w:szCs w:val="33"/>
          <w14:textFill>
            <w14:solidFill>
              <w14:schemeClr w14:val="tx1"/>
            </w14:solidFill>
          </w14:textFill>
        </w:rPr>
        <w:t>本着为节约政府投资，提高财政资金使用效益这一核心对政府投资项目进行了客观公正、科学合理、实事求是的评审。</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2.预算资金来源及使用情况</w:t>
      </w:r>
    </w:p>
    <w:p>
      <w:pPr>
        <w:spacing w:line="600" w:lineRule="exact"/>
        <w:ind w:firstLine="660" w:firstLineChars="200"/>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项目资金用于</w:t>
      </w:r>
      <w:r>
        <w:rPr>
          <w:rFonts w:hint="eastAsia" w:ascii="宋体" w:hAnsi="宋体" w:eastAsia="方正仿宋简体" w:cs="宋体"/>
          <w:color w:val="000000" w:themeColor="text1"/>
          <w:sz w:val="33"/>
          <w:szCs w:val="33"/>
          <w:lang w:val="en-US" w:eastAsia="zh-CN"/>
          <w14:textFill>
            <w14:solidFill>
              <w14:schemeClr w14:val="tx1"/>
            </w14:solidFill>
          </w14:textFill>
        </w:rPr>
        <w:t>聘请临聘评审人员的工资和保险以及聘请外部机构的评审费用等，用于保障全区财政性资金投资项目评审工作的正常进行</w:t>
      </w:r>
      <w:r>
        <w:rPr>
          <w:rFonts w:hint="eastAsia" w:ascii="宋体" w:hAnsi="宋体" w:eastAsia="方正仿宋简体" w:cs="宋体"/>
          <w:color w:val="000000" w:themeColor="text1"/>
          <w:sz w:val="33"/>
          <w:szCs w:val="33"/>
          <w14:textFill>
            <w14:solidFill>
              <w14:schemeClr w14:val="tx1"/>
            </w14:solidFill>
          </w14:textFill>
        </w:rPr>
        <w:t>。</w:t>
      </w:r>
    </w:p>
    <w:p>
      <w:pPr>
        <w:spacing w:line="600" w:lineRule="exact"/>
        <w:ind w:firstLine="641"/>
        <w:jc w:val="left"/>
        <w:rPr>
          <w:rFonts w:ascii="宋体" w:hAnsi="宋体" w:eastAsia="方正仿宋简体" w:cs="宋体"/>
          <w:color w:val="auto"/>
          <w:sz w:val="33"/>
          <w:szCs w:val="33"/>
        </w:rPr>
      </w:pPr>
      <w:r>
        <w:rPr>
          <w:rFonts w:hint="eastAsia" w:ascii="宋体" w:hAnsi="宋体" w:eastAsia="方正仿宋简体" w:cs="宋体"/>
          <w:color w:val="auto"/>
          <w:sz w:val="33"/>
          <w:szCs w:val="33"/>
          <w:lang w:val="en-US" w:eastAsia="zh-CN"/>
        </w:rPr>
        <w:t>2022年，</w:t>
      </w:r>
      <w:r>
        <w:rPr>
          <w:rFonts w:hint="eastAsia" w:ascii="宋体" w:hAnsi="宋体" w:eastAsia="方正仿宋简体" w:cs="宋体"/>
          <w:color w:val="auto"/>
          <w:sz w:val="33"/>
          <w:szCs w:val="33"/>
        </w:rPr>
        <w:t>本项目</w:t>
      </w:r>
      <w:r>
        <w:rPr>
          <w:rFonts w:hint="eastAsia" w:ascii="宋体" w:hAnsi="宋体" w:eastAsia="方正仿宋简体" w:cs="宋体"/>
          <w:color w:val="auto"/>
          <w:sz w:val="33"/>
          <w:szCs w:val="33"/>
          <w:lang w:val="en-US" w:eastAsia="zh-CN"/>
        </w:rPr>
        <w:t>年初</w:t>
      </w:r>
      <w:r>
        <w:rPr>
          <w:rFonts w:hint="eastAsia" w:ascii="宋体" w:hAnsi="宋体" w:eastAsia="方正仿宋简体" w:cs="宋体"/>
          <w:color w:val="auto"/>
          <w:sz w:val="33"/>
          <w:szCs w:val="33"/>
        </w:rPr>
        <w:t>预算</w:t>
      </w:r>
      <w:r>
        <w:rPr>
          <w:rFonts w:hint="eastAsia" w:ascii="宋体" w:hAnsi="宋体" w:eastAsia="方正仿宋简体" w:cs="宋体"/>
          <w:color w:val="auto"/>
          <w:sz w:val="33"/>
          <w:szCs w:val="33"/>
          <w:lang w:val="en-US" w:eastAsia="zh-CN"/>
        </w:rPr>
        <w:t>200</w:t>
      </w:r>
      <w:r>
        <w:rPr>
          <w:rFonts w:hint="eastAsia" w:ascii="宋体" w:hAnsi="宋体" w:eastAsia="方正仿宋简体" w:cs="宋体"/>
          <w:color w:val="auto"/>
          <w:sz w:val="33"/>
          <w:szCs w:val="33"/>
        </w:rPr>
        <w:t>万元，</w:t>
      </w:r>
      <w:r>
        <w:rPr>
          <w:rFonts w:hint="eastAsia" w:ascii="宋体" w:hAnsi="宋体" w:eastAsia="方正仿宋简体" w:cs="宋体"/>
          <w:color w:val="auto"/>
          <w:sz w:val="33"/>
          <w:szCs w:val="33"/>
          <w:lang w:eastAsia="zh-CN"/>
        </w:rPr>
        <w:t>调整预算数为</w:t>
      </w:r>
      <w:r>
        <w:rPr>
          <w:rFonts w:hint="eastAsia" w:ascii="宋体" w:hAnsi="宋体" w:eastAsia="方正仿宋简体" w:cs="宋体"/>
          <w:color w:val="auto"/>
          <w:sz w:val="33"/>
          <w:szCs w:val="33"/>
          <w:lang w:val="en-US" w:eastAsia="zh-CN"/>
        </w:rPr>
        <w:t>174.84万元，截至2022年12月31日，本项目预算执行数为174.84万元，预算执行率为100%，</w:t>
      </w:r>
      <w:r>
        <w:rPr>
          <w:rFonts w:hint="eastAsia" w:ascii="宋体" w:hAnsi="宋体" w:eastAsia="方正仿宋简体" w:cs="宋体"/>
          <w:color w:val="auto"/>
          <w:sz w:val="33"/>
          <w:szCs w:val="33"/>
        </w:rPr>
        <w:t>全部为一般公共预算拨款。</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3.实施情况（项目完成情况）</w:t>
      </w:r>
    </w:p>
    <w:p>
      <w:pPr>
        <w:spacing w:line="600" w:lineRule="exact"/>
        <w:ind w:firstLine="660" w:firstLineChars="200"/>
        <w:rPr>
          <w:rFonts w:hint="eastAsia"/>
          <w:lang w:val="en-US" w:eastAsia="zh-CN"/>
        </w:rPr>
      </w:pPr>
      <w:r>
        <w:rPr>
          <w:rFonts w:hint="eastAsia" w:ascii="宋体" w:hAnsi="宋体" w:eastAsia="方正仿宋简体" w:cs="宋体"/>
          <w:color w:val="auto"/>
          <w:sz w:val="33"/>
          <w:szCs w:val="33"/>
          <w:lang w:val="en-US" w:eastAsia="zh-CN"/>
        </w:rPr>
        <w:t>2022年，本部门</w:t>
      </w:r>
      <w:r>
        <w:rPr>
          <w:rFonts w:hint="eastAsia" w:ascii="宋体" w:hAnsi="宋体" w:eastAsia="方正仿宋简体" w:cs="宋体"/>
          <w:color w:val="auto"/>
          <w:sz w:val="33"/>
          <w:szCs w:val="33"/>
        </w:rPr>
        <w:t>根据年度预算安排及实际工作需要</w:t>
      </w:r>
      <w:r>
        <w:rPr>
          <w:rFonts w:hint="eastAsia" w:ascii="宋体" w:hAnsi="宋体" w:eastAsia="方正仿宋简体" w:cs="宋体"/>
          <w:color w:val="auto"/>
          <w:sz w:val="33"/>
          <w:szCs w:val="33"/>
          <w:lang w:val="en-US" w:eastAsia="zh-CN"/>
        </w:rPr>
        <w:t>开展财政投资评审工作，截至2022年12月31日，全区共评审项目557个，其中评审中心评审项目473个，委托评审项目84个（其中预算53个，结算27个，财务决算4个）</w:t>
      </w:r>
      <w:r>
        <w:rPr>
          <w:rFonts w:hint="eastAsia" w:ascii="宋体" w:hAnsi="宋体" w:eastAsia="方正仿宋简体" w:cs="宋体"/>
          <w:color w:val="auto"/>
          <w:sz w:val="33"/>
          <w:szCs w:val="33"/>
        </w:rPr>
        <w:t>。</w:t>
      </w:r>
      <w:r>
        <w:rPr>
          <w:rFonts w:hint="eastAsia" w:ascii="宋体" w:hAnsi="宋体" w:eastAsia="方正仿宋简体" w:cs="宋体"/>
          <w:color w:val="auto"/>
          <w:sz w:val="33"/>
          <w:szCs w:val="33"/>
          <w:lang w:val="en-US" w:eastAsia="zh-CN"/>
        </w:rPr>
        <w:t>在评审过程中，我区</w:t>
      </w:r>
      <w:r>
        <w:rPr>
          <w:rFonts w:hint="eastAsia" w:ascii="宋体" w:hAnsi="宋体" w:eastAsia="方正仿宋简体" w:cs="宋体"/>
          <w:color w:val="auto"/>
          <w:sz w:val="33"/>
          <w:szCs w:val="33"/>
        </w:rPr>
        <w:t>严格把关建设单位送审的</w:t>
      </w:r>
      <w:r>
        <w:rPr>
          <w:rFonts w:hint="eastAsia" w:ascii="宋体" w:hAnsi="宋体" w:eastAsia="方正仿宋简体" w:cs="宋体"/>
          <w:color w:val="auto"/>
          <w:sz w:val="33"/>
          <w:szCs w:val="33"/>
          <w:lang w:val="en-US" w:eastAsia="zh-CN"/>
        </w:rPr>
        <w:t>各种</w:t>
      </w:r>
      <w:r>
        <w:rPr>
          <w:rFonts w:hint="eastAsia" w:ascii="宋体" w:hAnsi="宋体" w:eastAsia="方正仿宋简体" w:cs="宋体"/>
          <w:color w:val="auto"/>
          <w:sz w:val="33"/>
          <w:szCs w:val="33"/>
        </w:rPr>
        <w:t>预算</w:t>
      </w:r>
      <w:r>
        <w:rPr>
          <w:rFonts w:hint="eastAsia" w:ascii="宋体" w:hAnsi="宋体" w:eastAsia="方正仿宋简体" w:cs="宋体"/>
          <w:color w:val="auto"/>
          <w:sz w:val="33"/>
          <w:szCs w:val="33"/>
          <w:lang w:val="en-US" w:eastAsia="zh-CN"/>
        </w:rPr>
        <w:t>资料</w:t>
      </w:r>
      <w:r>
        <w:rPr>
          <w:rFonts w:hint="eastAsia" w:ascii="宋体" w:hAnsi="宋体" w:eastAsia="方正仿宋简体" w:cs="宋体"/>
          <w:color w:val="auto"/>
          <w:sz w:val="33"/>
          <w:szCs w:val="33"/>
        </w:rPr>
        <w:t>。从预算书到图纸，从纸质资料到电子文档，对每一环节进行认真仔细审核，从项目招投标预算环节控制工程造价，纠正了建设单位送审预算中高估冒算、超规模、超标准等问题，保证了工程标底造价的合理性。必要时中心审核人员还到工程项目实地勘查。同时对照国家工程造价定额、标准及市场材料价格，仔细审核复核，从而编制准确、合理、科学的评审报告。</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4.组织及管理（项目组织、管理流程及实际执行情况）</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（1）项目组织情况，局财评中心为项目主要负责股室，负责牵头实施本项目；</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2）项目管理情况，项目管理主体为局财评中心，负责评审工作的具体实施，包括咨询三方评审和委托临聘的评审机构专家；部分项目评审实施主体为委托的第三方公司，负责具体实施工作，包括编制评审报告等。</w:t>
      </w:r>
    </w:p>
    <w:p>
      <w:pPr>
        <w:pStyle w:val="7"/>
        <w:rPr>
          <w:rFonts w:hint="eastAsia"/>
          <w:color w:val="auto"/>
          <w:lang w:val="en-US" w:eastAsia="zh-CN"/>
        </w:rPr>
      </w:pPr>
      <w:r>
        <w:rPr>
          <w:rFonts w:hint="eastAsia" w:ascii="宋体" w:hAnsi="宋体" w:eastAsia="方正仿宋简体" w:cs="宋体"/>
          <w:color w:val="auto"/>
          <w:kern w:val="2"/>
          <w:sz w:val="33"/>
          <w:szCs w:val="33"/>
          <w:lang w:val="en-US" w:eastAsia="zh-CN" w:bidi="ar-SA"/>
        </w:rPr>
        <w:t>（3）项目执行情况，局财评中心按照程序委托临聘的评审机构专家和第三方公司有序开展财政投资项目评审工作，将项目资金用于财政评审临聘人员工资、保险等发放等。</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（二）绩效目标</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绩效总体目标：</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对雁江区财政评审项目进行评审，主要分为三方评审和委托临聘的评审机构专家进行评审，评审项目包括设计房屋建筑、市政道路、国土整治，医院改扩建，农田水利、园林绿化、学校改造等</w:t>
      </w:r>
      <w:r>
        <w:rPr>
          <w:rFonts w:hint="eastAsia" w:ascii="宋体" w:hAnsi="宋体" w:eastAsia="方正仿宋简体" w:cs="宋体"/>
          <w:color w:val="000000" w:themeColor="text1"/>
          <w:sz w:val="33"/>
          <w:szCs w:val="33"/>
          <w:highlight w:val="none"/>
          <w:lang w:eastAsia="zh-CN"/>
          <w14:textFill>
            <w14:solidFill>
              <w14:schemeClr w14:val="tx1"/>
            </w14:solidFill>
          </w14:textFill>
        </w:rPr>
        <w:t>。</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在规定时间内</w:t>
      </w:r>
      <w:r>
        <w:rPr>
          <w:rFonts w:hint="eastAsia" w:ascii="宋体" w:hAnsi="宋体" w:eastAsia="方正仿宋简体" w:cs="宋体"/>
          <w:color w:val="000000" w:themeColor="text1"/>
          <w:sz w:val="33"/>
          <w:szCs w:val="33"/>
          <w:highlight w:val="none"/>
          <w:lang w:eastAsia="zh-CN"/>
          <w14:textFill>
            <w14:solidFill>
              <w14:schemeClr w14:val="tx1"/>
            </w14:solidFill>
          </w14:textFill>
        </w:rPr>
        <w:t>完成雁江区财政资金所有需要评审的项目评审，预计项目数量261个，预计评审金额15亿。</w:t>
      </w:r>
    </w:p>
    <w:p>
      <w:pPr>
        <w:spacing w:line="600" w:lineRule="exact"/>
        <w:ind w:firstLine="627"/>
        <w:rPr>
          <w:rFonts w:hint="eastAsia" w:ascii="宋体" w:hAnsi="宋体" w:eastAsia="方正仿宋简体" w:cs="宋体"/>
          <w:color w:val="000000" w:themeColor="text1"/>
          <w:sz w:val="33"/>
          <w:szCs w:val="33"/>
          <w:highlight w:val="none"/>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具体绩效目标：</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1.完成评审项目数量</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s="宋体"/>
          <w:color w:val="000000" w:themeColor="text1"/>
          <w:sz w:val="33"/>
          <w:szCs w:val="33"/>
          <w:highlight w:val="none"/>
          <w:lang w:eastAsia="zh-CN"/>
          <w14:textFill>
            <w14:solidFill>
              <w14:schemeClr w14:val="tx1"/>
            </w14:solidFill>
          </w14:textFill>
        </w:rPr>
        <w:t>261个。</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2.完成评审项目金额</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≥15亿</w:t>
      </w:r>
      <w:r>
        <w:rPr>
          <w:rFonts w:hint="eastAsia" w:ascii="宋体" w:hAnsi="宋体" w:eastAsia="方正仿宋简体" w:cs="宋体"/>
          <w:color w:val="000000" w:themeColor="text1"/>
          <w:sz w:val="33"/>
          <w:szCs w:val="33"/>
          <w:highlight w:val="none"/>
          <w:lang w:eastAsia="zh-CN"/>
          <w14:textFill>
            <w14:solidFill>
              <w14:schemeClr w14:val="tx1"/>
            </w14:solidFill>
          </w14:textFill>
        </w:rPr>
        <w:t>。</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3.</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准时高效完成2022年度的项目评审工作</w:t>
      </w:r>
      <w:r>
        <w:rPr>
          <w:rFonts w:hint="eastAsia" w:ascii="宋体" w:hAnsi="宋体" w:eastAsia="方正仿宋简体" w:cs="宋体"/>
          <w:color w:val="000000" w:themeColor="text1"/>
          <w:sz w:val="33"/>
          <w:szCs w:val="33"/>
          <w:highlight w:val="none"/>
          <w:lang w:eastAsia="zh-CN"/>
          <w14:textFill>
            <w14:solidFill>
              <w14:schemeClr w14:val="tx1"/>
            </w14:solidFill>
          </w14:textFill>
        </w:rPr>
        <w:t>。</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4.评审单位对报告的满意度</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s="宋体"/>
          <w:color w:val="000000" w:themeColor="text1"/>
          <w:sz w:val="33"/>
          <w:szCs w:val="33"/>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7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二、绩效自评工作情况</w:t>
      </w:r>
    </w:p>
    <w:p>
      <w:pPr>
        <w:pStyle w:val="2"/>
        <w:keepNext w:val="0"/>
        <w:keepLines w:val="0"/>
        <w:pageBreakBefore w:val="0"/>
        <w:kinsoku/>
        <w:wordWrap/>
        <w:overflowPunct/>
        <w:topLinePunct w:val="0"/>
        <w:autoSpaceDE/>
        <w:autoSpaceDN/>
        <w:bidi w:val="0"/>
        <w:adjustRightInd/>
        <w:snapToGrid/>
        <w:spacing w:after="0" w:line="57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（一）自评工作组织领导</w:t>
      </w:r>
    </w:p>
    <w:p>
      <w:pPr>
        <w:pageBreakBefore w:val="0"/>
        <w:widowControl w:val="0"/>
        <w:kinsoku/>
        <w:wordWrap/>
        <w:overflowPunct/>
        <w:topLinePunct w:val="0"/>
        <w:autoSpaceDE/>
        <w:autoSpaceDN/>
        <w:bidi w:val="0"/>
        <w:adjustRightInd/>
        <w:snapToGrid w:val="0"/>
        <w:spacing w:line="600" w:lineRule="exact"/>
        <w:ind w:firstLine="660" w:firstLineChars="200"/>
        <w:textAlignment w:val="auto"/>
        <w:rPr>
          <w:rFonts w:hint="default" w:eastAsia="方正仿宋简体"/>
          <w:lang w:val="en-US" w:eastAsia="zh-CN"/>
        </w:rPr>
      </w:pPr>
      <w:r>
        <w:rPr>
          <w:rFonts w:hint="eastAsia" w:ascii="宋体" w:hAnsi="宋体" w:eastAsia="方正仿宋简体"/>
          <w:color w:val="000000" w:themeColor="text1"/>
          <w:sz w:val="33"/>
          <w:szCs w:val="33"/>
          <w:lang w:val="en-US" w:eastAsia="zh-CN"/>
          <w14:textFill>
            <w14:solidFill>
              <w14:schemeClr w14:val="tx1"/>
            </w14:solidFill>
          </w14:textFill>
        </w:rPr>
        <w:t>在组织领导方面，本部门</w:t>
      </w:r>
      <w:r>
        <w:rPr>
          <w:rFonts w:hint="eastAsia" w:ascii="宋体" w:hAnsi="宋体" w:eastAsia="方正仿宋简体"/>
          <w:color w:val="000000" w:themeColor="text1"/>
          <w:sz w:val="33"/>
          <w:szCs w:val="33"/>
          <w14:textFill>
            <w14:solidFill>
              <w14:schemeClr w14:val="tx1"/>
            </w14:solidFill>
          </w14:textFill>
        </w:rPr>
        <w:t>自评工作以</w:t>
      </w:r>
      <w:r>
        <w:rPr>
          <w:rFonts w:hint="eastAsia" w:ascii="宋体" w:hAnsi="宋体" w:eastAsia="方正仿宋简体"/>
          <w:color w:val="000000" w:themeColor="text1"/>
          <w:sz w:val="33"/>
          <w:szCs w:val="33"/>
          <w:lang w:eastAsia="zh-CN"/>
          <w14:textFill>
            <w14:solidFill>
              <w14:schemeClr w14:val="tx1"/>
            </w14:solidFill>
          </w14:textFill>
        </w:rPr>
        <w:t>财政局局长</w:t>
      </w:r>
      <w:r>
        <w:rPr>
          <w:rFonts w:hint="eastAsia" w:ascii="宋体" w:hAnsi="宋体" w:eastAsia="方正仿宋简体"/>
          <w:color w:val="000000" w:themeColor="text1"/>
          <w:sz w:val="33"/>
          <w:szCs w:val="33"/>
          <w14:textFill>
            <w14:solidFill>
              <w14:schemeClr w14:val="tx1"/>
            </w14:solidFill>
          </w14:textFill>
        </w:rPr>
        <w:t>为组长，分管财务领导为副组长，财务部门为成员进行自评工作的开展</w:t>
      </w:r>
      <w:r>
        <w:rPr>
          <w:rFonts w:hint="eastAsia" w:ascii="宋体" w:hAnsi="宋体" w:eastAsia="方正仿宋简体"/>
          <w:color w:val="000000" w:themeColor="text1"/>
          <w:sz w:val="33"/>
          <w:szCs w:val="33"/>
          <w:lang w:eastAsia="zh-CN"/>
          <w14:textFill>
            <w14:solidFill>
              <w14:schemeClr w14:val="tx1"/>
            </w14:solidFill>
          </w14:textFill>
        </w:rPr>
        <w:t>，本着客观、真实、准确的原则</w:t>
      </w:r>
      <w:r>
        <w:rPr>
          <w:rFonts w:hint="eastAsia" w:ascii="宋体" w:hAnsi="宋体" w:eastAsia="方正仿宋简体"/>
          <w:color w:val="000000" w:themeColor="text1"/>
          <w:sz w:val="33"/>
          <w:szCs w:val="33"/>
          <w:lang w:val="en-US" w:eastAsia="zh-CN"/>
          <w14:textFill>
            <w14:solidFill>
              <w14:schemeClr w14:val="tx1"/>
            </w14:solidFill>
          </w14:textFill>
        </w:rPr>
        <w:t>进行财政投资评审经费项目的自评工作</w:t>
      </w:r>
      <w:r>
        <w:rPr>
          <w:rFonts w:hint="eastAsia" w:ascii="宋体" w:hAnsi="宋体" w:eastAsia="方正仿宋简体"/>
          <w:color w:val="000000" w:themeColor="text1"/>
          <w:sz w:val="33"/>
          <w:szCs w:val="33"/>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val="0"/>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（二）自评方式、方法、重点等</w:t>
      </w:r>
    </w:p>
    <w:p>
      <w:pPr>
        <w:pStyle w:val="5"/>
        <w:pageBreakBefore w:val="0"/>
        <w:widowControl w:val="0"/>
        <w:numPr>
          <w:ilvl w:val="0"/>
          <w:numId w:val="0"/>
        </w:numPr>
        <w:kinsoku/>
        <w:wordWrap/>
        <w:overflowPunct/>
        <w:topLinePunct w:val="0"/>
        <w:autoSpaceDE/>
        <w:autoSpaceDN/>
        <w:bidi w:val="0"/>
        <w:adjustRightInd/>
        <w:snapToGrid w:val="0"/>
        <w:spacing w:before="0" w:after="0" w:line="600" w:lineRule="exact"/>
        <w:ind w:firstLine="663" w:firstLineChars="200"/>
        <w:textAlignment w:val="auto"/>
        <w:rPr>
          <w:rFonts w:hint="eastAsia" w:ascii="宋体" w:hAnsi="宋体" w:eastAsia="方正仿宋简体" w:cs="Times New Roman"/>
          <w:b/>
          <w:bCs w:val="0"/>
          <w:kern w:val="2"/>
          <w:sz w:val="33"/>
          <w:szCs w:val="33"/>
          <w:lang w:val="en-US" w:eastAsia="zh-CN" w:bidi="ar-SA"/>
        </w:rPr>
      </w:pPr>
      <w:r>
        <w:rPr>
          <w:rFonts w:hint="eastAsia" w:ascii="宋体" w:hAnsi="宋体" w:eastAsia="方正仿宋简体" w:cs="Times New Roman"/>
          <w:b/>
          <w:bCs w:val="0"/>
          <w:kern w:val="2"/>
          <w:sz w:val="33"/>
          <w:szCs w:val="33"/>
          <w:lang w:val="en-US" w:eastAsia="zh-CN" w:bidi="ar-SA"/>
        </w:rPr>
        <w:t>1.绩效评价标准及方法</w:t>
      </w:r>
    </w:p>
    <w:p>
      <w:pPr>
        <w:pStyle w:val="2"/>
        <w:pageBreakBefore w:val="0"/>
        <w:widowControl w:val="0"/>
        <w:kinsoku/>
        <w:wordWrap/>
        <w:overflowPunct/>
        <w:topLinePunct w:val="0"/>
        <w:autoSpaceDE/>
        <w:autoSpaceDN/>
        <w:bidi w:val="0"/>
        <w:adjustRightInd/>
        <w:snapToGrid w:val="0"/>
        <w:spacing w:after="0" w:line="600" w:lineRule="exact"/>
        <w:ind w:firstLine="660" w:firstLineChars="200"/>
        <w:textAlignment w:val="auto"/>
        <w:rPr>
          <w:rFonts w:hint="default" w:ascii="宋体" w:hAnsi="宋体" w:eastAsia="方正仿宋简体" w:cs="宋体"/>
          <w:color w:val="000000" w:themeColor="text1"/>
          <w:kern w:val="0"/>
          <w:sz w:val="33"/>
          <w:szCs w:val="33"/>
          <w:lang w:val="en-US" w:eastAsia="zh-CN"/>
          <w14:textFill>
            <w14:solidFill>
              <w14:schemeClr w14:val="tx1"/>
            </w14:solidFill>
          </w14:textFill>
        </w:rPr>
      </w:pPr>
      <w:r>
        <w:rPr>
          <w:rFonts w:hint="eastAsia" w:ascii="宋体" w:hAnsi="宋体" w:eastAsia="方正仿宋简体" w:cs="宋体"/>
          <w:color w:val="000000" w:themeColor="text1"/>
          <w:kern w:val="0"/>
          <w:sz w:val="33"/>
          <w:szCs w:val="33"/>
          <w14:textFill>
            <w14:solidFill>
              <w14:schemeClr w14:val="tx1"/>
            </w14:solidFill>
          </w14:textFill>
        </w:rPr>
        <w:t>绩效管理股等业务</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股</w:t>
      </w:r>
      <w:r>
        <w:rPr>
          <w:rFonts w:hint="eastAsia" w:ascii="宋体" w:hAnsi="宋体" w:eastAsia="方正仿宋简体" w:cs="宋体"/>
          <w:color w:val="000000" w:themeColor="text1"/>
          <w:kern w:val="0"/>
          <w:sz w:val="33"/>
          <w:szCs w:val="33"/>
          <w14:textFill>
            <w14:solidFill>
              <w14:schemeClr w14:val="tx1"/>
            </w14:solidFill>
          </w14:textFill>
        </w:rPr>
        <w:t>室收集资料，掌握项目立项决策、项目资金落实、项目实施管理、财务管理全过程（文献法）；收集项目完成情况与年初绩效目标（计划标准、行业标准）开展对比分（比较法）；并通过发放问卷，对</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评审单位</w:t>
      </w:r>
      <w:r>
        <w:rPr>
          <w:rFonts w:hint="eastAsia" w:ascii="宋体" w:hAnsi="宋体" w:eastAsia="方正仿宋简体" w:cs="宋体"/>
          <w:color w:val="000000" w:themeColor="text1"/>
          <w:kern w:val="0"/>
          <w:sz w:val="33"/>
          <w:szCs w:val="33"/>
          <w14:textFill>
            <w14:solidFill>
              <w14:schemeClr w14:val="tx1"/>
            </w14:solidFill>
          </w14:textFill>
        </w:rPr>
        <w:t>开展满意度问卷调查（社会调查法）。对项目绩效差异通过因素分析，分析内、外部因素，并提出改进措施及建议（因素分析法）。</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具体4个步骤如下：</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0"/>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1</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组建绩效评价工作小组，讨论形成工作思路；</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2</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对资料进行审查核实</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olor w:val="000000" w:themeColor="text1"/>
          <w:sz w:val="33"/>
          <w:szCs w:val="33"/>
          <w14:textFill>
            <w14:solidFill>
              <w14:schemeClr w14:val="tx1"/>
            </w14:solidFill>
          </w14:textFill>
        </w:rPr>
        <w:t>采用对比法，认真核对20</w:t>
      </w:r>
      <w:r>
        <w:rPr>
          <w:rFonts w:hint="eastAsia" w:ascii="宋体" w:hAnsi="宋体" w:eastAsia="方正仿宋简体"/>
          <w:color w:val="000000" w:themeColor="text1"/>
          <w:sz w:val="33"/>
          <w:szCs w:val="33"/>
          <w:lang w:eastAsia="zh-CN"/>
          <w14:textFill>
            <w14:solidFill>
              <w14:schemeClr w14:val="tx1"/>
            </w14:solidFill>
          </w14:textFill>
        </w:rPr>
        <w:t>2</w:t>
      </w:r>
      <w:r>
        <w:rPr>
          <w:rFonts w:hint="eastAsia" w:ascii="宋体" w:hAnsi="宋体" w:eastAsia="方正仿宋简体"/>
          <w:color w:val="000000" w:themeColor="text1"/>
          <w:sz w:val="33"/>
          <w:szCs w:val="33"/>
          <w:lang w:val="en-US" w:eastAsia="zh-CN"/>
          <w14:textFill>
            <w14:solidFill>
              <w14:schemeClr w14:val="tx1"/>
            </w14:solidFill>
          </w14:textFill>
        </w:rPr>
        <w:t>2</w:t>
      </w:r>
      <w:r>
        <w:rPr>
          <w:rFonts w:hint="eastAsia" w:ascii="宋体" w:hAnsi="宋体" w:eastAsia="方正仿宋简体"/>
          <w:color w:val="000000" w:themeColor="text1"/>
          <w:sz w:val="33"/>
          <w:szCs w:val="33"/>
          <w14:textFill>
            <w14:solidFill>
              <w14:schemeClr w14:val="tx1"/>
            </w14:solidFill>
          </w14:textFill>
        </w:rPr>
        <w:t>年</w:t>
      </w:r>
      <w:r>
        <w:rPr>
          <w:rFonts w:hint="eastAsia" w:ascii="宋体" w:hAnsi="宋体" w:eastAsia="方正仿宋简体"/>
          <w:color w:val="000000" w:themeColor="text1"/>
          <w:sz w:val="33"/>
          <w:szCs w:val="33"/>
          <w:lang w:val="en-US" w:eastAsia="zh-CN"/>
          <w14:textFill>
            <w14:solidFill>
              <w14:schemeClr w14:val="tx1"/>
            </w14:solidFill>
          </w14:textFill>
        </w:rPr>
        <w:t>项目相关</w:t>
      </w:r>
      <w:r>
        <w:rPr>
          <w:rFonts w:hint="eastAsia" w:ascii="宋体" w:hAnsi="宋体" w:eastAsia="方正仿宋简体"/>
          <w:color w:val="000000" w:themeColor="text1"/>
          <w:sz w:val="33"/>
          <w:szCs w:val="33"/>
          <w14:textFill>
            <w14:solidFill>
              <w14:schemeClr w14:val="tx1"/>
            </w14:solidFill>
          </w14:textFill>
        </w:rPr>
        <w:t>财务数据</w:t>
      </w:r>
      <w:r>
        <w:rPr>
          <w:rFonts w:hint="eastAsia" w:ascii="宋体" w:hAnsi="宋体" w:eastAsia="方正仿宋简体"/>
          <w:color w:val="000000" w:themeColor="text1"/>
          <w:sz w:val="33"/>
          <w:szCs w:val="33"/>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（3）</w:t>
      </w:r>
      <w:r>
        <w:rPr>
          <w:rFonts w:hint="eastAsia" w:ascii="宋体" w:hAnsi="宋体" w:eastAsia="方正仿宋简体" w:cs="宋体"/>
          <w:color w:val="000000" w:themeColor="text1"/>
          <w:kern w:val="0"/>
          <w:sz w:val="33"/>
          <w:szCs w:val="33"/>
          <w14:textFill>
            <w14:solidFill>
              <w14:schemeClr w14:val="tx1"/>
            </w14:solidFill>
          </w14:textFill>
        </w:rPr>
        <w:t>综合分析并形成评价结论；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4）</w:t>
      </w:r>
      <w:r>
        <w:rPr>
          <w:rFonts w:hint="eastAsia" w:ascii="宋体" w:hAnsi="宋体" w:eastAsia="方正仿宋简体" w:cs="宋体"/>
          <w:color w:val="000000" w:themeColor="text1"/>
          <w:kern w:val="0"/>
          <w:sz w:val="33"/>
          <w:szCs w:val="33"/>
          <w14:textFill>
            <w14:solidFill>
              <w14:schemeClr w14:val="tx1"/>
            </w14:solidFill>
          </w14:textFill>
        </w:rPr>
        <w:t>撰写</w:t>
      </w:r>
      <w:r>
        <w:rPr>
          <w:rFonts w:ascii="宋体" w:hAnsi="宋体" w:eastAsia="方正仿宋简体" w:cs="宋体"/>
          <w:color w:val="000000" w:themeColor="text1"/>
          <w:kern w:val="0"/>
          <w:sz w:val="33"/>
          <w:szCs w:val="33"/>
          <w14:textFill>
            <w14:solidFill>
              <w14:schemeClr w14:val="tx1"/>
            </w14:solidFill>
          </w14:textFill>
        </w:rPr>
        <w:t>20</w:t>
      </w:r>
      <w:r>
        <w:rPr>
          <w:rFonts w:hint="eastAsia" w:ascii="宋体" w:hAnsi="宋体" w:eastAsia="方正仿宋简体" w:cs="宋体"/>
          <w:color w:val="000000" w:themeColor="text1"/>
          <w:kern w:val="0"/>
          <w:sz w:val="33"/>
          <w:szCs w:val="33"/>
          <w:lang w:eastAsia="zh-CN"/>
          <w14:textFill>
            <w14:solidFill>
              <w14:schemeClr w14:val="tx1"/>
            </w14:solidFill>
          </w14:textFill>
        </w:rPr>
        <w:t>2</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2</w:t>
      </w:r>
      <w:r>
        <w:rPr>
          <w:rFonts w:hint="eastAsia" w:ascii="宋体" w:hAnsi="宋体" w:eastAsia="方正仿宋简体" w:cs="宋体"/>
          <w:color w:val="000000" w:themeColor="text1"/>
          <w:kern w:val="0"/>
          <w:sz w:val="33"/>
          <w:szCs w:val="33"/>
          <w14:textFill>
            <w14:solidFill>
              <w14:schemeClr w14:val="tx1"/>
            </w14:solidFill>
          </w14:textFill>
        </w:rPr>
        <w:t>年项目支出绩效评价报告。</w:t>
      </w:r>
    </w:p>
    <w:p>
      <w:pPr>
        <w:pStyle w:val="5"/>
        <w:pageBreakBefore w:val="0"/>
        <w:widowControl w:val="0"/>
        <w:numPr>
          <w:ilvl w:val="0"/>
          <w:numId w:val="0"/>
        </w:numPr>
        <w:kinsoku/>
        <w:wordWrap/>
        <w:overflowPunct/>
        <w:topLinePunct w:val="0"/>
        <w:autoSpaceDE/>
        <w:autoSpaceDN/>
        <w:bidi w:val="0"/>
        <w:adjustRightInd/>
        <w:spacing w:before="0" w:after="0" w:line="600" w:lineRule="exact"/>
        <w:ind w:left="562"/>
        <w:textAlignment w:val="auto"/>
        <w:rPr>
          <w:rFonts w:hint="eastAsia" w:ascii="宋体" w:hAnsi="宋体" w:eastAsia="方正仿宋简体" w:cs="Times New Roman"/>
          <w:b/>
          <w:bCs w:val="0"/>
          <w:kern w:val="2"/>
          <w:sz w:val="33"/>
          <w:szCs w:val="33"/>
          <w:lang w:val="en-US" w:eastAsia="zh-CN" w:bidi="ar-SA"/>
        </w:rPr>
      </w:pPr>
      <w:r>
        <w:rPr>
          <w:rFonts w:hint="eastAsia" w:ascii="宋体" w:hAnsi="宋体" w:eastAsia="方正仿宋简体" w:cs="Times New Roman"/>
          <w:b/>
          <w:bCs w:val="0"/>
          <w:kern w:val="2"/>
          <w:sz w:val="33"/>
          <w:szCs w:val="33"/>
          <w:lang w:val="en-US" w:eastAsia="zh-CN" w:bidi="ar-SA"/>
        </w:rPr>
        <w:t>2.绩效评价指标体系及重点</w:t>
      </w:r>
    </w:p>
    <w:p>
      <w:pPr>
        <w:pStyle w:val="7"/>
        <w:pageBreakBefore w:val="0"/>
        <w:widowControl w:val="0"/>
        <w:kinsoku/>
        <w:wordWrap/>
        <w:overflowPunct/>
        <w:topLinePunct w:val="0"/>
        <w:autoSpaceDE/>
        <w:autoSpaceDN/>
        <w:bidi w:val="0"/>
        <w:adjustRightIn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结合该项目特点、评价重点，按照《资阳市雁江区财政局关于开展2022年度财政支出绩效自评工作的通知》（资雁财发〔2023〕165号）附件7“2022年度雁江区项目支出绩效自评计分表”，该项目绩效评价指标分为“投入”、“过程”、“产出”、“效益”四大类。指标数据来源于政府文件、项目资料、实地调研、访谈、问卷调查等。</w:t>
      </w:r>
    </w:p>
    <w:p>
      <w:pPr>
        <w:pStyle w:val="7"/>
        <w:pageBreakBefore w:val="0"/>
        <w:widowControl w:val="0"/>
        <w:kinsoku/>
        <w:wordWrap/>
        <w:overflowPunct/>
        <w:topLinePunct w:val="0"/>
        <w:autoSpaceDE/>
        <w:autoSpaceDN/>
        <w:bidi w:val="0"/>
        <w:adjustRightIn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“投入”指标关注重点：项目立项是否规范、绩效目标是否合理、需求是否紧迫、绩效指标是否细化、量化可衡量。</w:t>
      </w:r>
    </w:p>
    <w:p>
      <w:pPr>
        <w:pStyle w:val="7"/>
        <w:pageBreakBefore w:val="0"/>
        <w:widowControl w:val="0"/>
        <w:kinsoku/>
        <w:wordWrap/>
        <w:overflowPunct/>
        <w:topLinePunct w:val="0"/>
        <w:autoSpaceDE/>
        <w:autoSpaceDN/>
        <w:bidi w:val="0"/>
        <w:adjustRightIn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“过程”指标关注重点：制度执行是否有效、资金使用是否合规、财务监控是否有效。</w:t>
      </w:r>
    </w:p>
    <w:p>
      <w:pPr>
        <w:pStyle w:val="7"/>
        <w:pageBreakBefore w:val="0"/>
        <w:widowControl w:val="0"/>
        <w:kinsoku/>
        <w:wordWrap/>
        <w:overflowPunct/>
        <w:topLinePunct w:val="0"/>
        <w:autoSpaceDE/>
        <w:autoSpaceDN/>
        <w:bidi w:val="0"/>
        <w:adjustRightIn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“产出”指标关注重点：送审评审项目数量是否按计划完成；是否聘请三方机构参与评审；聘请临聘评审专家数量是否达标；项目实施是否按计划完成；成本控制是否有效。</w:t>
      </w:r>
    </w:p>
    <w:p>
      <w:pPr>
        <w:pStyle w:val="7"/>
        <w:pageBreakBefore w:val="0"/>
        <w:widowControl w:val="0"/>
        <w:kinsoku/>
        <w:wordWrap/>
        <w:overflowPunct/>
        <w:topLinePunct w:val="0"/>
        <w:autoSpaceDE/>
        <w:autoSpaceDN/>
        <w:bidi w:val="0"/>
        <w:adjustRightIn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“效益”指标关注重点：评审报告成果利用率是否达标；财政项目评审机制健全性是否健全；评审单位对评审报告满意度。</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三、评价结论</w:t>
      </w:r>
    </w:p>
    <w:p>
      <w:pPr>
        <w:pageBreakBefore w:val="0"/>
        <w:widowControl w:val="0"/>
        <w:kinsoku/>
        <w:wordWrap/>
        <w:overflowPunct/>
        <w:topLinePunct w:val="0"/>
        <w:autoSpaceDE/>
        <w:autoSpaceDN/>
        <w:bidi w:val="0"/>
        <w:adjustRightInd/>
        <w:spacing w:line="600" w:lineRule="exact"/>
        <w:ind w:firstLine="660" w:firstLineChars="200"/>
        <w:jc w:val="both"/>
        <w:textAlignment w:val="auto"/>
        <w:rPr>
          <w:rFonts w:hint="default" w:ascii="宋体" w:hAnsi="宋体" w:eastAsia="方正仿宋简体" w:cs="宋体"/>
          <w:color w:val="000000" w:themeColor="text1"/>
          <w:kern w:val="0"/>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总体而言，本项目实施符合区政府决策，与部门职能密切相关，立项依据充分；项目实施及管理制度健全、执行有效；完成2022年度雁江区项目评审工作，达到率节约财政预算资金的目的；自评得分99</w:t>
      </w:r>
      <w:r>
        <w:rPr>
          <w:rFonts w:ascii="宋体" w:hAnsi="宋体" w:eastAsia="方正仿宋简体" w:cs="宋体"/>
          <w:color w:val="000000" w:themeColor="text1"/>
          <w:kern w:val="0"/>
          <w:sz w:val="33"/>
          <w:szCs w:val="33"/>
          <w:lang w:val="en-US" w:eastAsia="zh-CN" w:bidi="ar-SA"/>
          <w14:textFill>
            <w14:solidFill>
              <w14:schemeClr w14:val="tx1"/>
            </w14:solidFill>
          </w14:textFill>
        </w:rPr>
        <w:t>分，</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依据资雁财发〔2023〕165号规定确定绩效等级为优</w:t>
      </w:r>
      <w:r>
        <w:rPr>
          <w:rFonts w:ascii="宋体" w:hAnsi="宋体" w:eastAsia="方正仿宋简体" w:cs="宋体"/>
          <w:color w:val="000000" w:themeColor="text1"/>
          <w:kern w:val="0"/>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具体得分情况见表</w:t>
      </w:r>
      <w:r>
        <w:rPr>
          <w:rFonts w:ascii="宋体" w:hAnsi="宋体" w:eastAsia="方正仿宋简体" w:cs="宋体"/>
          <w:color w:val="000000" w:themeColor="text1"/>
          <w:kern w:val="0"/>
          <w:sz w:val="33"/>
          <w:szCs w:val="33"/>
          <w:lang w:val="en-US" w:eastAsia="zh-CN" w:bidi="ar-SA"/>
          <w14:textFill>
            <w14:solidFill>
              <w14:schemeClr w14:val="tx1"/>
            </w14:solidFill>
          </w14:textFill>
        </w:rPr>
        <w:t>3-1</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w:t>
      </w:r>
    </w:p>
    <w:p>
      <w:pPr>
        <w:widowControl w:val="0"/>
        <w:spacing w:before="60" w:after="60"/>
        <w:jc w:val="center"/>
        <w:rPr>
          <w:rFonts w:ascii="仿宋" w:hAnsi="仿宋" w:eastAsia="仿宋" w:cs="Times New Roman"/>
          <w:b/>
          <w:color w:val="auto"/>
          <w:sz w:val="28"/>
          <w:szCs w:val="28"/>
          <w:lang w:val="en-US" w:eastAsia="zh-CN" w:bidi="ar-SA"/>
        </w:rPr>
      </w:pPr>
      <w:r>
        <w:rPr>
          <w:rFonts w:hint="eastAsia" w:ascii="仿宋" w:hAnsi="仿宋" w:eastAsia="仿宋" w:cs="Times New Roman"/>
          <w:b/>
          <w:color w:val="auto"/>
          <w:sz w:val="28"/>
          <w:szCs w:val="28"/>
          <w:lang w:val="en-US" w:eastAsia="zh-CN" w:bidi="ar-SA"/>
        </w:rPr>
        <w:t>表</w:t>
      </w:r>
      <w:r>
        <w:rPr>
          <w:rFonts w:ascii="仿宋" w:hAnsi="仿宋" w:eastAsia="仿宋" w:cs="Times New Roman"/>
          <w:b/>
          <w:color w:val="auto"/>
          <w:sz w:val="28"/>
          <w:szCs w:val="28"/>
          <w:lang w:val="en-US" w:eastAsia="zh-CN" w:bidi="ar-SA"/>
        </w:rPr>
        <w:t>3</w:t>
      </w:r>
      <w:r>
        <w:rPr>
          <w:rFonts w:hint="eastAsia" w:ascii="仿宋" w:hAnsi="仿宋" w:eastAsia="仿宋" w:cs="Times New Roman"/>
          <w:b/>
          <w:color w:val="auto"/>
          <w:sz w:val="28"/>
          <w:szCs w:val="28"/>
          <w:lang w:val="en-US" w:eastAsia="zh-CN" w:bidi="ar-SA"/>
        </w:rPr>
        <w:t>-</w:t>
      </w:r>
      <w:r>
        <w:rPr>
          <w:rFonts w:ascii="仿宋" w:hAnsi="仿宋" w:eastAsia="仿宋" w:cs="Times New Roman"/>
          <w:b/>
          <w:color w:val="auto"/>
          <w:sz w:val="28"/>
          <w:szCs w:val="28"/>
          <w:lang w:val="en-US" w:eastAsia="zh-CN" w:bidi="ar-SA"/>
        </w:rPr>
        <w:t>1</w:t>
      </w:r>
      <w:r>
        <w:rPr>
          <w:rFonts w:hint="eastAsia" w:ascii="仿宋" w:hAnsi="仿宋" w:eastAsia="仿宋" w:cs="Times New Roman"/>
          <w:b/>
          <w:color w:val="auto"/>
          <w:sz w:val="28"/>
          <w:szCs w:val="28"/>
          <w:lang w:val="en-US" w:eastAsia="zh-CN" w:bidi="ar-SA"/>
        </w:rPr>
        <w:t xml:space="preserve"> </w:t>
      </w:r>
      <w:r>
        <w:rPr>
          <w:rFonts w:ascii="仿宋" w:hAnsi="仿宋" w:eastAsia="仿宋" w:cs="Times New Roman"/>
          <w:b/>
          <w:color w:val="auto"/>
          <w:sz w:val="28"/>
          <w:szCs w:val="28"/>
          <w:lang w:val="en-US" w:eastAsia="zh-CN" w:bidi="ar-SA"/>
        </w:rPr>
        <w:t>项目评价得分情况</w:t>
      </w:r>
    </w:p>
    <w:tbl>
      <w:tblPr>
        <w:tblStyle w:val="18"/>
        <w:tblW w:w="51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721"/>
        <w:gridCol w:w="2439"/>
        <w:gridCol w:w="721"/>
        <w:gridCol w:w="929"/>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shd w:val="clear" w:color="auto" w:fill="auto"/>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二级指标</w:t>
            </w:r>
          </w:p>
        </w:tc>
        <w:tc>
          <w:tcPr>
            <w:tcW w:w="1397"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三级指标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自评分数</w:t>
            </w:r>
          </w:p>
        </w:tc>
        <w:tc>
          <w:tcPr>
            <w:tcW w:w="5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w:t>
            </w:r>
          </w:p>
        </w:tc>
        <w:tc>
          <w:tcPr>
            <w:tcW w:w="18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投入（25分）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项目立项（15分）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项目立项规范性（5分）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绩效目标合理性（4分）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绩效指标明确性（6分）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6</w:t>
            </w:r>
          </w:p>
        </w:tc>
        <w:tc>
          <w:tcPr>
            <w:tcW w:w="532" w:type="pct"/>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资金落实（10分）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资金到位率（5分）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到位及时率（5分）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过程（25分）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业务管理（13分）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制度执行有效性（6分)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项目质量可控性（3分）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财务管理（12分）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资金使用合规性（7分）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财务监控有效性（2分）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1</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-1</w:t>
            </w:r>
          </w:p>
        </w:tc>
        <w:tc>
          <w:tcPr>
            <w:tcW w:w="1832" w:type="pct"/>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未制定相应的监控机制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产出（20分）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项目产出（20分）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实际完成率（4分）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完成及时率（6分）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质量达标率（5分）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成本节约率（5分）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效果指标（30分）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项目效益（30分）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社会效益（10分）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可持续影响（10分）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社会公众或服务对象满意度（10分）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2223" w:type="pct"/>
            <w:gridSpan w:val="3"/>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413"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99</w:t>
            </w:r>
          </w:p>
        </w:tc>
        <w:tc>
          <w:tcPr>
            <w:tcW w:w="532"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bl>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lang w:eastAsia="zh-CN"/>
        </w:rPr>
        <w:t>四、</w:t>
      </w:r>
      <w:r>
        <w:rPr>
          <w:rFonts w:hint="eastAsia" w:ascii="宋体" w:hAnsi="宋体" w:eastAsia="方正黑体简体" w:cs="Times New Roman"/>
          <w:sz w:val="33"/>
          <w:szCs w:val="33"/>
        </w:rPr>
        <w:t>绩效分析</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（一）投入</w:t>
      </w:r>
      <w:r>
        <w:rPr>
          <w:rFonts w:hint="eastAsia" w:ascii="宋体" w:hAnsi="宋体" w:eastAsia="方正楷体简体" w:cs="Times New Roman"/>
          <w:b/>
          <w:sz w:val="33"/>
          <w:szCs w:val="33"/>
          <w:lang w:val="zh-CN" w:eastAsia="zh-CN"/>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1.项目立项规范性（5分）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该项目属于机关经费类项目，</w:t>
      </w:r>
      <w:r>
        <w:rPr>
          <w:rFonts w:ascii="宋体" w:hAnsi="宋体" w:eastAsia="方正仿宋简体"/>
          <w:color w:val="000000" w:themeColor="text1"/>
          <w:sz w:val="33"/>
          <w:szCs w:val="33"/>
          <w:highlight w:val="none"/>
          <w14:textFill>
            <w14:solidFill>
              <w14:schemeClr w14:val="tx1"/>
            </w14:solidFill>
          </w14:textFill>
        </w:rPr>
        <w:t>项目的申请、设立过程符合</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财政局内部</w:t>
      </w:r>
      <w:r>
        <w:rPr>
          <w:rFonts w:ascii="宋体" w:hAnsi="宋体" w:eastAsia="方正仿宋简体"/>
          <w:color w:val="000000" w:themeColor="text1"/>
          <w:sz w:val="33"/>
          <w:szCs w:val="33"/>
          <w:highlight w:val="none"/>
          <w14:textFill>
            <w14:solidFill>
              <w14:schemeClr w14:val="tx1"/>
            </w14:solidFill>
          </w14:textFill>
        </w:rPr>
        <w:t>要求，</w:t>
      </w:r>
      <w:r>
        <w:rPr>
          <w:rFonts w:hint="eastAsia" w:ascii="宋体" w:hAnsi="宋体" w:eastAsia="方正仿宋简体"/>
          <w:color w:val="000000" w:themeColor="text1"/>
          <w:sz w:val="33"/>
          <w:szCs w:val="33"/>
          <w:highlight w:val="none"/>
          <w:lang w:val="en-US" w:eastAsia="zh-CN"/>
          <w14:textFill>
            <w14:solidFill>
              <w14:schemeClr w14:val="tx1"/>
            </w14:solidFill>
          </w14:textFill>
        </w:rPr>
        <w:t>由财政局党组会讨论通过，通过集体决策，</w:t>
      </w:r>
      <w:r>
        <w:rPr>
          <w:rFonts w:ascii="宋体" w:hAnsi="宋体" w:eastAsia="方正仿宋简体"/>
          <w:color w:val="000000" w:themeColor="text1"/>
          <w:sz w:val="33"/>
          <w:szCs w:val="33"/>
          <w:highlight w:val="none"/>
          <w14:textFill>
            <w14:solidFill>
              <w14:schemeClr w14:val="tx1"/>
            </w14:solidFill>
          </w14:textFill>
        </w:rPr>
        <w:t>项目按照规定的程序申请设立；所提交的文件、材料</w:t>
      </w:r>
      <w:r>
        <w:rPr>
          <w:rFonts w:hint="eastAsia" w:ascii="宋体" w:hAnsi="宋体" w:eastAsia="方正仿宋简体"/>
          <w:color w:val="000000" w:themeColor="text1"/>
          <w:sz w:val="33"/>
          <w:szCs w:val="33"/>
          <w:highlight w:val="none"/>
          <w:lang w:val="en-US" w:eastAsia="zh-CN"/>
          <w14:textFill>
            <w14:solidFill>
              <w14:schemeClr w14:val="tx1"/>
            </w14:solidFill>
          </w14:textFill>
        </w:rPr>
        <w:t>均</w:t>
      </w:r>
      <w:r>
        <w:rPr>
          <w:rFonts w:ascii="宋体" w:hAnsi="宋体" w:eastAsia="方正仿宋简体"/>
          <w:color w:val="000000" w:themeColor="text1"/>
          <w:sz w:val="33"/>
          <w:szCs w:val="33"/>
          <w:highlight w:val="none"/>
          <w14:textFill>
            <w14:solidFill>
              <w14:schemeClr w14:val="tx1"/>
            </w14:solidFill>
          </w14:textFill>
        </w:rPr>
        <w:t>符合相关要求</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该项得满分5分。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2.绩效目标合理性（4分）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eastAsia="方正仿宋简体"/>
          <w:lang w:val="en-US" w:eastAsia="zh-CN"/>
        </w:rPr>
      </w:pPr>
      <w:r>
        <w:rPr>
          <w:rFonts w:hint="eastAsia" w:ascii="宋体" w:hAnsi="宋体" w:eastAsia="方正仿宋简体"/>
          <w:color w:val="000000" w:themeColor="text1"/>
          <w:sz w:val="33"/>
          <w:szCs w:val="33"/>
          <w:highlight w:val="none"/>
          <w14:textFill>
            <w14:solidFill>
              <w14:schemeClr w14:val="tx1"/>
            </w14:solidFill>
          </w14:textFill>
        </w:rPr>
        <w:t>该项目绩效目标合理。①本项目实施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符合《财政投资评审管理规定》等国家相关法律法规、国民经济发展规划和党委政府决策要求</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本项目</w:t>
      </w:r>
      <w:r>
        <w:rPr>
          <w:rFonts w:hint="eastAsia" w:ascii="宋体" w:hAnsi="宋体" w:eastAsia="方正仿宋简体"/>
          <w:color w:val="000000" w:themeColor="text1"/>
          <w:sz w:val="33"/>
          <w:szCs w:val="33"/>
          <w:highlight w:val="none"/>
          <w14:textFill>
            <w14:solidFill>
              <w14:schemeClr w14:val="tx1"/>
            </w14:solidFill>
          </w14:textFill>
        </w:rPr>
        <w:t>实施内容与</w:t>
      </w:r>
      <w:r>
        <w:rPr>
          <w:rFonts w:hint="eastAsia" w:ascii="宋体" w:hAnsi="宋体" w:eastAsia="方正仿宋简体"/>
          <w:color w:val="000000" w:themeColor="text1"/>
          <w:sz w:val="33"/>
          <w:szCs w:val="33"/>
          <w:highlight w:val="none"/>
          <w:lang w:val="en-US" w:eastAsia="zh-CN"/>
          <w14:textFill>
            <w14:solidFill>
              <w14:schemeClr w14:val="tx1"/>
            </w14:solidFill>
          </w14:textFill>
        </w:rPr>
        <w:t>局财评中心</w:t>
      </w:r>
      <w:r>
        <w:rPr>
          <w:rFonts w:hint="eastAsia" w:ascii="宋体" w:hAnsi="宋体" w:eastAsia="方正仿宋简体"/>
          <w:color w:val="000000" w:themeColor="text1"/>
          <w:sz w:val="33"/>
          <w:szCs w:val="33"/>
          <w:highlight w:val="none"/>
          <w14:textFill>
            <w14:solidFill>
              <w14:schemeClr w14:val="tx1"/>
            </w14:solidFill>
          </w14:textFill>
        </w:rPr>
        <w:t>“负责本级涉及财政性资金投资项目预概算和竣工决算评审的事务性和服务性工作”</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w:t>
      </w:r>
      <w:r>
        <w:rPr>
          <w:rFonts w:hint="eastAsia" w:ascii="宋体" w:hAnsi="宋体" w:eastAsia="方正仿宋简体"/>
          <w:color w:val="000000" w:themeColor="text1"/>
          <w:sz w:val="33"/>
          <w:szCs w:val="33"/>
          <w:highlight w:val="none"/>
          <w14:textFill>
            <w14:solidFill>
              <w14:schemeClr w14:val="tx1"/>
            </w14:solidFill>
          </w14:textFill>
        </w:rPr>
        <w:t>职能密切相关；③</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w:t>
      </w:r>
      <w:r>
        <w:rPr>
          <w:rFonts w:hint="eastAsia" w:ascii="宋体" w:hAnsi="宋体" w:eastAsia="方正仿宋简体"/>
          <w:color w:val="000000" w:themeColor="text1"/>
          <w:sz w:val="33"/>
          <w:szCs w:val="33"/>
          <w:highlight w:val="none"/>
          <w14:textFill>
            <w14:solidFill>
              <w14:schemeClr w14:val="tx1"/>
            </w14:solidFill>
          </w14:textFill>
        </w:rPr>
        <w:t>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能够节约政府投资，提高财政资金使用效益，</w:t>
      </w:r>
      <w:r>
        <w:rPr>
          <w:rFonts w:hint="eastAsia" w:ascii="宋体" w:hAnsi="宋体" w:eastAsia="方正仿宋简体"/>
          <w:color w:val="000000" w:themeColor="text1"/>
          <w:sz w:val="33"/>
          <w:szCs w:val="33"/>
          <w:highlight w:val="none"/>
          <w14:textFill>
            <w14:solidFill>
              <w14:schemeClr w14:val="tx1"/>
            </w14:solidFill>
          </w14:textFill>
        </w:rPr>
        <w:t>为促进事业发展所必需；④该项目预期产出及效果根据上级文件、计划标准制定，符合正常的业绩水平。该项得满分4分</w:t>
      </w:r>
      <w:r>
        <w:rPr>
          <w:rFonts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3.绩效指标明确性（6分）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①设置了：送审评审项目数量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≥261个</w:t>
      </w:r>
      <w:r>
        <w:rPr>
          <w:rFonts w:hint="eastAsia" w:ascii="宋体" w:hAnsi="宋体" w:eastAsia="方正仿宋简体"/>
          <w:color w:val="000000" w:themeColor="text1"/>
          <w:sz w:val="33"/>
          <w:szCs w:val="33"/>
          <w:highlight w:val="none"/>
          <w14:textFill>
            <w14:solidFill>
              <w14:schemeClr w14:val="tx1"/>
            </w14:solidFill>
          </w14:textFill>
        </w:rPr>
        <w:t>等</w:t>
      </w:r>
      <w:r>
        <w:rPr>
          <w:rFonts w:hint="eastAsia" w:ascii="宋体" w:hAnsi="宋体" w:eastAsia="方正仿宋简体"/>
          <w:color w:val="000000" w:themeColor="text1"/>
          <w:sz w:val="33"/>
          <w:szCs w:val="33"/>
          <w:highlight w:val="none"/>
          <w:lang w:val="en-US" w:eastAsia="zh-CN"/>
          <w14:textFill>
            <w14:solidFill>
              <w14:schemeClr w14:val="tx1"/>
            </w14:solidFill>
          </w14:textFill>
        </w:rPr>
        <w:t>3</w:t>
      </w:r>
      <w:r>
        <w:rPr>
          <w:rFonts w:hint="eastAsia" w:ascii="宋体" w:hAnsi="宋体" w:eastAsia="方正仿宋简体"/>
          <w:color w:val="000000" w:themeColor="text1"/>
          <w:sz w:val="33"/>
          <w:szCs w:val="33"/>
          <w:highlight w:val="none"/>
          <w14:textFill>
            <w14:solidFill>
              <w14:schemeClr w14:val="tx1"/>
            </w14:solidFill>
          </w14:textFill>
        </w:rPr>
        <w:t>条数量指标、评审专家服务达标率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≥95</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等2条</w:t>
      </w:r>
      <w:r>
        <w:rPr>
          <w:rFonts w:hint="eastAsia" w:ascii="宋体" w:hAnsi="宋体" w:eastAsia="方正仿宋简体"/>
          <w:color w:val="000000" w:themeColor="text1"/>
          <w:sz w:val="33"/>
          <w:szCs w:val="33"/>
          <w:highlight w:val="none"/>
          <w14:textFill>
            <w14:solidFill>
              <w14:schemeClr w14:val="tx1"/>
            </w14:solidFill>
          </w14:textFill>
        </w:rPr>
        <w:t>质量指标、送审项目评审经费预算控制数≤</w:t>
      </w:r>
      <w:r>
        <w:rPr>
          <w:rFonts w:hint="eastAsia" w:ascii="宋体" w:hAnsi="宋体" w:eastAsia="方正仿宋简体"/>
          <w:color w:val="000000" w:themeColor="text1"/>
          <w:sz w:val="33"/>
          <w:szCs w:val="33"/>
          <w:highlight w:val="none"/>
          <w:lang w:val="en-US" w:eastAsia="zh-CN"/>
          <w14:textFill>
            <w14:solidFill>
              <w14:schemeClr w14:val="tx1"/>
            </w14:solidFill>
          </w14:textFill>
        </w:rPr>
        <w:t>200万元</w:t>
      </w:r>
      <w:r>
        <w:rPr>
          <w:rFonts w:hint="eastAsia" w:ascii="宋体" w:hAnsi="宋体" w:eastAsia="方正仿宋简体"/>
          <w:color w:val="000000" w:themeColor="text1"/>
          <w:sz w:val="33"/>
          <w:szCs w:val="33"/>
          <w:highlight w:val="none"/>
          <w14:textFill>
            <w14:solidFill>
              <w14:schemeClr w14:val="tx1"/>
            </w14:solidFill>
          </w14:textFill>
        </w:rPr>
        <w:t>等指标</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已</w:t>
      </w:r>
      <w:r>
        <w:rPr>
          <w:rFonts w:hint="eastAsia" w:ascii="宋体" w:hAnsi="宋体" w:eastAsia="方正仿宋简体"/>
          <w:color w:val="000000" w:themeColor="text1"/>
          <w:sz w:val="33"/>
          <w:szCs w:val="33"/>
          <w:highlight w:val="none"/>
          <w:lang w:eastAsia="zh-CN"/>
          <w14:textFill>
            <w14:solidFill>
              <w14:schemeClr w14:val="tx1"/>
            </w14:solidFill>
          </w14:textFill>
        </w:rPr>
        <w:t>将项目绩效目标细化分解为具体的绩效指标</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设置的指标，如“</w:t>
      </w:r>
      <w:r>
        <w:rPr>
          <w:rFonts w:hint="eastAsia" w:ascii="宋体" w:hAnsi="宋体" w:eastAsia="方正仿宋简体"/>
          <w:color w:val="000000" w:themeColor="text1"/>
          <w:sz w:val="33"/>
          <w:szCs w:val="33"/>
          <w:highlight w:val="none"/>
          <w14:textFill>
            <w14:solidFill>
              <w14:schemeClr w14:val="tx1"/>
            </w14:solidFill>
          </w14:textFill>
        </w:rPr>
        <w:t>送审评审项目数量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≥261个”“</w:t>
      </w:r>
      <w:r>
        <w:rPr>
          <w:rFonts w:hint="eastAsia" w:ascii="宋体" w:hAnsi="宋体" w:eastAsia="方正仿宋简体"/>
          <w:color w:val="000000" w:themeColor="text1"/>
          <w:sz w:val="33"/>
          <w:szCs w:val="33"/>
          <w:highlight w:val="none"/>
          <w14:textFill>
            <w14:solidFill>
              <w14:schemeClr w14:val="tx1"/>
            </w14:solidFill>
          </w14:textFill>
        </w:rPr>
        <w:t>评审专家服务达标率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≥95</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”“评审单位对评审报告满意度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等指标值等清晰、可衡量。</w:t>
      </w:r>
      <w:r>
        <w:rPr>
          <w:rFonts w:hint="eastAsia" w:ascii="宋体" w:hAnsi="宋体" w:eastAsia="方正仿宋简体"/>
          <w:color w:val="000000" w:themeColor="text1"/>
          <w:sz w:val="33"/>
          <w:szCs w:val="33"/>
          <w:highlight w:val="none"/>
          <w14:textFill>
            <w14:solidFill>
              <w14:schemeClr w14:val="tx1"/>
            </w14:solidFill>
          </w14:textFill>
        </w:rPr>
        <w:t>③本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项目2022</w:t>
      </w:r>
      <w:r>
        <w:rPr>
          <w:rFonts w:hint="eastAsia" w:ascii="宋体" w:hAnsi="宋体" w:eastAsia="方正仿宋简体"/>
          <w:color w:val="000000" w:themeColor="text1"/>
          <w:sz w:val="33"/>
          <w:szCs w:val="33"/>
          <w:highlight w:val="none"/>
          <w14:textFill>
            <w14:solidFill>
              <w14:schemeClr w14:val="tx1"/>
            </w14:solidFill>
          </w14:textFill>
        </w:rPr>
        <w:t>年度计划实施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3</w:t>
      </w:r>
      <w:r>
        <w:rPr>
          <w:rFonts w:hint="eastAsia" w:ascii="宋体" w:hAnsi="宋体" w:eastAsia="方正仿宋简体"/>
          <w:color w:val="000000" w:themeColor="text1"/>
          <w:sz w:val="33"/>
          <w:szCs w:val="33"/>
          <w:highlight w:val="none"/>
          <w14:textFill>
            <w14:solidFill>
              <w14:schemeClr w14:val="tx1"/>
            </w14:solidFill>
          </w14:textFill>
        </w:rPr>
        <w:t>项任务，</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项目绩效指标与项目</w:t>
      </w:r>
      <w:r>
        <w:rPr>
          <w:rFonts w:hint="eastAsia" w:ascii="宋体" w:hAnsi="宋体" w:eastAsia="方正仿宋简体"/>
          <w:color w:val="000000" w:themeColor="text1"/>
          <w:sz w:val="33"/>
          <w:szCs w:val="33"/>
          <w:highlight w:val="none"/>
          <w14:textFill>
            <w14:solidFill>
              <w14:schemeClr w14:val="tx1"/>
            </w14:solidFill>
          </w14:textFill>
        </w:rPr>
        <w:t>年度任务与</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hint="eastAsia" w:ascii="宋体" w:hAnsi="宋体" w:eastAsia="方正仿宋简体"/>
          <w:color w:val="000000" w:themeColor="text1"/>
          <w:sz w:val="33"/>
          <w:szCs w:val="33"/>
          <w:highlight w:val="none"/>
          <w14:textFill>
            <w14:solidFill>
              <w14:schemeClr w14:val="tx1"/>
            </w14:solidFill>
          </w14:textFill>
        </w:rPr>
        <w:t>完成相对应，数量指标完整清晰。</w:t>
      </w:r>
      <w:r>
        <w:rPr>
          <w:rFonts w:hint="eastAsia" w:ascii="宋体" w:hAnsi="宋体" w:eastAsia="方正仿宋简体"/>
          <w:color w:val="000000" w:themeColor="text1"/>
          <w:sz w:val="33"/>
          <w:szCs w:val="33"/>
          <w:highlight w:val="none"/>
          <w:lang w:val="en-US" w:eastAsia="zh-CN"/>
          <w14:textFill>
            <w14:solidFill>
              <w14:schemeClr w14:val="tx1"/>
            </w14:solidFill>
          </w14:textFill>
        </w:rPr>
        <w:t>④</w:t>
      </w:r>
      <w:r>
        <w:rPr>
          <w:rFonts w:hint="eastAsia" w:ascii="宋体" w:hAnsi="宋体" w:eastAsia="方正仿宋简体"/>
          <w:color w:val="000000" w:themeColor="text1"/>
          <w:sz w:val="33"/>
          <w:szCs w:val="33"/>
          <w:highlight w:val="none"/>
          <w14:textFill>
            <w14:solidFill>
              <w14:schemeClr w14:val="tx1"/>
            </w14:solidFill>
          </w14:textFill>
        </w:rPr>
        <w:t>本项目预算根据</w:t>
      </w:r>
      <w:r>
        <w:rPr>
          <w:rFonts w:hint="eastAsia" w:ascii="宋体" w:hAnsi="宋体" w:eastAsia="方正仿宋简体"/>
          <w:color w:val="000000" w:themeColor="text1"/>
          <w:sz w:val="33"/>
          <w:szCs w:val="33"/>
          <w:highlight w:val="none"/>
          <w:lang w:val="en-US" w:eastAsia="zh-CN"/>
          <w14:textFill>
            <w14:solidFill>
              <w14:schemeClr w14:val="tx1"/>
            </w14:solidFill>
          </w14:textFill>
        </w:rPr>
        <w:t>以往年度项目实际支出费用确定</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明确财政</w:t>
      </w:r>
      <w:r>
        <w:rPr>
          <w:rFonts w:hint="eastAsia" w:ascii="宋体" w:hAnsi="宋体" w:eastAsia="方正仿宋简体"/>
          <w:color w:val="000000" w:themeColor="text1"/>
          <w:sz w:val="33"/>
          <w:szCs w:val="33"/>
          <w:highlight w:val="none"/>
          <w14:textFill>
            <w14:solidFill>
              <w14:schemeClr w14:val="tx1"/>
            </w14:solidFill>
          </w14:textFill>
        </w:rPr>
        <w:t>评审中心临聘人员</w:t>
      </w:r>
      <w:r>
        <w:rPr>
          <w:rFonts w:hint="eastAsia" w:ascii="宋体" w:hAnsi="宋体" w:eastAsia="方正仿宋简体"/>
          <w:color w:val="000000" w:themeColor="text1"/>
          <w:sz w:val="33"/>
          <w:szCs w:val="33"/>
          <w:highlight w:val="none"/>
          <w:lang w:val="en-US" w:eastAsia="zh-CN"/>
          <w14:textFill>
            <w14:solidFill>
              <w14:schemeClr w14:val="tx1"/>
            </w14:solidFill>
          </w14:textFill>
        </w:rPr>
        <w:t>相关工资</w:t>
      </w:r>
      <w:r>
        <w:rPr>
          <w:rFonts w:hint="eastAsia" w:ascii="宋体" w:hAnsi="宋体" w:eastAsia="方正仿宋简体"/>
          <w:color w:val="000000" w:themeColor="text1"/>
          <w:sz w:val="33"/>
          <w:szCs w:val="33"/>
          <w:highlight w:val="none"/>
          <w14:textFill>
            <w14:solidFill>
              <w14:schemeClr w14:val="tx1"/>
            </w14:solidFill>
          </w14:textFill>
        </w:rPr>
        <w:t>按照国家有关规定和甲方绩效工资分配办法</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成本测算依据充分；预算资金总额与本项目实施任务匹配。该项满分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6</w:t>
      </w:r>
      <w:r>
        <w:rPr>
          <w:rFonts w:hint="eastAsia" w:ascii="宋体" w:hAnsi="宋体" w:eastAsia="方正仿宋简体"/>
          <w:color w:val="000000" w:themeColor="text1"/>
          <w:sz w:val="33"/>
          <w:szCs w:val="33"/>
          <w:highlight w:val="none"/>
          <w14:textFill>
            <w14:solidFill>
              <w14:schemeClr w14:val="tx1"/>
            </w14:solidFill>
          </w14:textFill>
        </w:rPr>
        <w:t>分</w:t>
      </w:r>
      <w:r>
        <w:rPr>
          <w:rFonts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4.资金到位率(5分)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本项目年初预算资金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200</w:t>
      </w:r>
      <w:r>
        <w:rPr>
          <w:rFonts w:hint="eastAsia" w:ascii="宋体" w:hAnsi="宋体" w:eastAsia="方正仿宋简体"/>
          <w:color w:val="000000" w:themeColor="text1"/>
          <w:sz w:val="33"/>
          <w:szCs w:val="33"/>
          <w:highlight w:val="none"/>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调整后预算数为174.84万元，</w:t>
      </w:r>
      <w:r>
        <w:rPr>
          <w:rFonts w:hint="eastAsia" w:ascii="宋体" w:hAnsi="宋体" w:eastAsia="方正仿宋简体"/>
          <w:color w:val="000000" w:themeColor="text1"/>
          <w:sz w:val="33"/>
          <w:szCs w:val="33"/>
          <w:highlight w:val="none"/>
          <w14:textFill>
            <w14:solidFill>
              <w14:schemeClr w14:val="tx1"/>
            </w14:solidFill>
          </w14:textFill>
        </w:rPr>
        <w:t>截至202</w:t>
      </w:r>
      <w:r>
        <w:rPr>
          <w:rFonts w:hint="eastAsia" w:ascii="宋体" w:hAnsi="宋体" w:eastAsia="方正仿宋简体"/>
          <w:color w:val="000000" w:themeColor="text1"/>
          <w:sz w:val="33"/>
          <w:szCs w:val="33"/>
          <w:highlight w:val="none"/>
          <w:lang w:val="en-US" w:eastAsia="zh-CN"/>
          <w14:textFill>
            <w14:solidFill>
              <w14:schemeClr w14:val="tx1"/>
            </w14:solidFill>
          </w14:textFill>
        </w:rPr>
        <w:t>2</w:t>
      </w:r>
      <w:r>
        <w:rPr>
          <w:rFonts w:hint="eastAsia" w:ascii="宋体" w:hAnsi="宋体" w:eastAsia="方正仿宋简体"/>
          <w:color w:val="000000" w:themeColor="text1"/>
          <w:sz w:val="33"/>
          <w:szCs w:val="33"/>
          <w:highlight w:val="none"/>
          <w14:textFill>
            <w14:solidFill>
              <w14:schemeClr w14:val="tx1"/>
            </w14:solidFill>
          </w14:textFill>
        </w:rPr>
        <w:t>年12月31日，实际到位资金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174.84</w:t>
      </w:r>
      <w:r>
        <w:rPr>
          <w:rFonts w:hint="eastAsia" w:ascii="宋体" w:hAnsi="宋体" w:eastAsia="方正仿宋简体"/>
          <w:color w:val="000000" w:themeColor="text1"/>
          <w:sz w:val="33"/>
          <w:szCs w:val="33"/>
          <w:highlight w:val="none"/>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资金到位率=（实际到位资金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174.84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/计划投入资金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174.84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eastAsia" w:ascii="宋体" w:hAnsi="宋体" w:eastAsia="方正仿宋简体"/>
          <w:color w:val="000000" w:themeColor="text1"/>
          <w:sz w:val="33"/>
          <w:szCs w:val="33"/>
          <w:highlight w:val="none"/>
          <w14:textFill>
            <w14:solidFill>
              <w14:schemeClr w14:val="tx1"/>
            </w14:solidFill>
          </w14:textFill>
        </w:rPr>
        <w:t>分</w:t>
      </w:r>
      <w:r>
        <w:rPr>
          <w:rFonts w:hint="eastAsia" w:ascii="宋体" w:hAnsi="宋体" w:eastAsia="方正仿宋简体"/>
          <w:color w:val="000000" w:themeColor="text1"/>
          <w:sz w:val="33"/>
          <w:szCs w:val="33"/>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5.到位及时率(5分)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2022年，截至规定时点实际落实到具体项目的资金为174.84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到位及时率=（及时到位资金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174.84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/应到位资金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174.84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eastAsia" w:ascii="宋体" w:hAnsi="宋体" w:eastAsia="方正仿宋简体"/>
          <w:color w:val="000000" w:themeColor="text1"/>
          <w:sz w:val="33"/>
          <w:szCs w:val="33"/>
          <w:highlight w:val="none"/>
          <w14:textFill>
            <w14:solidFill>
              <w14:schemeClr w14:val="tx1"/>
            </w14:solidFill>
          </w14:textFill>
        </w:rPr>
        <w:t>分</w:t>
      </w:r>
      <w:r>
        <w:rPr>
          <w:rFonts w:hint="eastAsia" w:ascii="宋体" w:hAnsi="宋体" w:eastAsia="方正仿宋简体"/>
          <w:color w:val="000000" w:themeColor="text1"/>
          <w:sz w:val="33"/>
          <w:szCs w:val="33"/>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（二）过程</w:t>
      </w:r>
      <w:r>
        <w:rPr>
          <w:rFonts w:hint="eastAsia" w:ascii="宋体" w:hAnsi="宋体" w:eastAsia="方正楷体简体" w:cs="Times New Roman"/>
          <w:b/>
          <w:sz w:val="33"/>
          <w:szCs w:val="33"/>
          <w:lang w:val="zh-CN" w:eastAsia="zh-CN"/>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1.管理制度健全性（4分）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在制度方面，本部门制定了</w:t>
      </w:r>
      <w:r>
        <w:rPr>
          <w:rFonts w:hint="eastAsia" w:ascii="宋体" w:hAnsi="宋体" w:eastAsia="方正仿宋简体"/>
          <w:color w:val="000000" w:themeColor="text1"/>
          <w:sz w:val="33"/>
          <w:szCs w:val="33"/>
          <w:highlight w:val="none"/>
          <w:lang w:eastAsia="zh-CN"/>
          <w14:textFill>
            <w14:solidFill>
              <w14:schemeClr w14:val="tx1"/>
            </w14:solidFill>
          </w14:textFill>
        </w:rPr>
        <w:t>《资阳市雁江区财政局内部控制手册》，包括《行政单位采购管理制度》、《行政单位预算管理制度》、《收支业务制度》、《行政资产管理制度》、《行政单位结算管理制度》等相关制度，从“三重一大”决策、预算管理、财务管理、固定资产管理、合同管理、政府采购等方面进行了规范，内控制度基本建立，具有合法、合规、完整的项目管理制度，业务管理制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健全，</w:t>
      </w:r>
      <w:r>
        <w:rPr>
          <w:rFonts w:ascii="宋体" w:hAnsi="宋体" w:eastAsia="方正仿宋简体"/>
          <w:color w:val="000000" w:themeColor="text1"/>
          <w:sz w:val="33"/>
          <w:szCs w:val="33"/>
          <w:highlight w:val="none"/>
          <w14:textFill>
            <w14:solidFill>
              <w14:schemeClr w14:val="tx1"/>
            </w14:solidFill>
          </w14:textFill>
        </w:rPr>
        <w:t>合法、合规、</w:t>
      </w:r>
      <w:r>
        <w:rPr>
          <w:rFonts w:hint="eastAsia" w:ascii="宋体" w:hAnsi="宋体" w:eastAsia="方正仿宋简体"/>
          <w:color w:val="000000" w:themeColor="text1"/>
          <w:sz w:val="33"/>
          <w:szCs w:val="33"/>
          <w:highlight w:val="none"/>
          <w:lang w:val="en-US" w:eastAsia="zh-CN"/>
          <w14:textFill>
            <w14:solidFill>
              <w14:schemeClr w14:val="tx1"/>
            </w14:solidFill>
          </w14:textFill>
        </w:rPr>
        <w:t>内容完整</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该项得满分4分。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2.制度执行有效性（6分)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lang w:eastAsia="zh-CN"/>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在项目执行方面，本部门严格遵守相关法律法规和业务管理规定，2022年进行过项目预算调整，项目调整及支出调整手续完备。同时，在项目执行过程中，项目合同书等资料齐全并及时归档，委托第三方评审公司和临聘专家负责，项目实施的人员条件、场地设备、信息支撑等均已落实到位，完成财政投资项目的评审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3.项目质量可控性（3分）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已制定或具有相应的项目质量要求或标准，明确在项目执行过程中，评审专家服务和三方机构评审项目服务必须达标，对评审项目的质量做了明确要求，在评审工作过程中采取了相应的项目质量检查、验收等必需的控制措施或手段，如评审单位反馈等。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4.管理制度健全性（3分）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本部门</w:t>
      </w:r>
      <w:r>
        <w:rPr>
          <w:rFonts w:hint="eastAsia" w:ascii="宋体" w:hAnsi="宋体" w:eastAsia="方正仿宋简体"/>
          <w:color w:val="000000" w:themeColor="text1"/>
          <w:sz w:val="33"/>
          <w:szCs w:val="33"/>
          <w:highlight w:val="none"/>
          <w:lang w:eastAsia="zh-CN"/>
          <w14:textFill>
            <w14:solidFill>
              <w14:schemeClr w14:val="tx1"/>
            </w14:solidFill>
          </w14:textFill>
        </w:rPr>
        <w:t>为加强项目资金管理，制定了《资阳市雁江区财政局内部控制手册》用以规范项目管理相关工作，</w:t>
      </w:r>
      <w:r>
        <w:rPr>
          <w:rFonts w:hint="eastAsia" w:ascii="宋体" w:hAnsi="宋体" w:eastAsia="方正仿宋简体"/>
          <w:color w:val="000000" w:themeColor="text1"/>
          <w:sz w:val="33"/>
          <w:szCs w:val="33"/>
          <w:highlight w:val="none"/>
          <w:lang w:val="en-US" w:eastAsia="zh-CN"/>
          <w14:textFill>
            <w14:solidFill>
              <w14:schemeClr w14:val="tx1"/>
            </w14:solidFill>
          </w14:textFill>
        </w:rPr>
        <w:t>明确了直接支付管理以及授权支付管理等，符合相关财务会计制度的规定</w:t>
      </w:r>
      <w:r>
        <w:rPr>
          <w:rFonts w:hint="eastAsia" w:ascii="宋体" w:hAnsi="宋体" w:eastAsia="方正仿宋简体"/>
          <w:color w:val="000000" w:themeColor="text1"/>
          <w:sz w:val="33"/>
          <w:szCs w:val="33"/>
          <w:highlight w:val="none"/>
          <w:lang w:eastAsia="zh-CN"/>
          <w14:textFill>
            <w14:solidFill>
              <w14:schemeClr w14:val="tx1"/>
            </w14:solidFill>
          </w14:textFill>
        </w:rPr>
        <w:t>。该项得满分3分。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5.资金使用合规性（7分）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w:t>
      </w:r>
      <w:r>
        <w:rPr>
          <w:rFonts w:hint="default" w:ascii="宋体" w:hAnsi="宋体" w:eastAsia="方正仿宋简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项目资金</w:t>
      </w:r>
      <w:r>
        <w:rPr>
          <w:rFonts w:hint="default" w:ascii="宋体" w:hAnsi="宋体" w:eastAsia="方正仿宋简体"/>
          <w:color w:val="000000" w:themeColor="text1"/>
          <w:sz w:val="33"/>
          <w:szCs w:val="33"/>
          <w:highlight w:val="none"/>
          <w:lang w:val="en-US" w:eastAsia="zh-CN"/>
          <w14:textFill>
            <w14:solidFill>
              <w14:schemeClr w14:val="tx1"/>
            </w14:solidFill>
          </w14:textFill>
        </w:rPr>
        <w:t>按照</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财务管理</w:t>
      </w:r>
      <w:r>
        <w:rPr>
          <w:rFonts w:hint="default" w:ascii="宋体" w:hAnsi="宋体" w:eastAsia="方正仿宋简体"/>
          <w:color w:val="000000" w:themeColor="text1"/>
          <w:sz w:val="33"/>
          <w:szCs w:val="33"/>
          <w:highlight w:val="none"/>
          <w:lang w:val="en-US" w:eastAsia="zh-CN"/>
          <w14:textFill>
            <w14:solidFill>
              <w14:schemeClr w14:val="tx1"/>
            </w14:solidFill>
          </w14:textFill>
        </w:rPr>
        <w:t>规定使用财政资金，由执行部门根据实际工作发起支出申请表，</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财务分管领导</w:t>
      </w:r>
      <w:r>
        <w:rPr>
          <w:rFonts w:hint="default" w:ascii="宋体" w:hAnsi="宋体" w:eastAsia="方正仿宋简体"/>
          <w:color w:val="000000" w:themeColor="text1"/>
          <w:sz w:val="33"/>
          <w:szCs w:val="33"/>
          <w:highlight w:val="none"/>
          <w:lang w:val="en-US" w:eastAsia="zh-CN"/>
          <w14:textFill>
            <w14:solidFill>
              <w14:schemeClr w14:val="tx1"/>
            </w14:solidFill>
          </w14:textFill>
        </w:rPr>
        <w:t>对资金申请进行业务审批</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预算资金的拨付审批程序和手续完整，资金使用规范。项目资金使用符合项目预算批复及合同规定的用途，资金拨付审批程序和手续完整，不存在截留、挤占、挪用、虚列支出等情况。该项得满分7分。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6.财务监控有效性（2分）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该项目财务监控有效</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性不足</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2022年，本部门</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对项目资金使用情况及项目</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评审</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进度</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有所了解</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但并未对项目进度情况制定相应的监控机制，根据该情况扣1分</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。在采购预算控制、财务报销审核、资产入账等环节进行了财务审核</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，进行了财务检查</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该项扣1分，</w:t>
      </w:r>
      <w:r>
        <w:rPr>
          <w:rFonts w:hint="eastAsia" w:ascii="宋体" w:hAnsi="宋体" w:eastAsia="方正仿宋简体"/>
          <w:color w:val="000000" w:themeColor="text1"/>
          <w:sz w:val="33"/>
          <w:szCs w:val="33"/>
          <w:highlight w:val="none"/>
          <w:lang w:eastAsia="zh-CN"/>
          <w14:textFill>
            <w14:solidFill>
              <w14:schemeClr w14:val="tx1"/>
            </w14:solidFill>
          </w14:textFill>
        </w:rPr>
        <w:t>得</w:t>
      </w:r>
      <w:r>
        <w:rPr>
          <w:rFonts w:hint="eastAsia" w:ascii="宋体" w:hAnsi="宋体" w:eastAsia="方正仿宋简体"/>
          <w:color w:val="000000" w:themeColor="text1"/>
          <w:sz w:val="33"/>
          <w:szCs w:val="33"/>
          <w:highlight w:val="none"/>
          <w:lang w:val="en-US" w:eastAsia="zh-CN"/>
          <w14:textFill>
            <w14:solidFill>
              <w14:schemeClr w14:val="tx1"/>
            </w14:solidFill>
          </w14:textFill>
        </w:rPr>
        <w:t>分1</w:t>
      </w:r>
      <w:r>
        <w:rPr>
          <w:rFonts w:hint="eastAsia" w:ascii="宋体" w:hAnsi="宋体" w:eastAsia="方正仿宋简体"/>
          <w:color w:val="000000" w:themeColor="text1"/>
          <w:sz w:val="33"/>
          <w:szCs w:val="33"/>
          <w:highlight w:val="none"/>
          <w:lang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（三）产出</w:t>
      </w:r>
      <w:r>
        <w:rPr>
          <w:rFonts w:hint="eastAsia" w:ascii="宋体" w:hAnsi="宋体" w:eastAsia="方正楷体简体" w:cs="Times New Roman"/>
          <w:b/>
          <w:sz w:val="33"/>
          <w:szCs w:val="33"/>
          <w:lang w:val="zh-CN" w:eastAsia="zh-CN"/>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1.实际完成率（4分）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完成送审评审项目数量161个及以上，评审项目金额在15亿及以上，计划委托临聘评审专家和第三方评审公司开展项目评审工作，2022年度，局财评中心共评审项目557个，其中评审中心评审项目473个，委托评审项目84个（其中预算53个，结算27个，财务决算4个），实际产出的产品或提供的服务数量达到年初计划要求，实际完成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4</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2.完成及时率（6分）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2022年，评审中心、委托的临聘评审专家以及第三方评审公司有序开展财政投资项目评审工作，项目评审工作均已及时完成，完成及时率为100%。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6</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3.质量达标率（5分）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2022年，本项目计划委托临聘</w:t>
      </w:r>
      <w:r>
        <w:rPr>
          <w:rFonts w:hint="default" w:ascii="宋体" w:hAnsi="宋体" w:eastAsia="方正仿宋简体"/>
          <w:color w:val="000000" w:themeColor="text1"/>
          <w:sz w:val="33"/>
          <w:szCs w:val="33"/>
          <w:highlight w:val="none"/>
          <w:lang w:val="en-US" w:eastAsia="zh-CN"/>
          <w14:textFill>
            <w14:solidFill>
              <w14:schemeClr w14:val="tx1"/>
            </w14:solidFill>
          </w14:textFill>
        </w:rPr>
        <w:t>评审专家服务达标率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在95%以上，三方机构（有资质）评审项目服务达标率为100%，实际执行过程中各个项目评审质量均达标，符合项目实际情况，质量达标率为100%。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4.成本节约率（5分）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主要成本来自聘请临聘评审人员的工资和保险以及聘请外部机构的评审费用，2022年项目计划成本174.84万元，</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实际成本为</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174.84</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万元</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成本节约率</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为0，未节约成本，也未增加项目成本，该项不扣分</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。该项得满分5分。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（四）效果</w:t>
      </w:r>
      <w:r>
        <w:rPr>
          <w:rFonts w:hint="eastAsia" w:ascii="宋体" w:hAnsi="宋体" w:eastAsia="方正楷体简体" w:cs="Times New Roman"/>
          <w:b/>
          <w:sz w:val="33"/>
          <w:szCs w:val="33"/>
          <w:lang w:val="zh-CN" w:eastAsia="zh-CN"/>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1.社会效益-评审报告成果利用率(10分）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default" w:ascii="宋体" w:hAnsi="宋体" w:eastAsia="方正仿宋简体"/>
          <w:color w:val="000000" w:themeColor="text1"/>
          <w:sz w:val="33"/>
          <w:szCs w:val="33"/>
          <w:highlight w:val="none"/>
          <w:lang w:val="en-US" w:eastAsia="zh-CN"/>
          <w14:textFill>
            <w14:solidFill>
              <w14:schemeClr w14:val="tx1"/>
            </w14:solidFill>
          </w14:textFill>
        </w:rPr>
        <w:t>本项目的实施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有效保障了</w:t>
      </w:r>
      <w:r>
        <w:rPr>
          <w:rFonts w:hint="default" w:ascii="宋体" w:hAnsi="宋体" w:eastAsia="方正仿宋简体"/>
          <w:color w:val="000000" w:themeColor="text1"/>
          <w:sz w:val="33"/>
          <w:szCs w:val="33"/>
          <w:highlight w:val="none"/>
          <w:lang w:val="en-US" w:eastAsia="zh-CN"/>
          <w14:textFill>
            <w14:solidFill>
              <w14:schemeClr w14:val="tx1"/>
            </w14:solidFill>
          </w14:textFill>
        </w:rPr>
        <w:t>雁江区</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财政投资项目的正常进行</w:t>
      </w:r>
      <w:r>
        <w:rPr>
          <w:rFonts w:hint="default" w:ascii="宋体" w:hAnsi="宋体" w:eastAsia="方正仿宋简体"/>
          <w:color w:val="000000" w:themeColor="text1"/>
          <w:sz w:val="33"/>
          <w:szCs w:val="33"/>
          <w:highlight w:val="none"/>
          <w:lang w:val="en-US" w:eastAsia="zh-CN"/>
          <w14:textFill>
            <w14:solidFill>
              <w14:schemeClr w14:val="tx1"/>
            </w14:solidFill>
          </w14:textFill>
        </w:rPr>
        <w:t>，及时完成评审，节约财政资金，达到了</w:t>
      </w:r>
      <w:r>
        <w:rPr>
          <w:rFonts w:hint="eastAsia" w:ascii="宋体" w:hAnsi="宋体" w:eastAsia="方正仿宋简体"/>
          <w:color w:val="000000" w:themeColor="text1"/>
          <w:sz w:val="33"/>
          <w:szCs w:val="33"/>
          <w:highlight w:val="none"/>
          <w:lang w:val="en-US" w:eastAsia="zh-CN"/>
          <w14:textFill>
            <w14:solidFill>
              <w14:schemeClr w14:val="tx1"/>
            </w14:solidFill>
          </w14:textFill>
        </w:rPr>
        <w:t>既定</w:t>
      </w:r>
      <w:r>
        <w:rPr>
          <w:rFonts w:hint="default" w:ascii="宋体" w:hAnsi="宋体" w:eastAsia="方正仿宋简体"/>
          <w:color w:val="000000" w:themeColor="text1"/>
          <w:sz w:val="33"/>
          <w:szCs w:val="33"/>
          <w:highlight w:val="none"/>
          <w:lang w:val="en-US" w:eastAsia="zh-CN"/>
          <w14:textFill>
            <w14:solidFill>
              <w14:schemeClr w14:val="tx1"/>
            </w14:solidFill>
          </w14:textFill>
        </w:rPr>
        <w:t>的效果</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，评审报告成果利用率达到100%，达到了节约财政预算资金的目的</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2.可持续影响-财政项目评审机制健全性（10分）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该项目的实施有助于节约财政资金，保障雁江区财政投资项目的正常进行</w:t>
      </w:r>
      <w:r>
        <w:rPr>
          <w:rFonts w:hint="default" w:ascii="宋体" w:hAnsi="宋体" w:eastAsia="方正仿宋简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不断完善财政项目评审机制建设，财政项目评审机制健全，具备可持续影响。</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s="Times New Roman"/>
          <w:b/>
          <w:sz w:val="33"/>
          <w:szCs w:val="33"/>
          <w:lang w:val="en-US" w:eastAsia="zh-CN"/>
        </w:rPr>
      </w:pPr>
      <w:r>
        <w:rPr>
          <w:rFonts w:hint="eastAsia" w:ascii="宋体" w:hAnsi="宋体" w:eastAsia="方正仿宋简体" w:cs="Times New Roman"/>
          <w:b/>
          <w:sz w:val="33"/>
          <w:szCs w:val="33"/>
          <w:lang w:val="en-US" w:eastAsia="zh-CN"/>
        </w:rPr>
        <w:t>3.社会公众或服务对象满意度-评审单位对评审报告满意度(10分)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根据满意度指标设置的评价标准，满意度目标值为≥90%，通过对评审单位相关人员的访谈以及调查，得出满意度为91.2%，高于目标值90%。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五、主要经验及做法、存在的问题和建议</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（一）主要经验及做法</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在项目管理方面，</w:t>
      </w:r>
      <w:r>
        <w:rPr>
          <w:rFonts w:ascii="宋体" w:hAnsi="宋体" w:eastAsia="方正仿宋简体"/>
          <w:color w:val="000000" w:themeColor="text1"/>
          <w:sz w:val="33"/>
          <w:szCs w:val="33"/>
          <w:highlight w:val="none"/>
          <w14:textFill>
            <w14:solidFill>
              <w14:schemeClr w14:val="tx1"/>
            </w14:solidFill>
          </w14:textFill>
        </w:rPr>
        <w:t>为</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有效保障财政投资项目评审工作的正常运行，达到节约财政资金的目的，本部门通过委托临聘评审专家和第三方有资质的评审公司开展项目评审工作，有效完成了2022年雁江区项目评审工作。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在项目资金使用方面，为</w:t>
      </w:r>
      <w:r>
        <w:rPr>
          <w:rFonts w:ascii="宋体" w:hAnsi="宋体" w:eastAsia="方正仿宋简体"/>
          <w:color w:val="000000" w:themeColor="text1"/>
          <w:sz w:val="33"/>
          <w:szCs w:val="33"/>
          <w:highlight w:val="none"/>
          <w14:textFill>
            <w14:solidFill>
              <w14:schemeClr w14:val="tx1"/>
            </w14:solidFill>
          </w14:textFill>
        </w:rPr>
        <w:t>合理、有效、规范使用</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w:t>
      </w:r>
      <w:r>
        <w:rPr>
          <w:rFonts w:ascii="宋体" w:hAnsi="宋体" w:eastAsia="方正仿宋简体"/>
          <w:color w:val="000000" w:themeColor="text1"/>
          <w:sz w:val="33"/>
          <w:szCs w:val="33"/>
          <w:highlight w:val="none"/>
          <w14:textFill>
            <w14:solidFill>
              <w14:schemeClr w14:val="tx1"/>
            </w14:solidFill>
          </w14:textFill>
        </w:rPr>
        <w:t>资金，本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部门选择</w:t>
      </w:r>
      <w:r>
        <w:rPr>
          <w:rFonts w:ascii="宋体" w:hAnsi="宋体" w:eastAsia="方正仿宋简体"/>
          <w:color w:val="000000" w:themeColor="text1"/>
          <w:sz w:val="33"/>
          <w:szCs w:val="33"/>
          <w:highlight w:val="none"/>
          <w14:textFill>
            <w14:solidFill>
              <w14:schemeClr w14:val="tx1"/>
            </w14:solidFill>
          </w14:textFill>
        </w:rPr>
        <w:t>专人负责，严格按照相关会计制度进行会计核算和财务处理，做到财务处理及时、会计核算规范。严把审批关，杜绝了弄虚作假、截留、挤占、挪用专项资金的情况发生。</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sz w:val="33"/>
          <w:szCs w:val="33"/>
          <w:lang w:val="en-US" w:eastAsia="zh-CN"/>
        </w:rPr>
      </w:pPr>
      <w:r>
        <w:rPr>
          <w:rFonts w:hint="eastAsia" w:ascii="宋体" w:hAnsi="宋体" w:eastAsia="方正楷体简体" w:cs="Times New Roman"/>
          <w:b/>
          <w:sz w:val="33"/>
          <w:szCs w:val="33"/>
          <w:lang w:val="en-US" w:eastAsia="zh-CN"/>
        </w:rPr>
        <w:t>（二）存在的问题</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lang w:val="en-US" w:eastAsia="zh-CN"/>
        </w:rPr>
      </w:pPr>
      <w:r>
        <w:rPr>
          <w:rFonts w:hint="eastAsia" w:ascii="宋体" w:hAnsi="宋体" w:eastAsia="方正仿宋简体" w:cs="Times New Roman"/>
          <w:b/>
          <w:sz w:val="33"/>
          <w:szCs w:val="33"/>
          <w:lang w:val="en-US" w:eastAsia="zh-CN"/>
        </w:rPr>
        <w:t>未制定相应的监控机制，监控有效性不足。</w:t>
      </w:r>
      <w:r>
        <w:rPr>
          <w:rFonts w:ascii="宋体" w:hAnsi="宋体" w:eastAsia="方正仿宋简体"/>
          <w:color w:val="000000" w:themeColor="text1"/>
          <w:sz w:val="33"/>
          <w:szCs w:val="33"/>
          <w:highlight w:val="none"/>
          <w14:textFill>
            <w14:solidFill>
              <w14:schemeClr w14:val="tx1"/>
            </w14:solidFill>
          </w14:textFill>
        </w:rPr>
        <w:t>绩效目标和指标往往根据项目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ascii="宋体" w:hAnsi="宋体" w:eastAsia="方正仿宋简体"/>
          <w:color w:val="000000" w:themeColor="text1"/>
          <w:sz w:val="33"/>
          <w:szCs w:val="33"/>
          <w:highlight w:val="none"/>
          <w14:textFill>
            <w14:solidFill>
              <w14:schemeClr w14:val="tx1"/>
            </w14:solidFill>
          </w14:textFill>
        </w:rPr>
        <w:t>情况制定，对项目执行过程有效约束不够，存在一定的偏差</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只注重项目完成结果，</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该项目在实施过程中未制定相应的监控机制，</w:t>
      </w:r>
      <w:r>
        <w:rPr>
          <w:rFonts w:hint="eastAsia" w:ascii="宋体" w:hAnsi="宋体" w:eastAsia="方正仿宋简体"/>
          <w:color w:val="000000" w:themeColor="text1"/>
          <w:sz w:val="33"/>
          <w:szCs w:val="33"/>
          <w:highlight w:val="none"/>
          <w14:textFill>
            <w14:solidFill>
              <w14:schemeClr w14:val="tx1"/>
            </w14:solidFill>
          </w14:textFill>
        </w:rPr>
        <w:t>对执行过程没有根据项目进度随时考评</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监控有效性不足</w:t>
      </w:r>
      <w:r>
        <w:rPr>
          <w:rFonts w:hint="eastAsia"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sz w:val="33"/>
          <w:szCs w:val="33"/>
          <w:lang w:val="en-US" w:eastAsia="zh-CN"/>
        </w:rPr>
      </w:pPr>
      <w:r>
        <w:rPr>
          <w:rFonts w:hint="eastAsia" w:ascii="宋体" w:hAnsi="宋体" w:eastAsia="方正楷体简体" w:cs="Times New Roman"/>
          <w:b/>
          <w:sz w:val="33"/>
          <w:szCs w:val="33"/>
          <w:lang w:val="en-US" w:eastAsia="zh-CN"/>
        </w:rPr>
        <w:t>（三）建议和改进措施</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color w:val="000000" w:themeColor="text1"/>
          <w:kern w:val="2"/>
          <w:sz w:val="33"/>
          <w:szCs w:val="33"/>
          <w:highlight w:val="none"/>
          <w14:textFill>
            <w14:solidFill>
              <w14:schemeClr w14:val="tx1"/>
            </w14:solidFill>
          </w14:textFill>
        </w:rPr>
      </w:pPr>
      <w:r>
        <w:rPr>
          <w:rFonts w:hint="eastAsia" w:ascii="宋体" w:hAnsi="宋体" w:eastAsia="方正仿宋简体" w:cs="Times New Roman"/>
          <w:b/>
          <w:sz w:val="33"/>
          <w:szCs w:val="33"/>
          <w:lang w:val="en-US" w:eastAsia="zh-CN"/>
        </w:rPr>
        <w:t>完善监控机制，加强项目的监督管理。</w:t>
      </w:r>
      <w:r>
        <w:rPr>
          <w:rFonts w:hint="eastAsia" w:eastAsia="方正仿宋简体" w:cs="Times New Roman"/>
          <w:color w:val="000000" w:themeColor="text1"/>
          <w:kern w:val="2"/>
          <w:sz w:val="33"/>
          <w:szCs w:val="33"/>
          <w:highlight w:val="none"/>
          <w:lang w:val="en-US" w:eastAsia="zh-CN"/>
          <w14:textFill>
            <w14:solidFill>
              <w14:schemeClr w14:val="tx1"/>
            </w14:solidFill>
          </w14:textFill>
        </w:rPr>
        <w:t>建议完善监控机制，加强项目监督管理，</w:t>
      </w:r>
      <w:r>
        <w:rPr>
          <w:rFonts w:hint="eastAsia" w:ascii="宋体" w:hAnsi="宋体" w:eastAsia="方正仿宋简体" w:cs="Times New Roman"/>
          <w:color w:val="000000" w:themeColor="text1"/>
          <w:kern w:val="2"/>
          <w:sz w:val="33"/>
          <w:szCs w:val="33"/>
          <w:highlight w:val="none"/>
          <w14:textFill>
            <w14:solidFill>
              <w14:schemeClr w14:val="tx1"/>
            </w14:solidFill>
          </w14:textFill>
        </w:rPr>
        <w:t>通过绩效监控工作，掌握项目绩效目标的完成情况、项目实施进程和资金支出进度，当项目执行绩效与绩效目标发生偏离时，并采取措施予以纠正，确保实现绩效目标及项目效益。</w:t>
      </w:r>
      <w:r>
        <w:rPr>
          <w:rFonts w:hint="eastAsia" w:eastAsia="方正仿宋简体" w:cs="Times New Roman"/>
          <w:color w:val="000000" w:themeColor="text1"/>
          <w:kern w:val="2"/>
          <w:sz w:val="33"/>
          <w:szCs w:val="33"/>
          <w:highlight w:val="none"/>
          <w:lang w:val="en-US" w:eastAsia="zh-CN"/>
          <w14:textFill>
            <w14:solidFill>
              <w14:schemeClr w14:val="tx1"/>
            </w14:solidFill>
          </w14:textFill>
        </w:rPr>
        <w:t>此外，</w:t>
      </w:r>
      <w:r>
        <w:rPr>
          <w:rFonts w:ascii="宋体" w:hAnsi="宋体" w:eastAsia="方正仿宋简体" w:cs="Times New Roman"/>
          <w:color w:val="000000" w:themeColor="text1"/>
          <w:kern w:val="2"/>
          <w:sz w:val="33"/>
          <w:szCs w:val="33"/>
          <w:highlight w:val="none"/>
          <w14:textFill>
            <w14:solidFill>
              <w14:schemeClr w14:val="tx1"/>
            </w14:solidFill>
          </w14:textFill>
        </w:rPr>
        <w:t>规范绩效评价管理资料的收集整理，确保相关信息完整、可靠，客观公正地反映项目资金实际使用和产生的绩效状况，为今后该项目实施方向及管理方式的改进提供指导。</w:t>
      </w:r>
    </w:p>
    <w:p>
      <w:pPr>
        <w:pStyle w:val="2"/>
        <w:rPr>
          <w:rFonts w:hint="eastAsia"/>
          <w:lang w:val="en-US" w:eastAsia="zh-CN"/>
        </w:rPr>
        <w:sectPr>
          <w:pgSz w:w="11906" w:h="16838"/>
          <w:pgMar w:top="1440" w:right="1800" w:bottom="1440" w:left="1800" w:header="851" w:footer="992" w:gutter="0"/>
          <w:pgNumType w:fmt="decimal"/>
          <w:cols w:space="0" w:num="1"/>
          <w:titlePg/>
          <w:rtlGutter w:val="0"/>
          <w:docGrid w:type="lines" w:linePitch="312" w:charSpace="0"/>
        </w:sectPr>
      </w:pPr>
    </w:p>
    <w:p>
      <w:pPr>
        <w:spacing w:line="600" w:lineRule="exact"/>
        <w:jc w:val="center"/>
        <w:rPr>
          <w:rFonts w:hint="eastAsia" w:ascii="宋体" w:hAnsi="宋体" w:eastAsia="方正小标宋简体"/>
          <w:color w:val="000000"/>
          <w:spacing w:val="-12"/>
          <w:kern w:val="0"/>
          <w:sz w:val="40"/>
          <w:szCs w:val="40"/>
          <w:lang w:eastAsia="zh-CN"/>
        </w:rPr>
      </w:pPr>
      <w:r>
        <w:rPr>
          <w:rFonts w:hint="eastAsia" w:ascii="宋体" w:hAnsi="宋体" w:eastAsia="方正小标宋简体"/>
          <w:color w:val="000000"/>
          <w:spacing w:val="-12"/>
          <w:kern w:val="0"/>
          <w:sz w:val="40"/>
          <w:szCs w:val="40"/>
        </w:rPr>
        <w:t>资阳市雁江区</w:t>
      </w:r>
      <w:r>
        <w:rPr>
          <w:rFonts w:hint="eastAsia" w:ascii="宋体" w:hAnsi="宋体" w:eastAsia="方正小标宋简体"/>
          <w:color w:val="000000"/>
          <w:spacing w:val="-12"/>
          <w:kern w:val="0"/>
          <w:sz w:val="40"/>
          <w:szCs w:val="40"/>
          <w:lang w:eastAsia="zh-CN"/>
        </w:rPr>
        <w:t>财政局</w:t>
      </w:r>
    </w:p>
    <w:p>
      <w:pPr>
        <w:spacing w:line="600" w:lineRule="exact"/>
        <w:jc w:val="center"/>
        <w:rPr>
          <w:rFonts w:hint="eastAsia" w:ascii="宋体" w:hAnsi="宋体" w:eastAsia="方正小标宋简体" w:cs="Times New Roman"/>
          <w:color w:val="000000"/>
          <w:spacing w:val="-12"/>
          <w:kern w:val="0"/>
          <w:sz w:val="40"/>
          <w:szCs w:val="40"/>
        </w:rPr>
      </w:pPr>
      <w:r>
        <w:rPr>
          <w:rFonts w:hint="eastAsia" w:ascii="宋体" w:hAnsi="宋体" w:eastAsia="方正小标宋简体" w:cs="Times New Roman"/>
          <w:color w:val="000000"/>
          <w:spacing w:val="-12"/>
          <w:kern w:val="0"/>
          <w:sz w:val="40"/>
          <w:szCs w:val="40"/>
        </w:rPr>
        <w:t>202</w:t>
      </w:r>
      <w:r>
        <w:rPr>
          <w:rFonts w:hint="eastAsia" w:ascii="宋体" w:hAnsi="宋体" w:eastAsia="方正小标宋简体" w:cs="Times New Roman"/>
          <w:color w:val="000000"/>
          <w:spacing w:val="-12"/>
          <w:kern w:val="0"/>
          <w:sz w:val="40"/>
          <w:szCs w:val="40"/>
          <w:lang w:val="en-US" w:eastAsia="zh-CN"/>
        </w:rPr>
        <w:t>2</w:t>
      </w:r>
      <w:r>
        <w:rPr>
          <w:rFonts w:hint="eastAsia" w:ascii="宋体" w:hAnsi="宋体" w:eastAsia="方正小标宋简体" w:cs="Times New Roman"/>
          <w:color w:val="000000"/>
          <w:spacing w:val="-12"/>
          <w:kern w:val="0"/>
          <w:sz w:val="40"/>
          <w:szCs w:val="40"/>
        </w:rPr>
        <w:t>年雁江区项目支出绩效自评报告</w:t>
      </w:r>
    </w:p>
    <w:p>
      <w:pPr>
        <w:spacing w:line="600" w:lineRule="exact"/>
        <w:jc w:val="center"/>
        <w:rPr>
          <w:rFonts w:ascii="宋体" w:hAnsi="宋体" w:eastAsia="方正楷体简体" w:cs="Times New Roman"/>
          <w:b/>
          <w:sz w:val="32"/>
          <w:szCs w:val="32"/>
        </w:rPr>
      </w:pPr>
      <w:r>
        <w:rPr>
          <w:rFonts w:hint="eastAsia" w:ascii="宋体" w:hAnsi="宋体" w:eastAsia="方正楷体简体" w:cs="Times New Roman"/>
          <w:b/>
          <w:sz w:val="32"/>
          <w:szCs w:val="32"/>
          <w:lang w:eastAsia="zh-CN"/>
        </w:rPr>
        <w:t>（国资资产评估经费</w:t>
      </w:r>
      <w:r>
        <w:rPr>
          <w:rFonts w:hint="eastAsia" w:ascii="宋体" w:hAnsi="宋体" w:eastAsia="方正楷体简体" w:cs="Times New Roman"/>
          <w:b/>
          <w:sz w:val="32"/>
          <w:szCs w:val="32"/>
        </w:rPr>
        <w:t>）</w:t>
      </w: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一、项目基本情况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（一）概况</w:t>
      </w:r>
    </w:p>
    <w:p>
      <w:pPr>
        <w:pStyle w:val="2"/>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1．立项背景及目的</w:t>
      </w:r>
    </w:p>
    <w:p>
      <w:pPr>
        <w:pStyle w:val="2"/>
        <w:numPr>
          <w:ilvl w:val="0"/>
          <w:numId w:val="0"/>
        </w:numPr>
        <w:spacing w:after="0" w:line="590" w:lineRule="exact"/>
        <w:ind w:firstLine="660" w:firstLineChars="200"/>
        <w:outlineLvl w:val="2"/>
        <w:rPr>
          <w:rFonts w:hint="default" w:ascii="宋体" w:hAnsi="宋体" w:eastAsia="方正仿宋简体" w:cs="方正仿宋_GBK"/>
          <w:b/>
          <w:bCs/>
          <w:kern w:val="2"/>
          <w:sz w:val="32"/>
          <w:szCs w:val="32"/>
          <w:lang w:val="en-US" w:eastAsia="zh-CN"/>
        </w:rPr>
      </w:pPr>
      <w:r>
        <w:rPr>
          <w:rFonts w:hint="eastAsia" w:ascii="宋体" w:hAnsi="宋体" w:eastAsia="方正仿宋简体" w:cs="宋体"/>
          <w:color w:val="000000" w:themeColor="text1"/>
          <w:sz w:val="33"/>
          <w:szCs w:val="33"/>
          <w14:textFill>
            <w14:solidFill>
              <w14:schemeClr w14:val="tx1"/>
            </w14:solidFill>
          </w14:textFill>
        </w:rPr>
        <w:t>随着事业单位资产规模的日益增长</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在较好满足各项事业发展和公共服务职能履行的同时</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某些地方对庞大资产的管理却存在着漏洞</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尤其是随着事业单位改革的深入</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国有资产流失较为严重</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加强事业单位资产管理</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加强对其评估是防止流失的重要手段。</w:t>
      </w:r>
      <w:r>
        <w:rPr>
          <w:rFonts w:hint="eastAsia" w:ascii="宋体" w:hAnsi="宋体" w:eastAsia="方正仿宋简体" w:cs="宋体"/>
          <w:color w:val="000000" w:themeColor="text1"/>
          <w:sz w:val="33"/>
          <w:szCs w:val="33"/>
          <w:lang w:eastAsia="zh-CN"/>
          <w14:textFill>
            <w14:solidFill>
              <w14:schemeClr w14:val="tx1"/>
            </w14:solidFill>
          </w14:textFill>
        </w:rPr>
        <w:t>受区委区政府委托，</w:t>
      </w:r>
      <w:r>
        <w:rPr>
          <w:rFonts w:hint="eastAsia" w:ascii="宋体" w:hAnsi="宋体" w:eastAsia="方正仿宋简体" w:cs="宋体"/>
          <w:color w:val="000000" w:themeColor="text1"/>
          <w:sz w:val="33"/>
          <w:szCs w:val="33"/>
          <w:lang w:val="en-US" w:eastAsia="zh-CN"/>
          <w14:textFill>
            <w14:solidFill>
              <w14:schemeClr w14:val="tx1"/>
            </w14:solidFill>
          </w14:textFill>
        </w:rPr>
        <w:t>雁江区财政局2022</w:t>
      </w:r>
      <w:r>
        <w:rPr>
          <w:rFonts w:hint="eastAsia" w:ascii="宋体" w:hAnsi="宋体" w:eastAsia="方正仿宋简体" w:cs="宋体"/>
          <w:color w:val="000000" w:themeColor="text1"/>
          <w:sz w:val="33"/>
          <w:szCs w:val="33"/>
          <w:lang w:eastAsia="zh-CN"/>
          <w14:textFill>
            <w14:solidFill>
              <w14:schemeClr w14:val="tx1"/>
            </w14:solidFill>
          </w14:textFill>
        </w:rPr>
        <w:t>年度</w:t>
      </w:r>
      <w:r>
        <w:rPr>
          <w:rFonts w:hint="eastAsia" w:ascii="宋体" w:hAnsi="宋体" w:eastAsia="方正仿宋简体" w:cs="宋体"/>
          <w:color w:val="000000" w:themeColor="text1"/>
          <w:sz w:val="33"/>
          <w:szCs w:val="33"/>
          <w:lang w:val="en-US" w:eastAsia="zh-CN"/>
          <w14:textFill>
            <w14:solidFill>
              <w14:schemeClr w14:val="tx1"/>
            </w14:solidFill>
          </w14:textFill>
        </w:rPr>
        <w:t>内需要对公房、政府门面、地下车库（共计80000平方米）进行拍卖。此项评估是为资阳市雁江区人民政府拟划拨评估对象资产提供价格参考依据。根据</w:t>
      </w:r>
      <w:r>
        <w:rPr>
          <w:rFonts w:hint="eastAsia" w:ascii="宋体" w:hAnsi="宋体" w:eastAsia="方正仿宋简体" w:cs="宋体"/>
          <w:color w:val="000000" w:themeColor="text1"/>
          <w:sz w:val="33"/>
          <w:szCs w:val="33"/>
          <w14:textFill>
            <w14:solidFill>
              <w14:schemeClr w14:val="tx1"/>
            </w14:solidFill>
          </w14:textFill>
        </w:rPr>
        <w:t>财政部出台的《事业单位国有资产管理暂行办法》</w:t>
      </w:r>
      <w:r>
        <w:rPr>
          <w:rFonts w:hint="eastAsia" w:ascii="宋体" w:hAnsi="宋体" w:eastAsia="方正仿宋简体" w:cs="宋体"/>
          <w:color w:val="000000" w:themeColor="text1"/>
          <w:sz w:val="33"/>
          <w:szCs w:val="33"/>
          <w:lang w:val="en-US" w:eastAsia="zh-CN"/>
          <w14:textFill>
            <w14:solidFill>
              <w14:schemeClr w14:val="tx1"/>
            </w14:solidFill>
          </w14:textFill>
        </w:rPr>
        <w:t>等相关法律法规，雁江区财政局设立</w:t>
      </w:r>
      <w:r>
        <w:rPr>
          <w:rFonts w:hint="eastAsia" w:ascii="宋体" w:hAnsi="宋体" w:eastAsia="方正仿宋简体" w:cs="宋体"/>
          <w:color w:val="000000" w:themeColor="text1"/>
          <w:sz w:val="33"/>
          <w:szCs w:val="33"/>
          <w:lang w:eastAsia="zh-CN"/>
          <w14:textFill>
            <w14:solidFill>
              <w14:schemeClr w14:val="tx1"/>
            </w14:solidFill>
          </w14:textFill>
        </w:rPr>
        <w:t>国资资产评</w:t>
      </w:r>
      <w:r>
        <w:rPr>
          <w:rFonts w:hint="eastAsia" w:ascii="宋体" w:hAnsi="宋体" w:eastAsia="方正仿宋简体" w:cs="宋体"/>
          <w:color w:val="000000" w:themeColor="text1"/>
          <w:sz w:val="33"/>
          <w:szCs w:val="33"/>
          <w:lang w:val="en-US" w:eastAsia="zh-CN"/>
          <w14:textFill>
            <w14:solidFill>
              <w14:schemeClr w14:val="tx1"/>
            </w14:solidFill>
          </w14:textFill>
        </w:rPr>
        <w:t>估经费项目</w:t>
      </w:r>
      <w:r>
        <w:rPr>
          <w:rFonts w:hint="eastAsia" w:ascii="宋体" w:hAnsi="宋体" w:eastAsia="方正楷体简体" w:cs="宋体"/>
          <w:b/>
          <w:color w:val="000000" w:themeColor="text1"/>
          <w:sz w:val="33"/>
          <w:szCs w:val="33"/>
          <w:lang w:val="en-US" w:eastAsia="zh-CN"/>
          <w14:textFill>
            <w14:solidFill>
              <w14:schemeClr w14:val="tx1"/>
            </w14:solidFill>
          </w14:textFill>
        </w:rPr>
        <w:t>。</w:t>
      </w:r>
    </w:p>
    <w:p>
      <w:pPr>
        <w:pStyle w:val="2"/>
        <w:numPr>
          <w:ilvl w:val="0"/>
          <w:numId w:val="11"/>
        </w:numPr>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预算资金来源及使用情况</w:t>
      </w:r>
    </w:p>
    <w:p>
      <w:pPr>
        <w:spacing w:line="600" w:lineRule="exact"/>
        <w:ind w:firstLine="641"/>
        <w:jc w:val="left"/>
        <w:rPr>
          <w:rFonts w:ascii="宋体" w:hAnsi="宋体" w:eastAsia="方正仿宋简体" w:cs="宋体"/>
          <w:color w:val="auto"/>
          <w:sz w:val="33"/>
          <w:szCs w:val="33"/>
        </w:rPr>
      </w:pPr>
      <w:r>
        <w:rPr>
          <w:rFonts w:hint="eastAsia" w:ascii="宋体" w:hAnsi="宋体" w:eastAsia="方正仿宋简体" w:cs="宋体"/>
          <w:color w:val="auto"/>
          <w:sz w:val="33"/>
          <w:szCs w:val="33"/>
          <w:lang w:val="en-US" w:eastAsia="zh-CN"/>
        </w:rPr>
        <w:t>2022年，</w:t>
      </w:r>
      <w:r>
        <w:rPr>
          <w:rFonts w:hint="eastAsia" w:ascii="宋体" w:hAnsi="宋体" w:eastAsia="方正仿宋简体" w:cs="宋体"/>
          <w:color w:val="auto"/>
          <w:sz w:val="33"/>
          <w:szCs w:val="33"/>
        </w:rPr>
        <w:t>本项目</w:t>
      </w:r>
      <w:r>
        <w:rPr>
          <w:rFonts w:hint="eastAsia" w:ascii="宋体" w:hAnsi="宋体" w:eastAsia="方正仿宋简体" w:cs="宋体"/>
          <w:color w:val="auto"/>
          <w:sz w:val="33"/>
          <w:szCs w:val="33"/>
          <w:lang w:val="en-US" w:eastAsia="zh-CN"/>
        </w:rPr>
        <w:t>年初</w:t>
      </w:r>
      <w:r>
        <w:rPr>
          <w:rFonts w:hint="eastAsia" w:ascii="宋体" w:hAnsi="宋体" w:eastAsia="方正仿宋简体" w:cs="宋体"/>
          <w:color w:val="auto"/>
          <w:sz w:val="33"/>
          <w:szCs w:val="33"/>
        </w:rPr>
        <w:t>预算</w:t>
      </w:r>
      <w:r>
        <w:rPr>
          <w:rFonts w:hint="eastAsia" w:ascii="宋体" w:hAnsi="宋体" w:eastAsia="方正仿宋简体" w:cs="宋体"/>
          <w:color w:val="auto"/>
          <w:sz w:val="33"/>
          <w:szCs w:val="33"/>
          <w:lang w:val="en-US" w:eastAsia="zh-CN"/>
        </w:rPr>
        <w:t>数为90</w:t>
      </w:r>
      <w:r>
        <w:rPr>
          <w:rFonts w:hint="eastAsia" w:ascii="宋体" w:hAnsi="宋体" w:eastAsia="方正仿宋简体" w:cs="宋体"/>
          <w:color w:val="auto"/>
          <w:sz w:val="33"/>
          <w:szCs w:val="33"/>
        </w:rPr>
        <w:t>万元，</w:t>
      </w:r>
      <w:r>
        <w:rPr>
          <w:rFonts w:hint="eastAsia" w:ascii="宋体" w:hAnsi="宋体" w:eastAsia="方正仿宋简体" w:cs="宋体"/>
          <w:color w:val="auto"/>
          <w:sz w:val="33"/>
          <w:szCs w:val="33"/>
          <w:lang w:eastAsia="zh-CN"/>
        </w:rPr>
        <w:t>调整预算数为</w:t>
      </w:r>
      <w:r>
        <w:rPr>
          <w:rFonts w:hint="eastAsia" w:ascii="宋体" w:hAnsi="宋体" w:eastAsia="方正仿宋简体" w:cs="宋体"/>
          <w:color w:val="auto"/>
          <w:sz w:val="33"/>
          <w:szCs w:val="33"/>
          <w:lang w:val="en-US" w:eastAsia="zh-CN"/>
        </w:rPr>
        <w:t>67.76万，截至2022年12月31日，本项目预算执行数为67.76万，预算执行率为100%，</w:t>
      </w:r>
      <w:r>
        <w:rPr>
          <w:rFonts w:hint="eastAsia" w:ascii="宋体" w:hAnsi="宋体" w:eastAsia="方正仿宋简体" w:cs="宋体"/>
          <w:color w:val="auto"/>
          <w:sz w:val="33"/>
          <w:szCs w:val="33"/>
        </w:rPr>
        <w:t>全部为一般公共预算拨款。</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实施情况（项目完成情况）</w:t>
      </w:r>
    </w:p>
    <w:p>
      <w:pPr>
        <w:spacing w:line="600" w:lineRule="exact"/>
        <w:ind w:firstLine="660" w:firstLineChars="200"/>
        <w:rPr>
          <w:rFonts w:hint="default" w:ascii="Times New Roman" w:hAnsi="Times New Roman" w:eastAsia="方正仿宋简体" w:cs="Times New Roman"/>
          <w:color w:val="auto"/>
          <w:sz w:val="33"/>
          <w:szCs w:val="33"/>
          <w:lang w:val="en-US" w:eastAsia="zh-CN"/>
        </w:rPr>
      </w:pPr>
      <w:r>
        <w:rPr>
          <w:rFonts w:hint="eastAsia" w:ascii="宋体" w:hAnsi="宋体" w:eastAsia="方正仿宋简体" w:cs="宋体"/>
          <w:color w:val="auto"/>
          <w:sz w:val="33"/>
          <w:szCs w:val="33"/>
        </w:rPr>
        <w:t>根据年度预算安排及实际工作需要，本项目的</w:t>
      </w:r>
      <w:r>
        <w:rPr>
          <w:rFonts w:hint="eastAsia" w:ascii="宋体" w:hAnsi="宋体" w:eastAsia="方正仿宋简体" w:cs="宋体"/>
          <w:color w:val="auto"/>
          <w:sz w:val="33"/>
          <w:szCs w:val="33"/>
          <w:lang w:val="en-US" w:eastAsia="zh-CN"/>
        </w:rPr>
        <w:t>实施</w:t>
      </w:r>
      <w:r>
        <w:rPr>
          <w:rFonts w:hint="eastAsia" w:ascii="宋体" w:hAnsi="宋体" w:eastAsia="方正仿宋简体" w:cs="宋体"/>
          <w:color w:val="auto"/>
          <w:sz w:val="33"/>
          <w:szCs w:val="33"/>
        </w:rPr>
        <w:t>情况如下：</w:t>
      </w:r>
      <w:r>
        <w:rPr>
          <w:rFonts w:hint="eastAsia" w:ascii="宋体" w:hAnsi="宋体" w:eastAsia="方正仿宋简体" w:cs="宋体"/>
          <w:color w:val="auto"/>
          <w:sz w:val="33"/>
          <w:szCs w:val="33"/>
          <w:lang w:val="en-US" w:eastAsia="zh-CN"/>
        </w:rPr>
        <w:t>区委区政府为资产评估委托人，雁江区财政局为被委托人，四川正阳资产评估事务所有限公司为资产评估中介机构（以下简称正阳资产评估）。评估对象为资阳市雁江区财政局委托评估的拟划拨的资阳市雁江区松涛镇初级中学所持有的位于资阳市雁江区侯家坪街2号的教学楼和土地使用权等资产的市场价值，评估范围为资阳市雁江区松涛镇初级中学所持有的位于资阳市雁江区侯家坪街2号的教学楼和土地使用权等资产，其中：房屋建筑物共4 栋，</w:t>
      </w:r>
      <w:r>
        <w:rPr>
          <w:rFonts w:hint="default" w:ascii="Times New Roman" w:hAnsi="Times New Roman" w:eastAsia="方正仿宋简体" w:cs="Times New Roman"/>
          <w:color w:val="auto"/>
          <w:sz w:val="33"/>
          <w:szCs w:val="33"/>
          <w:lang w:val="en-US" w:eastAsia="zh-CN"/>
        </w:rPr>
        <w:t>委托评估房屋建筑面积合计2,462.84m</w:t>
      </w:r>
      <w:r>
        <w:rPr>
          <w:rFonts w:hint="eastAsia" w:ascii="Times New Roman" w:hAnsi="Times New Roman" w:eastAsia="方正仿宋简体" w:cs="Times New Roman"/>
          <w:color w:val="auto"/>
          <w:sz w:val="33"/>
          <w:szCs w:val="33"/>
          <w:lang w:val="en-US" w:eastAsia="zh-CN"/>
        </w:rPr>
        <w:t>；</w:t>
      </w:r>
      <w:r>
        <w:rPr>
          <w:rFonts w:hint="default" w:ascii="Times New Roman" w:hAnsi="Times New Roman" w:eastAsia="方正仿宋简体" w:cs="Times New Roman"/>
          <w:color w:val="auto"/>
          <w:sz w:val="33"/>
          <w:szCs w:val="33"/>
          <w:lang w:val="en-US" w:eastAsia="zh-CN"/>
        </w:rPr>
        <w:t>土地使用权共1宗，委托评估土地使用权面积4,000.00m。2022年度项目总体实施情况良好</w:t>
      </w:r>
      <w:r>
        <w:rPr>
          <w:rFonts w:hint="default" w:ascii="Times New Roman" w:hAnsi="Times New Roman" w:eastAsia="方正仿宋简体" w:cs="Times New Roman"/>
          <w:color w:val="auto"/>
          <w:sz w:val="33"/>
          <w:szCs w:val="33"/>
        </w:rPr>
        <w:t>。</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组织及管理（项目组织、管理流程及实际执行情况）</w:t>
      </w:r>
    </w:p>
    <w:p>
      <w:pPr>
        <w:spacing w:line="600" w:lineRule="exact"/>
        <w:ind w:firstLine="641"/>
        <w:jc w:val="left"/>
        <w:rPr>
          <w:rFonts w:hint="eastAsia" w:ascii="宋体" w:hAnsi="宋体" w:eastAsia="方正仿宋简体" w:cs="宋体"/>
          <w:color w:val="auto"/>
          <w:sz w:val="33"/>
          <w:szCs w:val="33"/>
        </w:rPr>
      </w:pPr>
      <w:r>
        <w:rPr>
          <w:rFonts w:hint="eastAsia" w:ascii="宋体" w:hAnsi="宋体" w:eastAsia="方正仿宋简体" w:cs="宋体"/>
          <w:color w:val="auto"/>
          <w:sz w:val="33"/>
          <w:szCs w:val="33"/>
        </w:rPr>
        <w:t>本项目按年初预算资金安排，根据工作实际，按照政府采购有关规定，履行采购程序，签订采购合同，按照合同约定进行资金拨付。</w:t>
      </w:r>
      <w:r>
        <w:rPr>
          <w:rFonts w:hint="eastAsia" w:ascii="宋体" w:hAnsi="宋体" w:eastAsia="方正仿宋简体" w:cs="宋体"/>
          <w:color w:val="auto"/>
          <w:sz w:val="33"/>
          <w:szCs w:val="33"/>
          <w:lang w:val="en-US" w:eastAsia="zh-CN"/>
        </w:rPr>
        <w:t>2022年度，</w:t>
      </w:r>
      <w:r>
        <w:rPr>
          <w:rFonts w:hint="eastAsia" w:ascii="宋体" w:hAnsi="宋体" w:eastAsia="方正仿宋简体" w:cs="宋体"/>
          <w:color w:val="auto"/>
          <w:sz w:val="33"/>
          <w:szCs w:val="33"/>
        </w:rPr>
        <w:t>本项目资金实际支出</w:t>
      </w:r>
      <w:r>
        <w:rPr>
          <w:rFonts w:hint="eastAsia" w:ascii="宋体" w:hAnsi="宋体" w:eastAsia="方正仿宋简体" w:cs="宋体"/>
          <w:color w:val="auto"/>
          <w:sz w:val="33"/>
          <w:szCs w:val="33"/>
          <w:lang w:val="en-US" w:eastAsia="zh-CN"/>
        </w:rPr>
        <w:t>67.76</w:t>
      </w:r>
      <w:r>
        <w:rPr>
          <w:rFonts w:hint="eastAsia" w:ascii="宋体" w:hAnsi="宋体" w:eastAsia="方正仿宋简体" w:cs="宋体"/>
          <w:color w:val="auto"/>
          <w:sz w:val="33"/>
          <w:szCs w:val="33"/>
        </w:rPr>
        <w:t>万元。</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（1）项目组织情况，资产管理股为项目主要负责股室，负责牵头实施本项目；</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（2）项目管理情况，项目管理主体为资产管理股，负责监督、考核并组织验收工作；项目实施主体为委托的第三方公司，负责具体实施工作，包括完成转让公房、门面、地下车库等需转让资产的评估。</w:t>
      </w:r>
    </w:p>
    <w:p>
      <w:pPr>
        <w:pStyle w:val="7"/>
        <w:rPr>
          <w:rFonts w:hint="eastAsia"/>
          <w:color w:val="auto"/>
          <w:lang w:val="en-US" w:eastAsia="zh-CN"/>
        </w:rPr>
      </w:pPr>
      <w:r>
        <w:rPr>
          <w:rFonts w:hint="eastAsia" w:ascii="宋体" w:hAnsi="宋体" w:eastAsia="方正仿宋简体" w:cs="宋体"/>
          <w:color w:val="auto"/>
          <w:kern w:val="2"/>
          <w:sz w:val="33"/>
          <w:szCs w:val="33"/>
          <w:lang w:val="en-US" w:eastAsia="zh-CN" w:bidi="ar-SA"/>
        </w:rPr>
        <w:t>（3）项目执行情况，资产管理股按照政府采购程序或单位内控管理制度，确定项目实施主体并签订相关合同；实施主体按照合同约定，完成履约；资产管理股根据合同对项目开展相关监督检查工作等。</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（二）绩效目标</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绩效总体目标：</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完成</w:t>
      </w:r>
      <w:r>
        <w:rPr>
          <w:rFonts w:hint="eastAsia" w:ascii="宋体" w:hAnsi="宋体" w:eastAsia="方正仿宋简体" w:cs="宋体"/>
          <w:color w:val="000000" w:themeColor="text1"/>
          <w:sz w:val="33"/>
          <w:szCs w:val="33"/>
          <w:highlight w:val="none"/>
          <w14:textFill>
            <w14:solidFill>
              <w14:schemeClr w14:val="tx1"/>
            </w14:solidFill>
          </w14:textFill>
        </w:rPr>
        <w:t>区委区政府委托</w:t>
      </w:r>
      <w:r>
        <w:rPr>
          <w:rFonts w:hint="eastAsia" w:ascii="宋体" w:hAnsi="宋体" w:eastAsia="方正仿宋简体" w:cs="宋体"/>
          <w:color w:val="000000" w:themeColor="text1"/>
          <w:sz w:val="33"/>
          <w:szCs w:val="33"/>
          <w:highlight w:val="none"/>
          <w:lang w:eastAsia="zh-CN"/>
          <w14:textFill>
            <w14:solidFill>
              <w14:schemeClr w14:val="tx1"/>
            </w14:solidFill>
          </w14:textFill>
        </w:rPr>
        <w:t>，对拍卖、转让的公房、政府门面、地下车库（共计80000平方米）合计价值1.33亿元，邀请第三方机构进行评估，</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为</w:t>
      </w:r>
      <w:r>
        <w:rPr>
          <w:rFonts w:hint="eastAsia" w:ascii="宋体" w:hAnsi="宋体" w:eastAsia="方正仿宋简体" w:cs="宋体"/>
          <w:color w:val="000000" w:themeColor="text1"/>
          <w:sz w:val="33"/>
          <w:szCs w:val="33"/>
          <w:lang w:val="en-US" w:eastAsia="zh-CN"/>
          <w14:textFill>
            <w14:solidFill>
              <w14:schemeClr w14:val="tx1"/>
            </w14:solidFill>
          </w14:textFill>
        </w:rPr>
        <w:t>资阳市雁江区人民政府拟划拨评估对象资产提供价格参考依据。</w:t>
      </w:r>
    </w:p>
    <w:p>
      <w:pPr>
        <w:spacing w:line="600" w:lineRule="exact"/>
        <w:ind w:firstLine="627"/>
        <w:rPr>
          <w:rFonts w:hint="eastAsia" w:ascii="宋体" w:hAnsi="宋体" w:eastAsia="方正仿宋简体" w:cs="宋体"/>
          <w:color w:val="000000" w:themeColor="text1"/>
          <w:sz w:val="33"/>
          <w:szCs w:val="33"/>
          <w:highlight w:val="none"/>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具体绩效目标：</w:t>
      </w:r>
    </w:p>
    <w:p>
      <w:pPr>
        <w:keepNext w:val="0"/>
        <w:keepLines w:val="0"/>
        <w:pageBreakBefore w:val="0"/>
        <w:widowControl w:val="0"/>
        <w:kinsoku/>
        <w:wordWrap/>
        <w:overflowPunct/>
        <w:topLinePunct w:val="0"/>
        <w:autoSpaceDE/>
        <w:autoSpaceDN/>
        <w:bidi w:val="0"/>
        <w:adjustRightInd/>
        <w:snapToGrid/>
        <w:spacing w:line="600" w:lineRule="atLeast"/>
        <w:ind w:firstLine="660" w:firstLineChars="200"/>
        <w:jc w:val="left"/>
        <w:textAlignment w:val="auto"/>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1.在规定时间内</w:t>
      </w:r>
      <w:r>
        <w:rPr>
          <w:rFonts w:hint="eastAsia" w:ascii="宋体" w:hAnsi="宋体" w:eastAsia="方正仿宋简体" w:cs="宋体"/>
          <w:color w:val="000000" w:themeColor="text1"/>
          <w:sz w:val="33"/>
          <w:szCs w:val="33"/>
          <w:highlight w:val="none"/>
          <w:lang w:eastAsia="zh-CN"/>
          <w14:textFill>
            <w14:solidFill>
              <w14:schemeClr w14:val="tx1"/>
            </w14:solidFill>
          </w14:textFill>
        </w:rPr>
        <w:t>完成转让公房、门面、地下车库等需转让资产的评估；</w:t>
      </w:r>
    </w:p>
    <w:p>
      <w:pPr>
        <w:keepNext w:val="0"/>
        <w:keepLines w:val="0"/>
        <w:pageBreakBefore w:val="0"/>
        <w:widowControl w:val="0"/>
        <w:kinsoku/>
        <w:wordWrap/>
        <w:overflowPunct/>
        <w:topLinePunct w:val="0"/>
        <w:autoSpaceDE/>
        <w:autoSpaceDN/>
        <w:bidi w:val="0"/>
        <w:adjustRightInd/>
        <w:snapToGrid/>
        <w:spacing w:line="600" w:lineRule="atLeast"/>
        <w:ind w:firstLine="660" w:firstLineChars="200"/>
        <w:jc w:val="left"/>
        <w:textAlignment w:val="auto"/>
        <w:rPr>
          <w:rFonts w:hint="eastAsia" w:ascii="宋体" w:hAnsi="宋体" w:eastAsia="方正仿宋简体" w:cs="宋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2.完成24个资产评估项目；</w:t>
      </w:r>
    </w:p>
    <w:p>
      <w:pPr>
        <w:pStyle w:val="2"/>
        <w:keepNext w:val="0"/>
        <w:keepLines w:val="0"/>
        <w:pageBreakBefore w:val="0"/>
        <w:widowControl w:val="0"/>
        <w:kinsoku/>
        <w:wordWrap/>
        <w:overflowPunct/>
        <w:topLinePunct w:val="0"/>
        <w:autoSpaceDE/>
        <w:autoSpaceDN/>
        <w:bidi w:val="0"/>
        <w:adjustRightInd/>
        <w:snapToGrid/>
        <w:spacing w:line="600" w:lineRule="atLeast"/>
        <w:ind w:firstLine="660" w:firstLineChars="200"/>
        <w:jc w:val="left"/>
        <w:textAlignment w:val="auto"/>
        <w:rPr>
          <w:rFonts w:hint="eastAsia" w:ascii="宋体" w:hAnsi="宋体" w:eastAsia="方正仿宋简体" w:cs="宋体"/>
          <w:color w:val="000000" w:themeColor="text1"/>
          <w:kern w:val="2"/>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2"/>
          <w:sz w:val="33"/>
          <w:szCs w:val="33"/>
          <w:highlight w:val="none"/>
          <w:lang w:val="en-US" w:eastAsia="zh-CN" w:bidi="ar-SA"/>
          <w14:textFill>
            <w14:solidFill>
              <w14:schemeClr w14:val="tx1"/>
            </w14:solidFill>
          </w14:textFill>
        </w:rPr>
        <w:t>3.三方机构资产评估报告达标率≥90%；</w:t>
      </w:r>
    </w:p>
    <w:p>
      <w:pPr>
        <w:keepNext w:val="0"/>
        <w:keepLines w:val="0"/>
        <w:pageBreakBefore w:val="0"/>
        <w:widowControl w:val="0"/>
        <w:kinsoku/>
        <w:wordWrap/>
        <w:overflowPunct/>
        <w:topLinePunct w:val="0"/>
        <w:autoSpaceDE/>
        <w:autoSpaceDN/>
        <w:bidi w:val="0"/>
        <w:adjustRightInd/>
        <w:snapToGrid/>
        <w:spacing w:line="600" w:lineRule="atLeast"/>
        <w:ind w:firstLine="660" w:firstLineChars="200"/>
        <w:jc w:val="left"/>
        <w:textAlignment w:val="auto"/>
        <w:rPr>
          <w:rFonts w:hint="default"/>
          <w:lang w:val="en-US" w:eastAsia="zh-CN"/>
        </w:rPr>
      </w:pPr>
      <w:r>
        <w:rPr>
          <w:rFonts w:hint="eastAsia" w:ascii="宋体" w:hAnsi="宋体" w:eastAsia="方正仿宋简体" w:cs="宋体"/>
          <w:color w:val="000000" w:themeColor="text1"/>
          <w:kern w:val="2"/>
          <w:sz w:val="33"/>
          <w:szCs w:val="33"/>
          <w:highlight w:val="none"/>
          <w:lang w:val="en-US" w:eastAsia="zh-CN" w:bidi="ar-SA"/>
          <w14:textFill>
            <w14:solidFill>
              <w14:schemeClr w14:val="tx1"/>
            </w14:solidFill>
          </w14:textFill>
        </w:rPr>
        <w:t>4.资产评估报告使用单位对评估报告满意度≥90%。</w:t>
      </w: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二、绩效自评工作情况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（一）自评工作组织领导</w:t>
      </w:r>
    </w:p>
    <w:p>
      <w:pPr>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eastAsia="方正仿宋简体"/>
          <w:lang w:val="en-US" w:eastAsia="zh-CN"/>
        </w:rPr>
      </w:pPr>
      <w:r>
        <w:rPr>
          <w:rFonts w:hint="eastAsia" w:ascii="宋体" w:hAnsi="宋体" w:eastAsia="方正仿宋简体"/>
          <w:color w:val="000000" w:themeColor="text1"/>
          <w:sz w:val="33"/>
          <w:szCs w:val="33"/>
          <w:lang w:val="en-US" w:eastAsia="zh-CN"/>
          <w14:textFill>
            <w14:solidFill>
              <w14:schemeClr w14:val="tx1"/>
            </w14:solidFill>
          </w14:textFill>
        </w:rPr>
        <w:t>在组织领导方面，本部门</w:t>
      </w:r>
      <w:r>
        <w:rPr>
          <w:rFonts w:hint="eastAsia" w:ascii="宋体" w:hAnsi="宋体" w:eastAsia="方正仿宋简体"/>
          <w:color w:val="000000" w:themeColor="text1"/>
          <w:sz w:val="33"/>
          <w:szCs w:val="33"/>
          <w14:textFill>
            <w14:solidFill>
              <w14:schemeClr w14:val="tx1"/>
            </w14:solidFill>
          </w14:textFill>
        </w:rPr>
        <w:t>自评工作以</w:t>
      </w:r>
      <w:r>
        <w:rPr>
          <w:rFonts w:hint="eastAsia" w:ascii="宋体" w:hAnsi="宋体" w:eastAsia="方正仿宋简体"/>
          <w:color w:val="000000" w:themeColor="text1"/>
          <w:sz w:val="33"/>
          <w:szCs w:val="33"/>
          <w:lang w:eastAsia="zh-CN"/>
          <w14:textFill>
            <w14:solidFill>
              <w14:schemeClr w14:val="tx1"/>
            </w14:solidFill>
          </w14:textFill>
        </w:rPr>
        <w:t>财政局局长</w:t>
      </w:r>
      <w:r>
        <w:rPr>
          <w:rFonts w:hint="eastAsia" w:ascii="宋体" w:hAnsi="宋体" w:eastAsia="方正仿宋简体"/>
          <w:color w:val="000000" w:themeColor="text1"/>
          <w:sz w:val="33"/>
          <w:szCs w:val="33"/>
          <w14:textFill>
            <w14:solidFill>
              <w14:schemeClr w14:val="tx1"/>
            </w14:solidFill>
          </w14:textFill>
        </w:rPr>
        <w:t>为组长，分管财务领导为副组长，财务部门为成员进行自评工作的开展</w:t>
      </w:r>
      <w:r>
        <w:rPr>
          <w:rFonts w:hint="eastAsia" w:ascii="宋体" w:hAnsi="宋体" w:eastAsia="方正仿宋简体"/>
          <w:color w:val="000000" w:themeColor="text1"/>
          <w:sz w:val="33"/>
          <w:szCs w:val="33"/>
          <w:lang w:eastAsia="zh-CN"/>
          <w14:textFill>
            <w14:solidFill>
              <w14:schemeClr w14:val="tx1"/>
            </w14:solidFill>
          </w14:textFill>
        </w:rPr>
        <w:t>，本着客观、真实、准确的原则</w:t>
      </w:r>
      <w:r>
        <w:rPr>
          <w:rFonts w:hint="eastAsia" w:ascii="宋体" w:hAnsi="宋体" w:eastAsia="方正仿宋简体"/>
          <w:color w:val="000000" w:themeColor="text1"/>
          <w:sz w:val="33"/>
          <w:szCs w:val="33"/>
          <w:lang w:val="en-US" w:eastAsia="zh-CN"/>
          <w14:textFill>
            <w14:solidFill>
              <w14:schemeClr w14:val="tx1"/>
            </w14:solidFill>
          </w14:textFill>
        </w:rPr>
        <w:t>进行国资资产评估经费项目的自评工作</w:t>
      </w:r>
      <w:r>
        <w:rPr>
          <w:rFonts w:hint="eastAsia" w:ascii="宋体" w:hAnsi="宋体" w:eastAsia="方正仿宋简体"/>
          <w:color w:val="000000" w:themeColor="text1"/>
          <w:sz w:val="33"/>
          <w:szCs w:val="33"/>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（二）自评方式、方法、重点等</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1.绩效评价标准及方法</w:t>
      </w:r>
    </w:p>
    <w:p>
      <w:pPr>
        <w:pStyle w:val="2"/>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s="宋体"/>
          <w:color w:val="000000" w:themeColor="text1"/>
          <w:kern w:val="0"/>
          <w:sz w:val="33"/>
          <w:szCs w:val="33"/>
          <w:lang w:val="en-US" w:eastAsia="zh-CN"/>
          <w14:textFill>
            <w14:solidFill>
              <w14:schemeClr w14:val="tx1"/>
            </w14:solidFill>
          </w14:textFill>
        </w:rPr>
      </w:pPr>
      <w:r>
        <w:rPr>
          <w:rFonts w:hint="eastAsia" w:ascii="宋体" w:hAnsi="宋体" w:eastAsia="方正仿宋简体" w:cs="宋体"/>
          <w:color w:val="000000" w:themeColor="text1"/>
          <w:kern w:val="0"/>
          <w:sz w:val="33"/>
          <w:szCs w:val="33"/>
          <w14:textFill>
            <w14:solidFill>
              <w14:schemeClr w14:val="tx1"/>
            </w14:solidFill>
          </w14:textFill>
        </w:rPr>
        <w:t>绩效管理股等业务</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股</w:t>
      </w:r>
      <w:r>
        <w:rPr>
          <w:rFonts w:hint="eastAsia" w:ascii="宋体" w:hAnsi="宋体" w:eastAsia="方正仿宋简体" w:cs="宋体"/>
          <w:color w:val="000000" w:themeColor="text1"/>
          <w:kern w:val="0"/>
          <w:sz w:val="33"/>
          <w:szCs w:val="33"/>
          <w14:textFill>
            <w14:solidFill>
              <w14:schemeClr w14:val="tx1"/>
            </w14:solidFill>
          </w14:textFill>
        </w:rPr>
        <w:t>室收集资料，掌握项目立项决策、项目资金落实、项目实施管理、财务管理全过程（文献法）；收集项目完成情况与年初绩效目标（计划标准、行业标准）开展对比分（比较法）；并通过发放问卷，对</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财政局内部员工</w:t>
      </w:r>
      <w:r>
        <w:rPr>
          <w:rFonts w:hint="eastAsia" w:ascii="宋体" w:hAnsi="宋体" w:eastAsia="方正仿宋简体" w:cs="宋体"/>
          <w:color w:val="000000" w:themeColor="text1"/>
          <w:kern w:val="0"/>
          <w:sz w:val="33"/>
          <w:szCs w:val="33"/>
          <w14:textFill>
            <w14:solidFill>
              <w14:schemeClr w14:val="tx1"/>
            </w14:solidFill>
          </w14:textFill>
        </w:rPr>
        <w:t>开展满意度问卷调查（社会调查法）。对项目绩效差异通过因素分析，分析内、外部因素，并提出改进措施及建议（因素分析法）。</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具体4个步骤如下：</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0"/>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1</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组建绩效评价工作小组，讨论形成工作思路；</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2</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对资料进行审查核实</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olor w:val="000000" w:themeColor="text1"/>
          <w:sz w:val="33"/>
          <w:szCs w:val="33"/>
          <w14:textFill>
            <w14:solidFill>
              <w14:schemeClr w14:val="tx1"/>
            </w14:solidFill>
          </w14:textFill>
        </w:rPr>
        <w:t>采用对比法，认真核对20</w:t>
      </w:r>
      <w:r>
        <w:rPr>
          <w:rFonts w:hint="eastAsia" w:ascii="宋体" w:hAnsi="宋体" w:eastAsia="方正仿宋简体"/>
          <w:color w:val="000000" w:themeColor="text1"/>
          <w:sz w:val="33"/>
          <w:szCs w:val="33"/>
          <w:lang w:eastAsia="zh-CN"/>
          <w14:textFill>
            <w14:solidFill>
              <w14:schemeClr w14:val="tx1"/>
            </w14:solidFill>
          </w14:textFill>
        </w:rPr>
        <w:t>2</w:t>
      </w:r>
      <w:r>
        <w:rPr>
          <w:rFonts w:hint="eastAsia" w:ascii="宋体" w:hAnsi="宋体" w:eastAsia="方正仿宋简体"/>
          <w:color w:val="000000" w:themeColor="text1"/>
          <w:sz w:val="33"/>
          <w:szCs w:val="33"/>
          <w:lang w:val="en-US" w:eastAsia="zh-CN"/>
          <w14:textFill>
            <w14:solidFill>
              <w14:schemeClr w14:val="tx1"/>
            </w14:solidFill>
          </w14:textFill>
        </w:rPr>
        <w:t>2</w:t>
      </w:r>
      <w:r>
        <w:rPr>
          <w:rFonts w:hint="eastAsia" w:ascii="宋体" w:hAnsi="宋体" w:eastAsia="方正仿宋简体"/>
          <w:color w:val="000000" w:themeColor="text1"/>
          <w:sz w:val="33"/>
          <w:szCs w:val="33"/>
          <w14:textFill>
            <w14:solidFill>
              <w14:schemeClr w14:val="tx1"/>
            </w14:solidFill>
          </w14:textFill>
        </w:rPr>
        <w:t>年</w:t>
      </w:r>
      <w:r>
        <w:rPr>
          <w:rFonts w:hint="eastAsia" w:ascii="宋体" w:hAnsi="宋体" w:eastAsia="方正仿宋简体"/>
          <w:color w:val="000000" w:themeColor="text1"/>
          <w:sz w:val="33"/>
          <w:szCs w:val="33"/>
          <w:lang w:val="en-US" w:eastAsia="zh-CN"/>
          <w14:textFill>
            <w14:solidFill>
              <w14:schemeClr w14:val="tx1"/>
            </w14:solidFill>
          </w14:textFill>
        </w:rPr>
        <w:t>项目相关</w:t>
      </w:r>
      <w:r>
        <w:rPr>
          <w:rFonts w:hint="eastAsia" w:ascii="宋体" w:hAnsi="宋体" w:eastAsia="方正仿宋简体"/>
          <w:color w:val="000000" w:themeColor="text1"/>
          <w:sz w:val="33"/>
          <w:szCs w:val="33"/>
          <w14:textFill>
            <w14:solidFill>
              <w14:schemeClr w14:val="tx1"/>
            </w14:solidFill>
          </w14:textFill>
        </w:rPr>
        <w:t>财务数据</w:t>
      </w:r>
      <w:r>
        <w:rPr>
          <w:rFonts w:hint="eastAsia" w:ascii="宋体" w:hAnsi="宋体" w:eastAsia="方正仿宋简体"/>
          <w:color w:val="000000" w:themeColor="text1"/>
          <w:sz w:val="33"/>
          <w:szCs w:val="33"/>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（3）</w:t>
      </w:r>
      <w:r>
        <w:rPr>
          <w:rFonts w:hint="eastAsia" w:ascii="宋体" w:hAnsi="宋体" w:eastAsia="方正仿宋简体" w:cs="宋体"/>
          <w:color w:val="000000" w:themeColor="text1"/>
          <w:kern w:val="0"/>
          <w:sz w:val="33"/>
          <w:szCs w:val="33"/>
          <w14:textFill>
            <w14:solidFill>
              <w14:schemeClr w14:val="tx1"/>
            </w14:solidFill>
          </w14:textFill>
        </w:rPr>
        <w:t>综合分析并形成评价结论；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4）</w:t>
      </w:r>
      <w:r>
        <w:rPr>
          <w:rFonts w:hint="eastAsia" w:ascii="宋体" w:hAnsi="宋体" w:eastAsia="方正仿宋简体" w:cs="宋体"/>
          <w:color w:val="000000" w:themeColor="text1"/>
          <w:kern w:val="0"/>
          <w:sz w:val="33"/>
          <w:szCs w:val="33"/>
          <w14:textFill>
            <w14:solidFill>
              <w14:schemeClr w14:val="tx1"/>
            </w14:solidFill>
          </w14:textFill>
        </w:rPr>
        <w:t>撰写</w:t>
      </w:r>
      <w:r>
        <w:rPr>
          <w:rFonts w:ascii="宋体" w:hAnsi="宋体" w:eastAsia="方正仿宋简体" w:cs="宋体"/>
          <w:color w:val="000000" w:themeColor="text1"/>
          <w:kern w:val="0"/>
          <w:sz w:val="33"/>
          <w:szCs w:val="33"/>
          <w14:textFill>
            <w14:solidFill>
              <w14:schemeClr w14:val="tx1"/>
            </w14:solidFill>
          </w14:textFill>
        </w:rPr>
        <w:t>20</w:t>
      </w:r>
      <w:r>
        <w:rPr>
          <w:rFonts w:hint="eastAsia" w:ascii="宋体" w:hAnsi="宋体" w:eastAsia="方正仿宋简体" w:cs="宋体"/>
          <w:color w:val="000000" w:themeColor="text1"/>
          <w:kern w:val="0"/>
          <w:sz w:val="33"/>
          <w:szCs w:val="33"/>
          <w:lang w:eastAsia="zh-CN"/>
          <w14:textFill>
            <w14:solidFill>
              <w14:schemeClr w14:val="tx1"/>
            </w14:solidFill>
          </w14:textFill>
        </w:rPr>
        <w:t>2</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2</w:t>
      </w:r>
      <w:r>
        <w:rPr>
          <w:rFonts w:hint="eastAsia" w:ascii="宋体" w:hAnsi="宋体" w:eastAsia="方正仿宋简体" w:cs="宋体"/>
          <w:color w:val="000000" w:themeColor="text1"/>
          <w:kern w:val="0"/>
          <w:sz w:val="33"/>
          <w:szCs w:val="33"/>
          <w14:textFill>
            <w14:solidFill>
              <w14:schemeClr w14:val="tx1"/>
            </w14:solidFill>
          </w14:textFill>
        </w:rPr>
        <w:t>年项目支出绩效评价报告。</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b w:val="0"/>
          <w:bCs w:val="0"/>
          <w:color w:val="000000" w:themeColor="text1"/>
          <w:kern w:val="2"/>
          <w:sz w:val="33"/>
          <w:szCs w:val="33"/>
          <w:lang w:val="en-US" w:eastAsia="zh-CN" w:bidi="ar-SA"/>
          <w14:textFill>
            <w14:solidFill>
              <w14:schemeClr w14:val="tx1"/>
            </w14:solidFill>
          </w14:textFill>
        </w:rPr>
        <w:t>2.绩效评价指标体系及重点</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结合该项目特点、评价重点，按照《资阳市雁江区财政局关于开展2022年度财政支出绩效自评工作的通知》（资雁财发〔2023〕165号）附件7“2022年度雁江区项目支出绩效自评计分表”，该项目绩效评价指标分为“投入”“过程”“产出”“效益”四大类。指标数据来源于政府文件、项目资料、实地调研、访谈、问卷调查等。</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“投入”指标关注重点：项目立项是否规范、绩效目标是否合理、需求是否紧迫、绩效指标是否细化、量化可衡量。</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“过程”指标关注重点：制度执行是否有效、资金使用是否合规、财务监控是否有效。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“产出”指标关注重点：是否完成24个项目的资产评估工作；资产评估报告质量是否达标；资产评估工作是否在合同规定时间内完成；项目成本控制是否有效。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“效益”指标关注重点：资产评估机制是否健全；资产评估报告使用单位对评估报告满意度。</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三、评价结论</w:t>
      </w:r>
    </w:p>
    <w:p>
      <w:pPr>
        <w:pageBreakBefore w:val="0"/>
        <w:widowControl w:val="0"/>
        <w:kinsoku/>
        <w:wordWrap/>
        <w:overflowPunct/>
        <w:topLinePunct w:val="0"/>
        <w:autoSpaceDE/>
        <w:autoSpaceDN/>
        <w:bidi w:val="0"/>
        <w:adjustRightInd/>
        <w:snapToGrid/>
        <w:spacing w:line="600" w:lineRule="exact"/>
        <w:ind w:firstLine="660" w:firstLineChars="200"/>
        <w:jc w:val="both"/>
        <w:textAlignment w:val="auto"/>
        <w:rPr>
          <w:rFonts w:hint="default" w:ascii="宋体" w:hAnsi="宋体" w:eastAsia="方正仿宋简体" w:cs="宋体"/>
          <w:color w:val="000000" w:themeColor="text1"/>
          <w:kern w:val="0"/>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总体而言，本项目实施符合区政府决策，与部门职能密切相关，立项依据充分；项目实施及管理制度健全、执行有效；保质保量地完成了</w:t>
      </w:r>
      <w:r>
        <w:rPr>
          <w:rFonts w:hint="eastAsia" w:ascii="宋体" w:hAnsi="宋体" w:eastAsia="方正仿宋简体" w:cs="宋体"/>
          <w:color w:val="000000" w:themeColor="text1"/>
          <w:sz w:val="33"/>
          <w:szCs w:val="33"/>
          <w:lang w:val="en-US" w:eastAsia="zh-CN"/>
          <w14:textFill>
            <w14:solidFill>
              <w14:schemeClr w14:val="tx1"/>
            </w14:solidFill>
          </w14:textFill>
        </w:rPr>
        <w:t>公房、政府门面、地下车库（共计80000平方米）的资产评估工作</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，积极主动完成了区委区政府委托的工作；自评得分</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99</w:t>
      </w:r>
      <w:r>
        <w:rPr>
          <w:rFonts w:ascii="宋体" w:hAnsi="宋体" w:eastAsia="方正仿宋简体" w:cs="宋体"/>
          <w:color w:val="000000" w:themeColor="text1"/>
          <w:kern w:val="0"/>
          <w:sz w:val="33"/>
          <w:szCs w:val="33"/>
          <w:highlight w:val="none"/>
          <w:lang w:val="en-US" w:eastAsia="zh-CN" w:bidi="ar-SA"/>
          <w14:textFill>
            <w14:solidFill>
              <w14:schemeClr w14:val="tx1"/>
            </w14:solidFill>
          </w14:textFill>
        </w:rPr>
        <w:t>分</w:t>
      </w:r>
      <w:r>
        <w:rPr>
          <w:rFonts w:ascii="宋体" w:hAnsi="宋体" w:eastAsia="方正仿宋简体" w:cs="宋体"/>
          <w:color w:val="000000" w:themeColor="text1"/>
          <w:kern w:val="0"/>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依据资雁财发〔2023〕165号规定确定绩效等级为优</w:t>
      </w:r>
      <w:r>
        <w:rPr>
          <w:rFonts w:ascii="宋体" w:hAnsi="宋体" w:eastAsia="方正仿宋简体" w:cs="宋体"/>
          <w:color w:val="000000" w:themeColor="text1"/>
          <w:kern w:val="0"/>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具体得分情况见表</w:t>
      </w:r>
      <w:r>
        <w:rPr>
          <w:rFonts w:ascii="宋体" w:hAnsi="宋体" w:eastAsia="方正仿宋简体" w:cs="宋体"/>
          <w:color w:val="000000" w:themeColor="text1"/>
          <w:kern w:val="0"/>
          <w:sz w:val="33"/>
          <w:szCs w:val="33"/>
          <w:lang w:val="en-US" w:eastAsia="zh-CN" w:bidi="ar-SA"/>
          <w14:textFill>
            <w14:solidFill>
              <w14:schemeClr w14:val="tx1"/>
            </w14:solidFill>
          </w14:textFill>
        </w:rPr>
        <w:t>3-1</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w:t>
      </w:r>
    </w:p>
    <w:p>
      <w:pPr>
        <w:widowControl w:val="0"/>
        <w:spacing w:before="60" w:after="60"/>
        <w:jc w:val="center"/>
        <w:rPr>
          <w:rFonts w:ascii="仿宋" w:hAnsi="仿宋" w:eastAsia="仿宋" w:cs="Times New Roman"/>
          <w:b/>
          <w:color w:val="auto"/>
          <w:sz w:val="28"/>
          <w:szCs w:val="28"/>
          <w:lang w:val="en-US" w:eastAsia="zh-CN" w:bidi="ar-SA"/>
        </w:rPr>
      </w:pPr>
      <w:r>
        <w:rPr>
          <w:rFonts w:hint="eastAsia" w:ascii="仿宋" w:hAnsi="仿宋" w:eastAsia="仿宋" w:cs="Times New Roman"/>
          <w:b/>
          <w:color w:val="auto"/>
          <w:sz w:val="28"/>
          <w:szCs w:val="28"/>
          <w:lang w:val="en-US" w:eastAsia="zh-CN" w:bidi="ar-SA"/>
        </w:rPr>
        <w:t>表</w:t>
      </w:r>
      <w:r>
        <w:rPr>
          <w:rFonts w:ascii="仿宋" w:hAnsi="仿宋" w:eastAsia="仿宋" w:cs="Times New Roman"/>
          <w:b/>
          <w:color w:val="auto"/>
          <w:sz w:val="28"/>
          <w:szCs w:val="28"/>
          <w:lang w:val="en-US" w:eastAsia="zh-CN" w:bidi="ar-SA"/>
        </w:rPr>
        <w:t>3</w:t>
      </w:r>
      <w:r>
        <w:rPr>
          <w:rFonts w:hint="eastAsia" w:ascii="仿宋" w:hAnsi="仿宋" w:eastAsia="仿宋" w:cs="Times New Roman"/>
          <w:b/>
          <w:color w:val="auto"/>
          <w:sz w:val="28"/>
          <w:szCs w:val="28"/>
          <w:lang w:val="en-US" w:eastAsia="zh-CN" w:bidi="ar-SA"/>
        </w:rPr>
        <w:t>-</w:t>
      </w:r>
      <w:r>
        <w:rPr>
          <w:rFonts w:ascii="仿宋" w:hAnsi="仿宋" w:eastAsia="仿宋" w:cs="Times New Roman"/>
          <w:b/>
          <w:color w:val="auto"/>
          <w:sz w:val="28"/>
          <w:szCs w:val="28"/>
          <w:lang w:val="en-US" w:eastAsia="zh-CN" w:bidi="ar-SA"/>
        </w:rPr>
        <w:t>1</w:t>
      </w:r>
      <w:r>
        <w:rPr>
          <w:rFonts w:hint="eastAsia" w:ascii="仿宋" w:hAnsi="仿宋" w:eastAsia="仿宋" w:cs="Times New Roman"/>
          <w:b/>
          <w:color w:val="auto"/>
          <w:sz w:val="28"/>
          <w:szCs w:val="28"/>
          <w:lang w:val="en-US" w:eastAsia="zh-CN" w:bidi="ar-SA"/>
        </w:rPr>
        <w:t xml:space="preserve"> </w:t>
      </w:r>
      <w:r>
        <w:rPr>
          <w:rFonts w:ascii="仿宋" w:hAnsi="仿宋" w:eastAsia="仿宋" w:cs="Times New Roman"/>
          <w:b/>
          <w:color w:val="auto"/>
          <w:sz w:val="28"/>
          <w:szCs w:val="28"/>
          <w:lang w:val="en-US" w:eastAsia="zh-CN" w:bidi="ar-SA"/>
        </w:rPr>
        <w:t>项目评价得分情况</w:t>
      </w:r>
    </w:p>
    <w:tbl>
      <w:tblPr>
        <w:tblStyle w:val="18"/>
        <w:tblW w:w="51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19"/>
        <w:gridCol w:w="720"/>
        <w:gridCol w:w="2442"/>
        <w:gridCol w:w="720"/>
        <w:gridCol w:w="929"/>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2" w:type="pct"/>
            <w:shd w:val="clear" w:color="auto" w:fill="auto"/>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一级指标</w:t>
            </w:r>
          </w:p>
        </w:tc>
        <w:tc>
          <w:tcPr>
            <w:tcW w:w="41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二级指标</w:t>
            </w:r>
          </w:p>
        </w:tc>
        <w:tc>
          <w:tcPr>
            <w:tcW w:w="1396"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三级指标</w:t>
            </w:r>
          </w:p>
        </w:tc>
        <w:tc>
          <w:tcPr>
            <w:tcW w:w="41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自评分数</w:t>
            </w:r>
          </w:p>
        </w:tc>
        <w:tc>
          <w:tcPr>
            <w:tcW w:w="5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w:t>
            </w:r>
          </w:p>
        </w:tc>
        <w:tc>
          <w:tcPr>
            <w:tcW w:w="18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投入（25分）</w:t>
            </w:r>
          </w:p>
        </w:tc>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项目立项（15分）</w:t>
            </w: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项目立项规范性（5分）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绩效目标合理性（4分）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绩效指标明确性（6分）</w:t>
            </w:r>
          </w:p>
        </w:tc>
        <w:tc>
          <w:tcPr>
            <w:tcW w:w="41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资产评估报告使用单位对评估报告满意度≥90%”该指标权重为20分，</w:t>
            </w:r>
            <w:r>
              <w:rPr>
                <w:rFonts w:hint="eastAsia" w:ascii="宋体" w:hAnsi="宋体" w:cs="宋体"/>
                <w:color w:val="auto"/>
                <w:kern w:val="0"/>
                <w:sz w:val="20"/>
                <w:szCs w:val="20"/>
                <w:highlight w:val="none"/>
                <w:lang w:val="en-US" w:eastAsia="zh-CN"/>
              </w:rPr>
              <w:t>设置不合理，</w:t>
            </w:r>
            <w:r>
              <w:rPr>
                <w:rFonts w:hint="eastAsia" w:ascii="宋体" w:hAnsi="宋体" w:cs="宋体"/>
                <w:color w:val="auto"/>
                <w:kern w:val="0"/>
                <w:sz w:val="20"/>
                <w:szCs w:val="20"/>
                <w:highlight w:val="none"/>
              </w:rPr>
              <w:t>比例较大，根据该情况扣</w:t>
            </w:r>
            <w:r>
              <w:rPr>
                <w:rFonts w:hint="eastAsia" w:ascii="宋体" w:hAnsi="宋体" w:cs="宋体"/>
                <w:color w:val="auto"/>
                <w:kern w:val="0"/>
                <w:sz w:val="20"/>
                <w:szCs w:val="20"/>
                <w:highlight w:val="none"/>
                <w:lang w:val="en-US" w:eastAsia="zh-CN"/>
              </w:rPr>
              <w:t>1</w:t>
            </w:r>
            <w:r>
              <w:rPr>
                <w:rFonts w:hint="eastAsia" w:ascii="宋体" w:hAnsi="宋体" w:cs="宋体"/>
                <w:color w:val="auto"/>
                <w:kern w:val="0"/>
                <w:sz w:val="20"/>
                <w:szCs w:val="20"/>
                <w:highlight w:val="none"/>
              </w:rPr>
              <w:t>分</w:t>
            </w:r>
            <w:r>
              <w:rPr>
                <w:rFonts w:hint="eastAsia" w:ascii="宋体" w:hAnsi="宋体" w:cs="宋体"/>
                <w:color w:val="auto"/>
                <w:kern w:val="0"/>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资金落实（10分）</w:t>
            </w: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资金到位率（5分）</w:t>
            </w:r>
          </w:p>
        </w:tc>
        <w:tc>
          <w:tcPr>
            <w:tcW w:w="412" w:type="pct"/>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到位及时率（5分）</w:t>
            </w:r>
          </w:p>
        </w:tc>
        <w:tc>
          <w:tcPr>
            <w:tcW w:w="412" w:type="pct"/>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过程（25分）</w:t>
            </w:r>
          </w:p>
        </w:tc>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业务管理（13分）</w:t>
            </w: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管理制度健全性（4分）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制度执行有效性（6分</w:t>
            </w:r>
            <w:r>
              <w:rPr>
                <w:rFonts w:hint="eastAsia" w:ascii="宋体" w:hAnsi="宋体" w:cs="宋体"/>
                <w:color w:val="auto"/>
                <w:kern w:val="0"/>
                <w:sz w:val="20"/>
                <w:szCs w:val="20"/>
                <w:highlight w:val="none"/>
                <w:lang w:eastAsia="zh-CN"/>
              </w:rPr>
              <w:t>）</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项目质量可控性（3分）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财务管理（12分）</w:t>
            </w: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管理制度健全性（3分）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资金使用合规性（7分）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财务监控有效性（2分）</w:t>
            </w:r>
          </w:p>
        </w:tc>
        <w:tc>
          <w:tcPr>
            <w:tcW w:w="412"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2</w:t>
            </w:r>
          </w:p>
        </w:tc>
        <w:tc>
          <w:tcPr>
            <w:tcW w:w="532" w:type="pct"/>
            <w:shd w:val="clear" w:color="auto" w:fill="auto"/>
            <w:vAlign w:val="center"/>
          </w:tcPr>
          <w:p>
            <w:pPr>
              <w:widowControl/>
              <w:jc w:val="center"/>
              <w:rPr>
                <w:rFonts w:hint="default"/>
                <w:lang w:val="en-US" w:eastAsia="zh-CN"/>
              </w:rPr>
            </w:pPr>
          </w:p>
          <w:p>
            <w:pPr>
              <w:pStyle w:val="2"/>
              <w:rPr>
                <w:rFonts w:hint="default"/>
                <w:lang w:val="en-US" w:eastAsia="zh-CN"/>
              </w:rPr>
            </w:pPr>
          </w:p>
        </w:tc>
        <w:tc>
          <w:tcPr>
            <w:tcW w:w="1832" w:type="pct"/>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产出（20分）</w:t>
            </w:r>
          </w:p>
        </w:tc>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项目产出（20分）</w:t>
            </w: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实际完成率（4分）</w:t>
            </w:r>
          </w:p>
        </w:tc>
        <w:tc>
          <w:tcPr>
            <w:tcW w:w="412"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完成及时率（6分）</w:t>
            </w:r>
          </w:p>
        </w:tc>
        <w:tc>
          <w:tcPr>
            <w:tcW w:w="412"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质量达标率（5分）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成本节约率（5分）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1" w:hRule="atLeast"/>
        </w:trPr>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效果指标（30分）</w:t>
            </w:r>
          </w:p>
        </w:tc>
        <w:tc>
          <w:tcPr>
            <w:tcW w:w="412"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项目效益（30分）</w:t>
            </w: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社会效益（10分）</w:t>
            </w:r>
          </w:p>
        </w:tc>
        <w:tc>
          <w:tcPr>
            <w:tcW w:w="41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可持续影响（10分）</w:t>
            </w:r>
          </w:p>
        </w:tc>
        <w:tc>
          <w:tcPr>
            <w:tcW w:w="41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2"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6"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社会公众或服务对象满意度（10分）</w:t>
            </w:r>
          </w:p>
        </w:tc>
        <w:tc>
          <w:tcPr>
            <w:tcW w:w="41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222" w:type="pct"/>
            <w:gridSpan w:val="3"/>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412"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99</w:t>
            </w:r>
          </w:p>
        </w:tc>
        <w:tc>
          <w:tcPr>
            <w:tcW w:w="532"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-1</w:t>
            </w:r>
          </w:p>
        </w:tc>
        <w:tc>
          <w:tcPr>
            <w:tcW w:w="1832" w:type="pct"/>
            <w:shd w:val="clear" w:color="auto" w:fill="auto"/>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bl>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lang w:eastAsia="zh-CN"/>
        </w:rPr>
        <w:t>四、</w:t>
      </w:r>
      <w:r>
        <w:rPr>
          <w:rFonts w:hint="eastAsia" w:ascii="宋体" w:hAnsi="宋体" w:eastAsia="方正黑体简体" w:cs="Times New Roman"/>
          <w:sz w:val="33"/>
          <w:szCs w:val="33"/>
        </w:rPr>
        <w:t>绩效分析</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（一）投入</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1.项目立项规范性（5分）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该项目属于一次性其他运转类项目，</w:t>
      </w:r>
      <w:r>
        <w:rPr>
          <w:rFonts w:ascii="宋体" w:hAnsi="宋体" w:eastAsia="方正仿宋简体"/>
          <w:color w:val="000000" w:themeColor="text1"/>
          <w:sz w:val="33"/>
          <w:szCs w:val="33"/>
          <w:highlight w:val="none"/>
          <w14:textFill>
            <w14:solidFill>
              <w14:schemeClr w14:val="tx1"/>
            </w14:solidFill>
          </w14:textFill>
        </w:rPr>
        <w:t>项目的申请、设立过程符合</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财政局内部</w:t>
      </w:r>
      <w:r>
        <w:rPr>
          <w:rFonts w:ascii="宋体" w:hAnsi="宋体" w:eastAsia="方正仿宋简体"/>
          <w:color w:val="000000" w:themeColor="text1"/>
          <w:sz w:val="33"/>
          <w:szCs w:val="33"/>
          <w:highlight w:val="none"/>
          <w14:textFill>
            <w14:solidFill>
              <w14:schemeClr w14:val="tx1"/>
            </w14:solidFill>
          </w14:textFill>
        </w:rPr>
        <w:t>要求，</w:t>
      </w:r>
      <w:r>
        <w:rPr>
          <w:rFonts w:hint="eastAsia" w:ascii="宋体" w:hAnsi="宋体" w:eastAsia="方正仿宋简体"/>
          <w:color w:val="000000" w:themeColor="text1"/>
          <w:sz w:val="33"/>
          <w:szCs w:val="33"/>
          <w:highlight w:val="none"/>
          <w:lang w:val="en-US" w:eastAsia="zh-CN"/>
          <w14:textFill>
            <w14:solidFill>
              <w14:schemeClr w14:val="tx1"/>
            </w14:solidFill>
          </w14:textFill>
        </w:rPr>
        <w:t>由财政局党组会讨论通过，通过集体决策，</w:t>
      </w:r>
      <w:r>
        <w:rPr>
          <w:rFonts w:ascii="宋体" w:hAnsi="宋体" w:eastAsia="方正仿宋简体"/>
          <w:color w:val="000000" w:themeColor="text1"/>
          <w:sz w:val="33"/>
          <w:szCs w:val="33"/>
          <w:highlight w:val="none"/>
          <w14:textFill>
            <w14:solidFill>
              <w14:schemeClr w14:val="tx1"/>
            </w14:solidFill>
          </w14:textFill>
        </w:rPr>
        <w:t>项目按照规定的程序申请设立；所提交的文件、材料</w:t>
      </w:r>
      <w:r>
        <w:rPr>
          <w:rFonts w:hint="eastAsia" w:ascii="宋体" w:hAnsi="宋体" w:eastAsia="方正仿宋简体"/>
          <w:color w:val="000000" w:themeColor="text1"/>
          <w:sz w:val="33"/>
          <w:szCs w:val="33"/>
          <w:highlight w:val="none"/>
          <w:lang w:val="en-US" w:eastAsia="zh-CN"/>
          <w14:textFill>
            <w14:solidFill>
              <w14:schemeClr w14:val="tx1"/>
            </w14:solidFill>
          </w14:textFill>
        </w:rPr>
        <w:t>均</w:t>
      </w:r>
      <w:r>
        <w:rPr>
          <w:rFonts w:ascii="宋体" w:hAnsi="宋体" w:eastAsia="方正仿宋简体"/>
          <w:color w:val="000000" w:themeColor="text1"/>
          <w:sz w:val="33"/>
          <w:szCs w:val="33"/>
          <w:highlight w:val="none"/>
          <w14:textFill>
            <w14:solidFill>
              <w14:schemeClr w14:val="tx1"/>
            </w14:solidFill>
          </w14:textFill>
        </w:rPr>
        <w:t>符合相关要求</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该项得满分5分。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2.绩效目标合理性（4分）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eastAsia="方正仿宋简体"/>
          <w:lang w:val="en-US" w:eastAsia="zh-CN"/>
        </w:rPr>
      </w:pPr>
      <w:r>
        <w:rPr>
          <w:rFonts w:hint="eastAsia" w:ascii="宋体" w:hAnsi="宋体" w:eastAsia="方正仿宋简体"/>
          <w:color w:val="000000" w:themeColor="text1"/>
          <w:sz w:val="33"/>
          <w:szCs w:val="33"/>
          <w:highlight w:val="none"/>
          <w14:textFill>
            <w14:solidFill>
              <w14:schemeClr w14:val="tx1"/>
            </w14:solidFill>
          </w14:textFill>
        </w:rPr>
        <w:t>该项目绩效目标合理。①本项目实施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符合</w:t>
      </w:r>
      <w:r>
        <w:rPr>
          <w:rFonts w:hint="eastAsia" w:ascii="宋体" w:hAnsi="宋体" w:eastAsia="方正仿宋简体" w:cs="宋体"/>
          <w:color w:val="000000" w:themeColor="text1"/>
          <w:sz w:val="33"/>
          <w:szCs w:val="33"/>
          <w14:textFill>
            <w14:solidFill>
              <w14:schemeClr w14:val="tx1"/>
            </w14:solidFill>
          </w14:textFill>
        </w:rPr>
        <w:t>《事业单位国有资产管理暂行办法》</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等国家相关法律法规、国民经济发展规划和党委政府决策要求</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本项目</w:t>
      </w:r>
      <w:r>
        <w:rPr>
          <w:rFonts w:hint="eastAsia" w:ascii="宋体" w:hAnsi="宋体" w:eastAsia="方正仿宋简体"/>
          <w:color w:val="000000" w:themeColor="text1"/>
          <w:sz w:val="33"/>
          <w:szCs w:val="33"/>
          <w:highlight w:val="none"/>
          <w14:textFill>
            <w14:solidFill>
              <w14:schemeClr w14:val="tx1"/>
            </w14:solidFill>
          </w14:textFill>
        </w:rPr>
        <w:t>实施内容与本部门（单位）“行政事业单位国有资产管理职责分工”</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w:t>
      </w:r>
      <w:r>
        <w:rPr>
          <w:rFonts w:hint="eastAsia" w:ascii="宋体" w:hAnsi="宋体" w:eastAsia="方正仿宋简体"/>
          <w:color w:val="000000" w:themeColor="text1"/>
          <w:sz w:val="33"/>
          <w:szCs w:val="33"/>
          <w:highlight w:val="none"/>
          <w14:textFill>
            <w14:solidFill>
              <w14:schemeClr w14:val="tx1"/>
            </w14:solidFill>
          </w14:textFill>
        </w:rPr>
        <w:t>职能密切相关</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能够保障国有资产按规定程序进行划拨处置</w:t>
      </w:r>
      <w:r>
        <w:rPr>
          <w:rFonts w:hint="eastAsia" w:ascii="宋体" w:hAnsi="宋体" w:eastAsia="方正仿宋简体"/>
          <w:color w:val="000000" w:themeColor="text1"/>
          <w:sz w:val="33"/>
          <w:szCs w:val="33"/>
          <w:highlight w:val="none"/>
          <w14:textFill>
            <w14:solidFill>
              <w14:schemeClr w14:val="tx1"/>
            </w14:solidFill>
          </w14:textFill>
        </w:rPr>
        <w:t>；③</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w:t>
      </w:r>
      <w:r>
        <w:rPr>
          <w:rFonts w:hint="eastAsia" w:ascii="宋体" w:hAnsi="宋体" w:eastAsia="方正仿宋简体"/>
          <w:color w:val="000000" w:themeColor="text1"/>
          <w:sz w:val="33"/>
          <w:szCs w:val="33"/>
          <w:highlight w:val="none"/>
          <w14:textFill>
            <w14:solidFill>
              <w14:schemeClr w14:val="tx1"/>
            </w14:solidFill>
          </w14:textFill>
        </w:rPr>
        <w:t>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能够以客观、公正的视角对公房、门面、地下车库等需转让的资产进行评估，确保被划拨资产价值可衡量，避免了国有资产流失的问题</w:t>
      </w:r>
      <w:r>
        <w:rPr>
          <w:rFonts w:hint="eastAsia" w:ascii="宋体" w:hAnsi="宋体" w:eastAsia="方正仿宋简体"/>
          <w:color w:val="000000" w:themeColor="text1"/>
          <w:sz w:val="33"/>
          <w:szCs w:val="33"/>
          <w:highlight w:val="none"/>
          <w14:textFill>
            <w14:solidFill>
              <w14:schemeClr w14:val="tx1"/>
            </w14:solidFill>
          </w14:textFill>
        </w:rPr>
        <w:t>；④该项目预期产出及效果根据上级文件、计划标准制定，符合正常的业绩水平。该项得满分4分</w:t>
      </w:r>
      <w:r>
        <w:rPr>
          <w:rFonts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3.绩效指标明确性（6分）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①设置了：资产评估项目数量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≥26个</w:t>
      </w:r>
      <w:r>
        <w:rPr>
          <w:rFonts w:hint="eastAsia" w:ascii="宋体" w:hAnsi="宋体" w:eastAsia="方正仿宋简体"/>
          <w:color w:val="000000" w:themeColor="text1"/>
          <w:sz w:val="33"/>
          <w:szCs w:val="33"/>
          <w:highlight w:val="none"/>
          <w14:textFill>
            <w14:solidFill>
              <w14:schemeClr w14:val="tx1"/>
            </w14:solidFill>
          </w14:textFill>
        </w:rPr>
        <w:t>等</w:t>
      </w:r>
      <w:r>
        <w:rPr>
          <w:rFonts w:hint="eastAsia" w:ascii="宋体" w:hAnsi="宋体" w:eastAsia="方正仿宋简体"/>
          <w:color w:val="000000" w:themeColor="text1"/>
          <w:sz w:val="33"/>
          <w:szCs w:val="33"/>
          <w:highlight w:val="none"/>
          <w:lang w:val="en-US" w:eastAsia="zh-CN"/>
          <w14:textFill>
            <w14:solidFill>
              <w14:schemeClr w14:val="tx1"/>
            </w14:solidFill>
          </w14:textFill>
        </w:rPr>
        <w:t>2</w:t>
      </w:r>
      <w:r>
        <w:rPr>
          <w:rFonts w:hint="eastAsia" w:ascii="宋体" w:hAnsi="宋体" w:eastAsia="方正仿宋简体"/>
          <w:color w:val="000000" w:themeColor="text1"/>
          <w:sz w:val="33"/>
          <w:szCs w:val="33"/>
          <w:highlight w:val="none"/>
          <w14:textFill>
            <w14:solidFill>
              <w14:schemeClr w14:val="tx1"/>
            </w14:solidFill>
          </w14:textFill>
        </w:rPr>
        <w:t>条数量指标、三方机构资产评估报告达标率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≥90的</w:t>
      </w:r>
      <w:r>
        <w:rPr>
          <w:rFonts w:hint="eastAsia" w:ascii="宋体" w:hAnsi="宋体" w:eastAsia="方正仿宋简体"/>
          <w:color w:val="000000" w:themeColor="text1"/>
          <w:sz w:val="33"/>
          <w:szCs w:val="33"/>
          <w:highlight w:val="none"/>
          <w14:textFill>
            <w14:solidFill>
              <w14:schemeClr w14:val="tx1"/>
            </w14:solidFill>
          </w14:textFill>
        </w:rPr>
        <w:t>质量指标、行政事业单位资产系统响应及时率≥90%的时效指标等、三方机构资产评估报告产出及时率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的时效</w:t>
      </w:r>
      <w:r>
        <w:rPr>
          <w:rFonts w:hint="eastAsia" w:ascii="宋体" w:hAnsi="宋体" w:eastAsia="方正仿宋简体"/>
          <w:color w:val="000000" w:themeColor="text1"/>
          <w:sz w:val="33"/>
          <w:szCs w:val="33"/>
          <w:highlight w:val="none"/>
          <w14:textFill>
            <w14:solidFill>
              <w14:schemeClr w14:val="tx1"/>
            </w14:solidFill>
          </w14:textFill>
        </w:rPr>
        <w:t>指标</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已</w:t>
      </w:r>
      <w:r>
        <w:rPr>
          <w:rFonts w:hint="eastAsia" w:ascii="宋体" w:hAnsi="宋体" w:eastAsia="方正仿宋简体"/>
          <w:color w:val="000000" w:themeColor="text1"/>
          <w:sz w:val="33"/>
          <w:szCs w:val="33"/>
          <w:highlight w:val="none"/>
          <w:lang w:eastAsia="zh-CN"/>
          <w14:textFill>
            <w14:solidFill>
              <w14:schemeClr w14:val="tx1"/>
            </w14:solidFill>
          </w14:textFill>
        </w:rPr>
        <w:t>将项目绩效目标细化分解为具体的绩效指标</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设置的指标，如“</w:t>
      </w:r>
      <w:r>
        <w:rPr>
          <w:rFonts w:hint="eastAsia" w:ascii="宋体" w:hAnsi="宋体" w:eastAsia="方正仿宋简体"/>
          <w:color w:val="000000" w:themeColor="text1"/>
          <w:sz w:val="33"/>
          <w:szCs w:val="33"/>
          <w:highlight w:val="none"/>
          <w14:textFill>
            <w14:solidFill>
              <w14:schemeClr w14:val="tx1"/>
            </w14:solidFill>
          </w14:textFill>
        </w:rPr>
        <w:t>聘请三方机构数量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≥1个”“</w:t>
      </w:r>
      <w:r>
        <w:rPr>
          <w:rFonts w:hint="eastAsia" w:ascii="宋体" w:hAnsi="宋体" w:eastAsia="方正仿宋简体"/>
          <w:color w:val="000000" w:themeColor="text1"/>
          <w:sz w:val="33"/>
          <w:szCs w:val="33"/>
          <w:highlight w:val="none"/>
          <w14:textFill>
            <w14:solidFill>
              <w14:schemeClr w14:val="tx1"/>
            </w14:solidFill>
          </w14:textFill>
        </w:rPr>
        <w:t>资产评估项目评估经费预算控制数</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≤90万</w:t>
      </w:r>
      <w:r>
        <w:rPr>
          <w:rFonts w:hint="eastAsia" w:ascii="宋体" w:hAnsi="宋体" w:eastAsia="方正仿宋简体"/>
          <w:color w:val="000000" w:themeColor="text1"/>
          <w:sz w:val="33"/>
          <w:szCs w:val="33"/>
          <w:highlight w:val="none"/>
          <w:lang w:eastAsia="zh-CN"/>
          <w14:textFill>
            <w14:solidFill>
              <w14:schemeClr w14:val="tx1"/>
            </w14:solidFill>
          </w14:textFill>
        </w:rPr>
        <w:t>”“资产评估报告使用单位对评估报告满意度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等指标值等清晰、可衡量，但指标值权重分配不合理，如</w:t>
      </w:r>
      <w:r>
        <w:rPr>
          <w:rFonts w:hint="eastAsia" w:ascii="宋体" w:hAnsi="宋体" w:eastAsia="方正仿宋简体"/>
          <w:color w:val="000000" w:themeColor="text1"/>
          <w:sz w:val="33"/>
          <w:szCs w:val="33"/>
          <w:highlight w:val="none"/>
          <w:lang w:eastAsia="zh-CN"/>
          <w14:textFill>
            <w14:solidFill>
              <w14:schemeClr w14:val="tx1"/>
            </w14:solidFill>
          </w14:textFill>
        </w:rPr>
        <w:t>“资产评估报告使用单位对评估报告满意度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该指标权重为20分，比例较大，根据该情况扣1分。</w:t>
      </w:r>
      <w:r>
        <w:rPr>
          <w:rFonts w:hint="eastAsia" w:ascii="宋体" w:hAnsi="宋体" w:eastAsia="方正仿宋简体"/>
          <w:color w:val="000000" w:themeColor="text1"/>
          <w:sz w:val="33"/>
          <w:szCs w:val="33"/>
          <w:highlight w:val="none"/>
          <w14:textFill>
            <w14:solidFill>
              <w14:schemeClr w14:val="tx1"/>
            </w14:solidFill>
          </w14:textFill>
        </w:rPr>
        <w:t>③本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项目2022</w:t>
      </w:r>
      <w:r>
        <w:rPr>
          <w:rFonts w:hint="eastAsia" w:ascii="宋体" w:hAnsi="宋体" w:eastAsia="方正仿宋简体"/>
          <w:color w:val="000000" w:themeColor="text1"/>
          <w:sz w:val="33"/>
          <w:szCs w:val="33"/>
          <w:highlight w:val="none"/>
          <w14:textFill>
            <w14:solidFill>
              <w14:schemeClr w14:val="tx1"/>
            </w14:solidFill>
          </w14:textFill>
        </w:rPr>
        <w:t>年度计划实施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24</w:t>
      </w:r>
      <w:r>
        <w:rPr>
          <w:rFonts w:hint="eastAsia" w:ascii="宋体" w:hAnsi="宋体" w:eastAsia="方正仿宋简体"/>
          <w:color w:val="000000" w:themeColor="text1"/>
          <w:sz w:val="33"/>
          <w:szCs w:val="33"/>
          <w:highlight w:val="none"/>
          <w14:textFill>
            <w14:solidFill>
              <w14:schemeClr w14:val="tx1"/>
            </w14:solidFill>
          </w14:textFill>
        </w:rPr>
        <w:t>项</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评估任务</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项目绩效指标与项目</w:t>
      </w:r>
      <w:r>
        <w:rPr>
          <w:rFonts w:hint="eastAsia" w:ascii="宋体" w:hAnsi="宋体" w:eastAsia="方正仿宋简体"/>
          <w:color w:val="000000" w:themeColor="text1"/>
          <w:sz w:val="33"/>
          <w:szCs w:val="33"/>
          <w:highlight w:val="none"/>
          <w14:textFill>
            <w14:solidFill>
              <w14:schemeClr w14:val="tx1"/>
            </w14:solidFill>
          </w14:textFill>
        </w:rPr>
        <w:t>年度任务与</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hint="eastAsia" w:ascii="宋体" w:hAnsi="宋体" w:eastAsia="方正仿宋简体"/>
          <w:color w:val="000000" w:themeColor="text1"/>
          <w:sz w:val="33"/>
          <w:szCs w:val="33"/>
          <w:highlight w:val="none"/>
          <w14:textFill>
            <w14:solidFill>
              <w14:schemeClr w14:val="tx1"/>
            </w14:solidFill>
          </w14:textFill>
        </w:rPr>
        <w:t>完成相对应，数量指标完整清晰。</w:t>
      </w:r>
      <w:r>
        <w:rPr>
          <w:rFonts w:hint="eastAsia" w:ascii="宋体" w:hAnsi="宋体" w:eastAsia="方正仿宋简体"/>
          <w:color w:val="000000" w:themeColor="text1"/>
          <w:sz w:val="33"/>
          <w:szCs w:val="33"/>
          <w:highlight w:val="none"/>
          <w:lang w:val="en-US" w:eastAsia="zh-CN"/>
          <w14:textFill>
            <w14:solidFill>
              <w14:schemeClr w14:val="tx1"/>
            </w14:solidFill>
          </w14:textFill>
        </w:rPr>
        <w:t>④</w:t>
      </w:r>
      <w:r>
        <w:rPr>
          <w:rFonts w:hint="eastAsia" w:ascii="宋体" w:hAnsi="宋体" w:eastAsia="方正仿宋简体"/>
          <w:color w:val="000000" w:themeColor="text1"/>
          <w:sz w:val="33"/>
          <w:szCs w:val="33"/>
          <w:highlight w:val="none"/>
          <w14:textFill>
            <w14:solidFill>
              <w14:schemeClr w14:val="tx1"/>
            </w14:solidFill>
          </w14:textFill>
        </w:rPr>
        <w:t>本项目预算根据</w:t>
      </w:r>
      <w:r>
        <w:rPr>
          <w:rFonts w:hint="eastAsia" w:ascii="宋体" w:hAnsi="宋体" w:eastAsia="方正仿宋简体"/>
          <w:color w:val="000000" w:themeColor="text1"/>
          <w:sz w:val="33"/>
          <w:szCs w:val="33"/>
          <w:highlight w:val="none"/>
          <w:lang w:val="en-US" w:eastAsia="zh-CN"/>
          <w14:textFill>
            <w14:solidFill>
              <w14:schemeClr w14:val="tx1"/>
            </w14:solidFill>
          </w14:textFill>
        </w:rPr>
        <w:t>已签订的相关合同确定</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前期调研充分，</w:t>
      </w:r>
      <w:r>
        <w:rPr>
          <w:rFonts w:hint="eastAsia" w:ascii="宋体" w:hAnsi="宋体" w:eastAsia="方正仿宋简体"/>
          <w:color w:val="000000" w:themeColor="text1"/>
          <w:sz w:val="33"/>
          <w:szCs w:val="33"/>
          <w:highlight w:val="none"/>
          <w14:textFill>
            <w14:solidFill>
              <w14:schemeClr w14:val="tx1"/>
            </w14:solidFill>
          </w14:textFill>
        </w:rPr>
        <w:t>成本测算依据充分；预算资金总额与本项目实施任务匹配。该项</w:t>
      </w:r>
      <w:r>
        <w:rPr>
          <w:rFonts w:hint="eastAsia" w:ascii="宋体" w:hAnsi="宋体" w:eastAsia="方正仿宋简体"/>
          <w:color w:val="000000" w:themeColor="text1"/>
          <w:sz w:val="33"/>
          <w:szCs w:val="33"/>
          <w:highlight w:val="none"/>
          <w:lang w:val="en-US" w:eastAsia="zh-CN"/>
          <w14:textFill>
            <w14:solidFill>
              <w14:schemeClr w14:val="tx1"/>
            </w14:solidFill>
          </w14:textFill>
        </w:rPr>
        <w:t>扣1分，</w:t>
      </w:r>
      <w:r>
        <w:rPr>
          <w:rFonts w:hint="eastAsia" w:ascii="宋体" w:hAnsi="宋体" w:eastAsia="方正仿宋简体"/>
          <w:color w:val="000000" w:themeColor="text1"/>
          <w:sz w:val="33"/>
          <w:szCs w:val="33"/>
          <w:highlight w:val="none"/>
          <w14:textFill>
            <w14:solidFill>
              <w14:schemeClr w14:val="tx1"/>
            </w14:solidFill>
          </w14:textFill>
        </w:rPr>
        <w:t>得分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eastAsia" w:ascii="宋体" w:hAnsi="宋体" w:eastAsia="方正仿宋简体"/>
          <w:color w:val="000000" w:themeColor="text1"/>
          <w:sz w:val="33"/>
          <w:szCs w:val="33"/>
          <w:highlight w:val="none"/>
          <w14:textFill>
            <w14:solidFill>
              <w14:schemeClr w14:val="tx1"/>
            </w14:solidFill>
          </w14:textFill>
        </w:rPr>
        <w:t>分</w:t>
      </w:r>
      <w:r>
        <w:rPr>
          <w:rFonts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4.资金到位率（5分）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本项目年初预算资金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调整后预算数为67.76万元，</w:t>
      </w:r>
      <w:r>
        <w:rPr>
          <w:rFonts w:hint="eastAsia" w:ascii="宋体" w:hAnsi="宋体" w:eastAsia="方正仿宋简体"/>
          <w:color w:val="000000" w:themeColor="text1"/>
          <w:sz w:val="33"/>
          <w:szCs w:val="33"/>
          <w:highlight w:val="none"/>
          <w14:textFill>
            <w14:solidFill>
              <w14:schemeClr w14:val="tx1"/>
            </w14:solidFill>
          </w14:textFill>
        </w:rPr>
        <w:t>截至202</w:t>
      </w:r>
      <w:r>
        <w:rPr>
          <w:rFonts w:hint="eastAsia" w:ascii="宋体" w:hAnsi="宋体" w:eastAsia="方正仿宋简体"/>
          <w:color w:val="000000" w:themeColor="text1"/>
          <w:sz w:val="33"/>
          <w:szCs w:val="33"/>
          <w:highlight w:val="none"/>
          <w:lang w:val="en-US" w:eastAsia="zh-CN"/>
          <w14:textFill>
            <w14:solidFill>
              <w14:schemeClr w14:val="tx1"/>
            </w14:solidFill>
          </w14:textFill>
        </w:rPr>
        <w:t>2</w:t>
      </w:r>
      <w:r>
        <w:rPr>
          <w:rFonts w:hint="eastAsia" w:ascii="宋体" w:hAnsi="宋体" w:eastAsia="方正仿宋简体"/>
          <w:color w:val="000000" w:themeColor="text1"/>
          <w:sz w:val="33"/>
          <w:szCs w:val="33"/>
          <w:highlight w:val="none"/>
          <w14:textFill>
            <w14:solidFill>
              <w14:schemeClr w14:val="tx1"/>
            </w14:solidFill>
          </w14:textFill>
        </w:rPr>
        <w:t>年12月31日，实际到位资金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67.76</w:t>
      </w:r>
      <w:r>
        <w:rPr>
          <w:rFonts w:hint="eastAsia" w:ascii="宋体" w:hAnsi="宋体" w:eastAsia="方正仿宋简体"/>
          <w:color w:val="000000" w:themeColor="text1"/>
          <w:sz w:val="33"/>
          <w:szCs w:val="33"/>
          <w:highlight w:val="none"/>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资金到位率=（实际到位资金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67.76</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/计划投入资金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67.76</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该项得5分</w:t>
      </w:r>
      <w:r>
        <w:rPr>
          <w:rFonts w:hint="eastAsia" w:ascii="宋体" w:hAnsi="宋体" w:eastAsia="方正仿宋简体"/>
          <w:color w:val="000000" w:themeColor="text1"/>
          <w:sz w:val="33"/>
          <w:szCs w:val="33"/>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5.到位及时率（5分）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2022年，截至规定时点实际落实到具体项目的资金为7.76</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到位及时率=（及时到位资金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67.76</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/应到位资金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67.76</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该项得5分。</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（二）过程</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1.管理制度健全性（4分）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在制度方面，本部门制定了</w:t>
      </w:r>
      <w:r>
        <w:rPr>
          <w:rFonts w:hint="eastAsia" w:ascii="宋体" w:hAnsi="宋体" w:eastAsia="方正仿宋简体"/>
          <w:color w:val="000000" w:themeColor="text1"/>
          <w:sz w:val="33"/>
          <w:szCs w:val="33"/>
          <w:highlight w:val="none"/>
          <w:lang w:eastAsia="zh-CN"/>
          <w14:textFill>
            <w14:solidFill>
              <w14:schemeClr w14:val="tx1"/>
            </w14:solidFill>
          </w14:textFill>
        </w:rPr>
        <w:t>《资阳市雁江区财政局内部控制手册》，包括《行政单位采购管理制度》《行政单位预算管理制度》《收支业务制度》《行政资产管理制度》《行政单位结算管理制度》等相关制度，从“三重一大”决策、预算管理、财务管理、固定资产管理、合同管理、政府采购等方面进行了规范，内控制度基本建立，具有合法、合规、完整的项目管理制度，业务管理制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健全，</w:t>
      </w:r>
      <w:r>
        <w:rPr>
          <w:rFonts w:ascii="宋体" w:hAnsi="宋体" w:eastAsia="方正仿宋简体"/>
          <w:color w:val="000000" w:themeColor="text1"/>
          <w:sz w:val="33"/>
          <w:szCs w:val="33"/>
          <w:highlight w:val="none"/>
          <w14:textFill>
            <w14:solidFill>
              <w14:schemeClr w14:val="tx1"/>
            </w14:solidFill>
          </w14:textFill>
        </w:rPr>
        <w:t>合法、合规、</w:t>
      </w:r>
      <w:r>
        <w:rPr>
          <w:rFonts w:hint="eastAsia" w:ascii="宋体" w:hAnsi="宋体" w:eastAsia="方正仿宋简体"/>
          <w:color w:val="000000" w:themeColor="text1"/>
          <w:sz w:val="33"/>
          <w:szCs w:val="33"/>
          <w:highlight w:val="none"/>
          <w:lang w:val="en-US" w:eastAsia="zh-CN"/>
          <w14:textFill>
            <w14:solidFill>
              <w14:schemeClr w14:val="tx1"/>
            </w14:solidFill>
          </w14:textFill>
        </w:rPr>
        <w:t>内容完整</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该项得满分4分。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2.制度执行有效性（6分）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lang w:eastAsia="zh-CN"/>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在项目执行方面，本部门严格遵守相关法律法规和业务管理规定，2022年进行过项目预算调整，项目调整及支出调整手续完备。同时，在项目执行过程中，项目合同书等资料齐全并及时归档，委托第三方公司负责，项目实施的人员条件、场地设备、信息支撑等均已落实到位，完成公房、门面、地下车库的评估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3.项目质量可控性（3分）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本项目已制定或具有相应的项目质量要求或标准，明确在项目执行过程中，需完成24个项目的评估，并采取了相应的项目质量检查、验收等必需的控制措施或手段，如用户反馈等。该项得满分3分。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4.管理制度健全性（3分）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本部门</w:t>
      </w:r>
      <w:r>
        <w:rPr>
          <w:rFonts w:hint="eastAsia" w:ascii="宋体" w:hAnsi="宋体" w:eastAsia="方正仿宋简体"/>
          <w:color w:val="000000" w:themeColor="text1"/>
          <w:sz w:val="33"/>
          <w:szCs w:val="33"/>
          <w:highlight w:val="none"/>
          <w:lang w:eastAsia="zh-CN"/>
          <w14:textFill>
            <w14:solidFill>
              <w14:schemeClr w14:val="tx1"/>
            </w14:solidFill>
          </w14:textFill>
        </w:rPr>
        <w:t>为加强项目资金管理，制定了《资阳市雁江区财政局内部控制手册》用以规范项目管理相关工作，</w:t>
      </w:r>
      <w:r>
        <w:rPr>
          <w:rFonts w:hint="eastAsia" w:ascii="宋体" w:hAnsi="宋体" w:eastAsia="方正仿宋简体"/>
          <w:color w:val="000000" w:themeColor="text1"/>
          <w:sz w:val="33"/>
          <w:szCs w:val="33"/>
          <w:highlight w:val="none"/>
          <w:lang w:val="en-US" w:eastAsia="zh-CN"/>
          <w14:textFill>
            <w14:solidFill>
              <w14:schemeClr w14:val="tx1"/>
            </w14:solidFill>
          </w14:textFill>
        </w:rPr>
        <w:t>明确了直接支付管理以及授权支付管理等，符合相关财务会计制度的规定</w:t>
      </w:r>
      <w:r>
        <w:rPr>
          <w:rFonts w:hint="eastAsia" w:ascii="宋体" w:hAnsi="宋体" w:eastAsia="方正仿宋简体"/>
          <w:color w:val="000000" w:themeColor="text1"/>
          <w:sz w:val="33"/>
          <w:szCs w:val="33"/>
          <w:highlight w:val="none"/>
          <w:lang w:eastAsia="zh-CN"/>
          <w14:textFill>
            <w14:solidFill>
              <w14:schemeClr w14:val="tx1"/>
            </w14:solidFill>
          </w14:textFill>
        </w:rPr>
        <w:t>。该项得满分3分。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5.资金使用合规性（7分）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w:t>
      </w:r>
      <w:r>
        <w:rPr>
          <w:rFonts w:hint="default" w:ascii="宋体" w:hAnsi="宋体" w:eastAsia="方正仿宋简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项目资金</w:t>
      </w:r>
      <w:r>
        <w:rPr>
          <w:rFonts w:hint="default" w:ascii="宋体" w:hAnsi="宋体" w:eastAsia="方正仿宋简体"/>
          <w:color w:val="000000" w:themeColor="text1"/>
          <w:sz w:val="33"/>
          <w:szCs w:val="33"/>
          <w:highlight w:val="none"/>
          <w:lang w:val="en-US" w:eastAsia="zh-CN"/>
          <w14:textFill>
            <w14:solidFill>
              <w14:schemeClr w14:val="tx1"/>
            </w14:solidFill>
          </w14:textFill>
        </w:rPr>
        <w:t>按照</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财务管理</w:t>
      </w:r>
      <w:r>
        <w:rPr>
          <w:rFonts w:hint="default" w:ascii="宋体" w:hAnsi="宋体" w:eastAsia="方正仿宋简体"/>
          <w:color w:val="000000" w:themeColor="text1"/>
          <w:sz w:val="33"/>
          <w:szCs w:val="33"/>
          <w:highlight w:val="none"/>
          <w:lang w:val="en-US" w:eastAsia="zh-CN"/>
          <w14:textFill>
            <w14:solidFill>
              <w14:schemeClr w14:val="tx1"/>
            </w14:solidFill>
          </w14:textFill>
        </w:rPr>
        <w:t>规定使用财政资金，由执行部门根据实际工作发起支出申请表，</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财务分管领导</w:t>
      </w:r>
      <w:r>
        <w:rPr>
          <w:rFonts w:hint="default" w:ascii="宋体" w:hAnsi="宋体" w:eastAsia="方正仿宋简体"/>
          <w:color w:val="000000" w:themeColor="text1"/>
          <w:sz w:val="33"/>
          <w:szCs w:val="33"/>
          <w:highlight w:val="none"/>
          <w:lang w:val="en-US" w:eastAsia="zh-CN"/>
          <w14:textFill>
            <w14:solidFill>
              <w14:schemeClr w14:val="tx1"/>
            </w14:solidFill>
          </w14:textFill>
        </w:rPr>
        <w:t>对资金申请进行业务审批</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预算资金的拨付审批程序和手续完整，资金使用规范。项目资金使用符合项目预算批复及合同规定的用途，资金拨付审批程序和手续完整，不存在截留、挤占、挪用、虚列支出等情况。该项得满分7分。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6.财务监控有效性（2分）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该项目财务监控有效</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性较好</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2022年调整预算资金已全部使用完毕</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。在采购预算控制、财务报销审核、资产入账等环节进行了财务审核</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，进行了财务检查</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该项得2分。</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（三）产出</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1.实际完成率（4分）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2022年，本项目计划完成转让公房、门面、地下车库等需转让资产的评估，预计项目数量24个，预计评估价值1.33亿元。2022年度，本项目实际产出的产品或提供的服务数量达到年初计划要求，实际完成率为100%。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4</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2.完成及时率（6分）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2022年，三方机构资产评估报告产出已在规定时间内完成并得到运用，完成及时率为100%。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6</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3.质量达标率（5分）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2022年，本项目计划方机构资产评估报告达标率≥90%，评估报告已经过财政局验收通过，质量达标率为100%。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4.成本节约率（5分）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主要成本来自按资产所属单位分项进行评估的费用，收费标准为资产价值的1.5%，协商后收费减按50%计收。2022年项目计划成本90万元，</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实际成本分别为</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67.76</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万元。成本节约率</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90</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67.76</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67.76</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*100%=</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32.82</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%。该项得满分5分。</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（四）效果</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1.社会效益－资产评估报告成果利用率（10分）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default" w:ascii="宋体" w:hAnsi="宋体" w:eastAsia="方正仿宋简体"/>
          <w:color w:val="000000" w:themeColor="text1"/>
          <w:sz w:val="33"/>
          <w:szCs w:val="33"/>
          <w:highlight w:val="none"/>
          <w:lang w:val="en-US" w:eastAsia="zh-CN"/>
          <w14:textFill>
            <w14:solidFill>
              <w14:schemeClr w14:val="tx1"/>
            </w14:solidFill>
          </w14:textFill>
        </w:rPr>
        <w:t>本项目的实施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有效促进了</w:t>
      </w:r>
      <w:r>
        <w:rPr>
          <w:rFonts w:hint="eastAsia" w:ascii="宋体" w:hAnsi="宋体" w:eastAsia="方正仿宋简体" w:cs="宋体"/>
          <w:color w:val="000000" w:themeColor="text1"/>
          <w:sz w:val="33"/>
          <w:szCs w:val="33"/>
          <w:lang w:val="en-US" w:eastAsia="zh-CN"/>
          <w14:textFill>
            <w14:solidFill>
              <w14:schemeClr w14:val="tx1"/>
            </w14:solidFill>
          </w14:textFill>
        </w:rPr>
        <w:t>资阳市雁江区人民政府拟划拨资产工作，对拟划拨的资产进行了客观。公正、可衡量的资产评估</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2.可持续影响－资产评估机制健全性（10分）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该项目的实施有助于保障资产评估机制健全性。</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3.社会公众或服务对象满意度－资产评估报告使用单位对评估报告满意度（10分）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根据满意度指标设置的评价标准，满意度目标值为≥90%，通过对资产评估报告使用单位人员的访谈以及调查，得出满意度为92%，高于目标值90%。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五、主要经验及做法、存在的问题和建议</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（一）主要经验及做法</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在项目管理方面，</w:t>
      </w:r>
      <w:r>
        <w:rPr>
          <w:rFonts w:ascii="宋体" w:hAnsi="宋体" w:eastAsia="方正仿宋简体"/>
          <w:color w:val="000000" w:themeColor="text1"/>
          <w:sz w:val="33"/>
          <w:szCs w:val="33"/>
          <w:highlight w:val="none"/>
          <w14:textFill>
            <w14:solidFill>
              <w14:schemeClr w14:val="tx1"/>
            </w14:solidFill>
          </w14:textFill>
        </w:rPr>
        <w:t>为</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有效开展划拨资产的评估工作，本部门通过委托资产评估公司进行评估的方法，有效保障了资产划拨流程的合法性。</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在项目资金使用方面，为</w:t>
      </w:r>
      <w:r>
        <w:rPr>
          <w:rFonts w:ascii="宋体" w:hAnsi="宋体" w:eastAsia="方正仿宋简体"/>
          <w:color w:val="000000" w:themeColor="text1"/>
          <w:sz w:val="33"/>
          <w:szCs w:val="33"/>
          <w:highlight w:val="none"/>
          <w14:textFill>
            <w14:solidFill>
              <w14:schemeClr w14:val="tx1"/>
            </w14:solidFill>
          </w14:textFill>
        </w:rPr>
        <w:t>合理、有效、规范使用</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w:t>
      </w:r>
      <w:r>
        <w:rPr>
          <w:rFonts w:ascii="宋体" w:hAnsi="宋体" w:eastAsia="方正仿宋简体"/>
          <w:color w:val="000000" w:themeColor="text1"/>
          <w:sz w:val="33"/>
          <w:szCs w:val="33"/>
          <w:highlight w:val="none"/>
          <w14:textFill>
            <w14:solidFill>
              <w14:schemeClr w14:val="tx1"/>
            </w14:solidFill>
          </w14:textFill>
        </w:rPr>
        <w:t>资金，本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部门选择</w:t>
      </w:r>
      <w:r>
        <w:rPr>
          <w:rFonts w:ascii="宋体" w:hAnsi="宋体" w:eastAsia="方正仿宋简体"/>
          <w:color w:val="000000" w:themeColor="text1"/>
          <w:sz w:val="33"/>
          <w:szCs w:val="33"/>
          <w:highlight w:val="none"/>
          <w14:textFill>
            <w14:solidFill>
              <w14:schemeClr w14:val="tx1"/>
            </w14:solidFill>
          </w14:textFill>
        </w:rPr>
        <w:t>专人负责，严格按照相关会计制度进行会计核算和财务处理，做到财务处理及时、会计核算规范。严把审批关，杜绝了弄虚作假、截留、挤占、挪用专项资金的情况发生。</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（二）存在的问题</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b w:val="0"/>
          <w:bCs w:val="0"/>
          <w:color w:val="000000" w:themeColor="text1"/>
          <w:sz w:val="33"/>
          <w:szCs w:val="33"/>
          <w:highlight w:val="none"/>
          <w:lang w:val="en-US" w:eastAsia="zh-CN"/>
          <w14:textFill>
            <w14:solidFill>
              <w14:schemeClr w14:val="tx1"/>
            </w14:solidFill>
          </w14:textFill>
        </w:rPr>
      </w:pPr>
      <w:r>
        <w:rPr>
          <w:rFonts w:hint="eastAsia" w:ascii="宋体" w:hAnsi="宋体" w:eastAsia="方正仿宋简体"/>
          <w:b w:val="0"/>
          <w:bCs w:val="0"/>
          <w:color w:val="000000" w:themeColor="text1"/>
          <w:sz w:val="33"/>
          <w:szCs w:val="33"/>
          <w:highlight w:val="none"/>
          <w:lang w:val="en-US" w:eastAsia="zh-CN"/>
          <w14:textFill>
            <w14:solidFill>
              <w14:schemeClr w14:val="tx1"/>
            </w14:solidFill>
          </w14:textFill>
        </w:rPr>
        <w:t>指标权重分配不合理，部分指标权重过大</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在本次项目绩效指标设置中，其中满意度指标“资产评估报告使用单位对评估报告满意度≥90%”该指标权重为20分，分配权重过大，该项目绩效指标设置中权重分配不合理。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（三）建议和改进措施</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科学合理分配指标权重</w:t>
      </w:r>
    </w:p>
    <w:p>
      <w:pPr>
        <w:pStyle w:val="2"/>
        <w:rPr>
          <w:rFonts w:hint="eastAsia" w:ascii="宋体" w:hAnsi="宋体" w:eastAsia="方正仿宋简体"/>
          <w:color w:val="000000" w:themeColor="text1"/>
          <w:sz w:val="33"/>
          <w:szCs w:val="33"/>
          <w:highlight w:val="none"/>
          <w:lang w:val="en-US" w:eastAsia="zh-CN"/>
          <w14:textFill>
            <w14:solidFill>
              <w14:schemeClr w14:val="tx1"/>
            </w14:solidFill>
          </w14:textFill>
        </w:rPr>
        <w:sectPr>
          <w:pgSz w:w="11906" w:h="16838"/>
          <w:pgMar w:top="1440" w:right="1800" w:bottom="1440" w:left="1800" w:header="851" w:footer="992" w:gutter="0"/>
          <w:pgNumType w:fmt="decimal"/>
          <w:cols w:space="0" w:num="1"/>
          <w:titlePg/>
          <w:rtlGutter w:val="0"/>
          <w:docGrid w:type="lines" w:linePitch="312" w:charSpace="0"/>
        </w:sect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建议加强预算绩效管理相关理论学习，明确关键指标和普通指标的区别，同时根据指标重要程度科学合理分配指标权重，避免出现指标之间权重差异巨大的情况，保障指标设置的科学合理性。</w:t>
      </w:r>
    </w:p>
    <w:p>
      <w:pPr>
        <w:spacing w:line="600" w:lineRule="exact"/>
        <w:jc w:val="center"/>
        <w:rPr>
          <w:rFonts w:hint="eastAsia" w:ascii="宋体" w:hAnsi="宋体" w:eastAsia="方正小标宋简体" w:cs="Times New Roman"/>
          <w:color w:val="000000"/>
          <w:spacing w:val="-12"/>
          <w:kern w:val="0"/>
          <w:sz w:val="40"/>
          <w:szCs w:val="40"/>
          <w:lang w:eastAsia="zh-CN"/>
        </w:rPr>
      </w:pPr>
      <w:r>
        <w:rPr>
          <w:rFonts w:hint="eastAsia" w:ascii="宋体" w:hAnsi="宋体" w:eastAsia="方正小标宋简体" w:cs="Times New Roman"/>
          <w:color w:val="000000"/>
          <w:spacing w:val="-12"/>
          <w:kern w:val="0"/>
          <w:sz w:val="40"/>
          <w:szCs w:val="40"/>
        </w:rPr>
        <w:t>资阳市雁江区</w:t>
      </w:r>
      <w:r>
        <w:rPr>
          <w:rFonts w:hint="eastAsia" w:ascii="宋体" w:hAnsi="宋体" w:eastAsia="方正小标宋简体" w:cs="Times New Roman"/>
          <w:color w:val="000000"/>
          <w:spacing w:val="-12"/>
          <w:kern w:val="0"/>
          <w:sz w:val="40"/>
          <w:szCs w:val="40"/>
          <w:lang w:eastAsia="zh-CN"/>
        </w:rPr>
        <w:t>财政局</w:t>
      </w:r>
    </w:p>
    <w:p>
      <w:pPr>
        <w:spacing w:line="600" w:lineRule="exact"/>
        <w:jc w:val="center"/>
        <w:rPr>
          <w:rFonts w:hint="eastAsia" w:ascii="宋体" w:hAnsi="宋体" w:eastAsia="方正小标宋简体" w:cs="Times New Roman"/>
          <w:color w:val="000000"/>
          <w:spacing w:val="-12"/>
          <w:kern w:val="0"/>
          <w:sz w:val="40"/>
          <w:szCs w:val="40"/>
        </w:rPr>
      </w:pPr>
      <w:r>
        <w:rPr>
          <w:rFonts w:hint="eastAsia" w:ascii="宋体" w:hAnsi="宋体" w:eastAsia="方正小标宋简体" w:cs="Times New Roman"/>
          <w:color w:val="000000"/>
          <w:spacing w:val="-12"/>
          <w:kern w:val="0"/>
          <w:sz w:val="40"/>
          <w:szCs w:val="40"/>
        </w:rPr>
        <w:t>202</w:t>
      </w:r>
      <w:r>
        <w:rPr>
          <w:rFonts w:hint="eastAsia" w:ascii="宋体" w:hAnsi="宋体" w:eastAsia="方正小标宋简体" w:cs="Times New Roman"/>
          <w:color w:val="000000"/>
          <w:spacing w:val="-12"/>
          <w:kern w:val="0"/>
          <w:sz w:val="40"/>
          <w:szCs w:val="40"/>
          <w:lang w:val="en-US" w:eastAsia="zh-CN"/>
        </w:rPr>
        <w:t>2</w:t>
      </w:r>
      <w:r>
        <w:rPr>
          <w:rFonts w:hint="eastAsia" w:ascii="宋体" w:hAnsi="宋体" w:eastAsia="方正小标宋简体" w:cs="Times New Roman"/>
          <w:color w:val="000000"/>
          <w:spacing w:val="-12"/>
          <w:kern w:val="0"/>
          <w:sz w:val="40"/>
          <w:szCs w:val="40"/>
        </w:rPr>
        <w:t>年雁江区</w:t>
      </w:r>
      <w:r>
        <w:rPr>
          <w:rFonts w:hint="eastAsia" w:ascii="宋体" w:hAnsi="宋体" w:eastAsia="方正小标宋简体" w:cs="Times New Roman"/>
          <w:color w:val="000000"/>
          <w:spacing w:val="-12"/>
          <w:kern w:val="0"/>
          <w:sz w:val="40"/>
          <w:szCs w:val="40"/>
          <w:lang w:eastAsia="zh-CN"/>
        </w:rPr>
        <w:t>项目</w:t>
      </w:r>
      <w:r>
        <w:rPr>
          <w:rFonts w:hint="eastAsia" w:ascii="宋体" w:hAnsi="宋体" w:eastAsia="方正小标宋简体" w:cs="Times New Roman"/>
          <w:color w:val="000000"/>
          <w:spacing w:val="-12"/>
          <w:kern w:val="0"/>
          <w:sz w:val="40"/>
          <w:szCs w:val="40"/>
        </w:rPr>
        <w:t>支出绩效自评报告</w:t>
      </w:r>
    </w:p>
    <w:p>
      <w:pPr>
        <w:spacing w:line="600" w:lineRule="exact"/>
        <w:jc w:val="center"/>
        <w:rPr>
          <w:rFonts w:hint="eastAsia" w:ascii="宋体" w:hAnsi="宋体" w:eastAsia="方正楷体简体" w:cs="Times New Roman"/>
          <w:b/>
          <w:sz w:val="32"/>
          <w:szCs w:val="32"/>
          <w:lang w:eastAsia="zh-CN"/>
        </w:rPr>
      </w:pPr>
      <w:r>
        <w:rPr>
          <w:rFonts w:hint="eastAsia" w:ascii="宋体" w:hAnsi="宋体" w:eastAsia="方正楷体简体" w:cs="Times New Roman"/>
          <w:b/>
          <w:sz w:val="32"/>
          <w:szCs w:val="32"/>
          <w:lang w:eastAsia="zh-CN"/>
        </w:rPr>
        <w:t>（网络信息化安全建设及运行维护费）</w:t>
      </w:r>
    </w:p>
    <w:p>
      <w:pPr>
        <w:spacing w:line="600" w:lineRule="exact"/>
        <w:jc w:val="center"/>
        <w:rPr>
          <w:rFonts w:hint="eastAsia" w:ascii="宋体" w:hAnsi="宋体" w:eastAsia="方正楷体_GBK" w:cs="方正楷体_GBK"/>
          <w:b/>
          <w:bCs w:val="0"/>
          <w:sz w:val="32"/>
          <w:szCs w:val="32"/>
        </w:rPr>
      </w:pPr>
    </w:p>
    <w:p>
      <w:pPr>
        <w:spacing w:line="280" w:lineRule="exact"/>
        <w:jc w:val="center"/>
        <w:rPr>
          <w:rFonts w:hint="eastAsia" w:ascii="宋体" w:hAnsi="宋体" w:eastAsia="方正仿宋简体"/>
          <w:b/>
          <w:sz w:val="32"/>
          <w:szCs w:val="32"/>
        </w:rPr>
      </w:pP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一、项目基本情况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（一）概况</w:t>
      </w:r>
    </w:p>
    <w:p>
      <w:pPr>
        <w:pStyle w:val="2"/>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1．立项背景及目的</w:t>
      </w:r>
    </w:p>
    <w:p>
      <w:pPr>
        <w:spacing w:line="600" w:lineRule="exact"/>
        <w:ind w:firstLine="641"/>
        <w:jc w:val="left"/>
        <w:rPr>
          <w:rFonts w:hint="default"/>
          <w:lang w:val="en-US" w:eastAsia="zh-CN"/>
        </w:rPr>
      </w:pPr>
      <w:r>
        <w:rPr>
          <w:rFonts w:hint="eastAsia" w:ascii="宋体" w:hAnsi="宋体" w:eastAsia="方正仿宋简体" w:cs="宋体"/>
          <w:color w:val="000000" w:themeColor="text1"/>
          <w:sz w:val="33"/>
          <w:szCs w:val="33"/>
          <w14:textFill>
            <w14:solidFill>
              <w14:schemeClr w14:val="tx1"/>
            </w14:solidFill>
          </w14:textFill>
        </w:rPr>
        <w:t>党的十九大和十九届四中全会对运用互联网技术和信息化手段开展工作提出了明确要求</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互联网与信息化成为推进治理体系和治理能力现代化的重要途径。</w:t>
      </w:r>
      <w:r>
        <w:rPr>
          <w:rFonts w:hint="eastAsia" w:ascii="宋体" w:hAnsi="宋体" w:eastAsia="方正仿宋简体" w:cs="宋体"/>
          <w:color w:val="000000" w:themeColor="text1"/>
          <w:sz w:val="33"/>
          <w:szCs w:val="33"/>
          <w:lang w:val="en-US" w:eastAsia="zh-CN"/>
          <w14:textFill>
            <w14:solidFill>
              <w14:schemeClr w14:val="tx1"/>
            </w14:solidFill>
          </w14:textFill>
        </w:rPr>
        <w:t>而</w:t>
      </w:r>
      <w:r>
        <w:rPr>
          <w:rFonts w:hint="eastAsia" w:ascii="宋体" w:hAnsi="宋体" w:eastAsia="方正仿宋简体" w:cs="宋体"/>
          <w:color w:val="000000" w:themeColor="text1"/>
          <w:sz w:val="33"/>
          <w:szCs w:val="33"/>
          <w14:textFill>
            <w14:solidFill>
              <w14:schemeClr w14:val="tx1"/>
            </w14:solidFill>
          </w14:textFill>
        </w:rPr>
        <w:t>资阳市雁江区财政局</w:t>
      </w:r>
      <w:r>
        <w:rPr>
          <w:rFonts w:hint="eastAsia" w:ascii="宋体" w:hAnsi="宋体" w:eastAsia="方正仿宋简体" w:cs="宋体"/>
          <w:color w:val="000000" w:themeColor="text1"/>
          <w:sz w:val="33"/>
          <w:szCs w:val="33"/>
          <w:lang w:val="en-US" w:eastAsia="zh-CN"/>
          <w14:textFill>
            <w14:solidFill>
              <w14:schemeClr w14:val="tx1"/>
            </w14:solidFill>
          </w14:textFill>
        </w:rPr>
        <w:t>作为</w:t>
      </w:r>
      <w:r>
        <w:rPr>
          <w:rFonts w:hint="eastAsia" w:ascii="宋体" w:hAnsi="宋体" w:eastAsia="方正仿宋简体" w:cs="宋体"/>
          <w:color w:val="000000" w:themeColor="text1"/>
          <w:sz w:val="33"/>
          <w:szCs w:val="33"/>
          <w14:textFill>
            <w14:solidFill>
              <w14:schemeClr w14:val="tx1"/>
            </w14:solidFill>
          </w14:textFill>
        </w:rPr>
        <w:t>资阳市雁江区人民政府工作部门</w:t>
      </w:r>
      <w:r>
        <w:rPr>
          <w:rFonts w:hint="eastAsia" w:ascii="宋体" w:hAnsi="宋体" w:eastAsia="方正仿宋简体" w:cs="宋体"/>
          <w:color w:val="000000" w:themeColor="text1"/>
          <w:sz w:val="33"/>
          <w:szCs w:val="33"/>
          <w:lang w:eastAsia="zh-CN"/>
          <w14:textFill>
            <w14:solidFill>
              <w14:schemeClr w14:val="tx1"/>
            </w14:solidFill>
          </w14:textFill>
        </w:rPr>
        <w:t>，</w:t>
      </w:r>
      <w:r>
        <w:rPr>
          <w:rFonts w:hint="eastAsia" w:ascii="宋体" w:hAnsi="宋体" w:eastAsia="方正仿宋简体" w:cs="宋体"/>
          <w:color w:val="000000" w:themeColor="text1"/>
          <w:sz w:val="33"/>
          <w:szCs w:val="33"/>
          <w14:textFill>
            <w14:solidFill>
              <w14:schemeClr w14:val="tx1"/>
            </w14:solidFill>
          </w14:textFill>
        </w:rPr>
        <w:t>认真贯彻落实党中央、四川省党委和市委关于财经工作的方针政策和决策部署，以信息化建设助推财政各项改革和管理创新，先后开发实施了办公自动化系统、政府采购监督管理系统、财政一体化系统（包括部门预算、指标管理、国库支付、公务卡、支付电子化、动态监控、总账等子系统）等财政应用系统，不仅提高了工作效率，促进了财政管理科学化和规范化，而且强化了对财政资金运行的监督管理。</w:t>
      </w:r>
      <w:r>
        <w:rPr>
          <w:rFonts w:hint="eastAsia" w:ascii="宋体" w:hAnsi="宋体" w:eastAsia="方正仿宋简体" w:cs="宋体"/>
          <w:color w:val="000000" w:themeColor="text1"/>
          <w:sz w:val="33"/>
          <w:szCs w:val="33"/>
          <w:lang w:val="en-US" w:eastAsia="zh-CN"/>
          <w14:textFill>
            <w14:solidFill>
              <w14:schemeClr w14:val="tx1"/>
            </w14:solidFill>
          </w14:textFill>
        </w:rPr>
        <w:t>为了保证全区财务系统使用正常，账务处理信息安全以及网络运行维护安全保密等，特提出网络信息化安全建设及运行维护费项目。</w:t>
      </w:r>
    </w:p>
    <w:p>
      <w:pPr>
        <w:pStyle w:val="2"/>
        <w:numPr>
          <w:ilvl w:val="0"/>
          <w:numId w:val="11"/>
        </w:numPr>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预算资金来源及使用情况</w:t>
      </w:r>
    </w:p>
    <w:p>
      <w:pPr>
        <w:spacing w:line="600" w:lineRule="exact"/>
        <w:ind w:firstLine="660" w:firstLineChars="200"/>
        <w:rPr>
          <w:rFonts w:ascii="宋体" w:hAnsi="宋体" w:eastAsia="方正仿宋简体" w:cs="宋体"/>
          <w:color w:val="000000" w:themeColor="text1"/>
          <w:sz w:val="33"/>
          <w:szCs w:val="33"/>
          <w14:textFill>
            <w14:solidFill>
              <w14:schemeClr w14:val="tx1"/>
            </w14:solidFill>
          </w14:textFill>
        </w:rPr>
      </w:pPr>
      <w:r>
        <w:rPr>
          <w:rFonts w:hint="eastAsia" w:ascii="宋体" w:hAnsi="宋体" w:eastAsia="方正仿宋简体" w:cs="宋体"/>
          <w:color w:val="000000" w:themeColor="text1"/>
          <w:sz w:val="33"/>
          <w:szCs w:val="33"/>
          <w14:textFill>
            <w14:solidFill>
              <w14:schemeClr w14:val="tx1"/>
            </w14:solidFill>
          </w14:textFill>
        </w:rPr>
        <w:t>项目资金用于</w:t>
      </w:r>
      <w:r>
        <w:rPr>
          <w:rFonts w:hint="eastAsia" w:ascii="宋体" w:hAnsi="宋体" w:eastAsia="方正仿宋简体" w:cs="宋体"/>
          <w:color w:val="000000" w:themeColor="text1"/>
          <w:sz w:val="33"/>
          <w:szCs w:val="33"/>
          <w:lang w:val="en-US" w:eastAsia="zh-CN"/>
          <w14:textFill>
            <w14:solidFill>
              <w14:schemeClr w14:val="tx1"/>
            </w14:solidFill>
          </w14:textFill>
        </w:rPr>
        <w:t>支付各项财务软件、平台租赁经费和机房设施的运行维护费等，涵盖雁江区行政事业单位使用的相关支付、财务、财报、政府采购等软件，用于保障“省金财工程大平台”正常运行，雁江区行政事业单位资金保障、支付安全；用于保障全区财务系统使用正常，账务处理信息安全等</w:t>
      </w:r>
      <w:r>
        <w:rPr>
          <w:rFonts w:hint="eastAsia" w:ascii="宋体" w:hAnsi="宋体" w:eastAsia="方正仿宋简体" w:cs="宋体"/>
          <w:color w:val="000000" w:themeColor="text1"/>
          <w:sz w:val="33"/>
          <w:szCs w:val="33"/>
          <w14:textFill>
            <w14:solidFill>
              <w14:schemeClr w14:val="tx1"/>
            </w14:solidFill>
          </w14:textFill>
        </w:rPr>
        <w:t>。</w:t>
      </w:r>
    </w:p>
    <w:p>
      <w:pPr>
        <w:spacing w:line="600" w:lineRule="exact"/>
        <w:ind w:firstLine="641"/>
        <w:jc w:val="left"/>
        <w:rPr>
          <w:rFonts w:ascii="宋体" w:hAnsi="宋体" w:eastAsia="方正仿宋简体" w:cs="宋体"/>
          <w:color w:val="auto"/>
          <w:sz w:val="33"/>
          <w:szCs w:val="33"/>
        </w:rPr>
      </w:pPr>
      <w:r>
        <w:rPr>
          <w:rFonts w:hint="eastAsia" w:ascii="宋体" w:hAnsi="宋体" w:eastAsia="方正仿宋简体" w:cs="宋体"/>
          <w:color w:val="auto"/>
          <w:sz w:val="33"/>
          <w:szCs w:val="33"/>
          <w:lang w:val="en-US" w:eastAsia="zh-CN"/>
        </w:rPr>
        <w:t>2022年，</w:t>
      </w:r>
      <w:r>
        <w:rPr>
          <w:rFonts w:hint="eastAsia" w:ascii="宋体" w:hAnsi="宋体" w:eastAsia="方正仿宋简体" w:cs="宋体"/>
          <w:color w:val="auto"/>
          <w:sz w:val="33"/>
          <w:szCs w:val="33"/>
        </w:rPr>
        <w:t>本项目</w:t>
      </w:r>
      <w:r>
        <w:rPr>
          <w:rFonts w:hint="eastAsia" w:ascii="宋体" w:hAnsi="宋体" w:eastAsia="方正仿宋简体" w:cs="宋体"/>
          <w:color w:val="auto"/>
          <w:sz w:val="33"/>
          <w:szCs w:val="33"/>
          <w:lang w:val="en-US" w:eastAsia="zh-CN"/>
        </w:rPr>
        <w:t>年初</w:t>
      </w:r>
      <w:r>
        <w:rPr>
          <w:rFonts w:hint="eastAsia" w:ascii="宋体" w:hAnsi="宋体" w:eastAsia="方正仿宋简体" w:cs="宋体"/>
          <w:color w:val="auto"/>
          <w:sz w:val="33"/>
          <w:szCs w:val="33"/>
        </w:rPr>
        <w:t>预算</w:t>
      </w:r>
      <w:r>
        <w:rPr>
          <w:rFonts w:hint="eastAsia" w:ascii="宋体" w:hAnsi="宋体" w:eastAsia="方正仿宋简体" w:cs="宋体"/>
          <w:color w:val="auto"/>
          <w:sz w:val="33"/>
          <w:szCs w:val="33"/>
          <w:lang w:val="en-US" w:eastAsia="zh-CN"/>
        </w:rPr>
        <w:t>237</w:t>
      </w:r>
      <w:r>
        <w:rPr>
          <w:rFonts w:hint="eastAsia" w:ascii="宋体" w:hAnsi="宋体" w:eastAsia="方正仿宋简体" w:cs="宋体"/>
          <w:color w:val="auto"/>
          <w:sz w:val="33"/>
          <w:szCs w:val="33"/>
        </w:rPr>
        <w:t>万元，</w:t>
      </w:r>
      <w:r>
        <w:rPr>
          <w:rFonts w:hint="eastAsia" w:ascii="宋体" w:hAnsi="宋体" w:eastAsia="方正仿宋简体" w:cs="宋体"/>
          <w:color w:val="auto"/>
          <w:sz w:val="33"/>
          <w:szCs w:val="33"/>
          <w:lang w:eastAsia="zh-CN"/>
        </w:rPr>
        <w:t>调整预算数为</w:t>
      </w:r>
      <w:r>
        <w:rPr>
          <w:rFonts w:hint="eastAsia" w:ascii="宋体" w:hAnsi="宋体" w:eastAsia="方正仿宋简体" w:cs="宋体"/>
          <w:color w:val="auto"/>
          <w:sz w:val="33"/>
          <w:szCs w:val="33"/>
          <w:lang w:val="en-US" w:eastAsia="zh-CN"/>
        </w:rPr>
        <w:t>235.14万，截至2022年12月31日，本项目预算执行数为230.14万，预算执行率为97.87%，</w:t>
      </w:r>
      <w:r>
        <w:rPr>
          <w:rFonts w:hint="eastAsia" w:ascii="宋体" w:hAnsi="宋体" w:eastAsia="方正仿宋简体" w:cs="宋体"/>
          <w:color w:val="auto"/>
          <w:sz w:val="33"/>
          <w:szCs w:val="33"/>
        </w:rPr>
        <w:t>全部为一般公共预算拨款。</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实施情况（项目完成情况）</w:t>
      </w:r>
    </w:p>
    <w:p>
      <w:pPr>
        <w:spacing w:line="600" w:lineRule="exact"/>
        <w:ind w:firstLine="660" w:firstLineChars="200"/>
        <w:rPr>
          <w:rFonts w:hint="eastAsia"/>
          <w:lang w:val="en-US" w:eastAsia="zh-CN"/>
        </w:rPr>
      </w:pPr>
      <w:r>
        <w:rPr>
          <w:rFonts w:hint="eastAsia" w:ascii="宋体" w:hAnsi="宋体" w:eastAsia="方正仿宋简体" w:cs="宋体"/>
          <w:color w:val="auto"/>
          <w:sz w:val="33"/>
          <w:szCs w:val="33"/>
        </w:rPr>
        <w:t>根据年度预算安排及实际工作需要，本项目的实际使用情况如下：政府综合财务报告编制</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省金财工程大平台网络租赁</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省金财工程大平台机房设备维护</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用友公司相关财务系统（预算绩效、部门预算编审、基础信息库、滚动项目库）</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采购监督执行系统租赁</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行政事业单位资产管理系统服务</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全口径债务信息收集系统</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A++综合财务平台运行维护</w:t>
      </w:r>
      <w:r>
        <w:rPr>
          <w:rFonts w:hint="eastAsia" w:ascii="宋体" w:hAnsi="宋体" w:eastAsia="方正仿宋简体" w:cs="宋体"/>
          <w:color w:val="auto"/>
          <w:sz w:val="33"/>
          <w:szCs w:val="33"/>
          <w:lang w:val="en-US" w:eastAsia="zh-CN"/>
        </w:rPr>
        <w:t>以及</w:t>
      </w:r>
      <w:r>
        <w:rPr>
          <w:rFonts w:hint="eastAsia" w:ascii="宋体" w:hAnsi="宋体" w:eastAsia="方正仿宋简体" w:cs="宋体"/>
          <w:color w:val="auto"/>
          <w:sz w:val="33"/>
          <w:szCs w:val="33"/>
        </w:rPr>
        <w:t>E财部门预算软件升级及维护</w:t>
      </w:r>
      <w:r>
        <w:rPr>
          <w:rFonts w:hint="eastAsia" w:ascii="宋体" w:hAnsi="宋体" w:eastAsia="方正仿宋简体" w:cs="宋体"/>
          <w:color w:val="auto"/>
          <w:sz w:val="33"/>
          <w:szCs w:val="33"/>
          <w:lang w:val="en-US" w:eastAsia="zh-CN"/>
        </w:rPr>
        <w:t>等，用于</w:t>
      </w:r>
      <w:r>
        <w:rPr>
          <w:rFonts w:hint="eastAsia" w:ascii="宋体" w:hAnsi="宋体" w:eastAsia="方正仿宋简体" w:cs="宋体"/>
          <w:color w:val="auto"/>
          <w:sz w:val="33"/>
          <w:szCs w:val="33"/>
        </w:rPr>
        <w:t>保障雁江区行政事业单位资金保障、支付安全</w:t>
      </w:r>
      <w:r>
        <w:rPr>
          <w:rFonts w:hint="eastAsia" w:ascii="宋体" w:hAnsi="宋体" w:eastAsia="方正仿宋简体" w:cs="宋体"/>
          <w:color w:val="auto"/>
          <w:sz w:val="33"/>
          <w:szCs w:val="33"/>
          <w:lang w:eastAsia="zh-CN"/>
        </w:rPr>
        <w:t>，</w:t>
      </w:r>
      <w:r>
        <w:rPr>
          <w:rFonts w:hint="eastAsia" w:ascii="宋体" w:hAnsi="宋体" w:eastAsia="方正仿宋简体" w:cs="宋体"/>
          <w:color w:val="auto"/>
          <w:sz w:val="33"/>
          <w:szCs w:val="33"/>
        </w:rPr>
        <w:t>确保各有关单位对财政业务系统的访问线路稳定畅通</w:t>
      </w:r>
      <w:r>
        <w:rPr>
          <w:rFonts w:hint="eastAsia" w:ascii="宋体" w:hAnsi="宋体" w:eastAsia="方正仿宋简体" w:cs="宋体"/>
          <w:color w:val="auto"/>
          <w:sz w:val="33"/>
          <w:szCs w:val="33"/>
          <w:lang w:eastAsia="zh-CN"/>
        </w:rPr>
        <w:t>，保障全区财务系统使用正常，账务处理信息安全，</w:t>
      </w:r>
      <w:r>
        <w:rPr>
          <w:rFonts w:hint="eastAsia" w:ascii="宋体" w:hAnsi="宋体" w:eastAsia="方正仿宋简体" w:cs="宋体"/>
          <w:color w:val="auto"/>
          <w:sz w:val="33"/>
          <w:szCs w:val="33"/>
          <w:lang w:val="en-US" w:eastAsia="zh-CN"/>
        </w:rPr>
        <w:t>2022年度项目总体实施情况良好</w:t>
      </w:r>
      <w:r>
        <w:rPr>
          <w:rFonts w:hint="eastAsia" w:ascii="宋体" w:hAnsi="宋体" w:eastAsia="方正仿宋简体" w:cs="宋体"/>
          <w:color w:val="auto"/>
          <w:sz w:val="33"/>
          <w:szCs w:val="33"/>
        </w:rPr>
        <w:t>。</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组织及管理（项目组织、管理流程及实际执行情况）</w:t>
      </w:r>
    </w:p>
    <w:p>
      <w:pPr>
        <w:spacing w:line="600" w:lineRule="exact"/>
        <w:ind w:firstLine="641"/>
        <w:jc w:val="left"/>
        <w:rPr>
          <w:rFonts w:hint="eastAsia" w:ascii="宋体" w:hAnsi="宋体" w:eastAsia="方正仿宋简体" w:cs="宋体"/>
          <w:color w:val="auto"/>
          <w:sz w:val="33"/>
          <w:szCs w:val="33"/>
        </w:rPr>
      </w:pPr>
      <w:r>
        <w:rPr>
          <w:rFonts w:hint="eastAsia" w:ascii="宋体" w:hAnsi="宋体" w:eastAsia="方正仿宋简体" w:cs="宋体"/>
          <w:color w:val="auto"/>
          <w:sz w:val="33"/>
          <w:szCs w:val="33"/>
        </w:rPr>
        <w:t>本项目按年初预算资金安排，根据工作实际，按照政府采购有关规定，履行采购程序，签订采购合同，按照合同约定进行资金拨付。</w:t>
      </w:r>
      <w:r>
        <w:rPr>
          <w:rFonts w:hint="eastAsia" w:ascii="宋体" w:hAnsi="宋体" w:eastAsia="方正仿宋简体" w:cs="宋体"/>
          <w:color w:val="auto"/>
          <w:sz w:val="33"/>
          <w:szCs w:val="33"/>
          <w:lang w:val="en-US" w:eastAsia="zh-CN"/>
        </w:rPr>
        <w:t>2022年度，</w:t>
      </w:r>
      <w:r>
        <w:rPr>
          <w:rFonts w:hint="eastAsia" w:ascii="宋体" w:hAnsi="宋体" w:eastAsia="方正仿宋简体" w:cs="宋体"/>
          <w:color w:val="auto"/>
          <w:sz w:val="33"/>
          <w:szCs w:val="33"/>
        </w:rPr>
        <w:t>本项目资金实际支出</w:t>
      </w:r>
      <w:r>
        <w:rPr>
          <w:rFonts w:hint="eastAsia" w:ascii="宋体" w:hAnsi="宋体" w:eastAsia="方正仿宋简体" w:cs="宋体"/>
          <w:color w:val="auto"/>
          <w:sz w:val="33"/>
          <w:szCs w:val="33"/>
          <w:lang w:val="en-US" w:eastAsia="zh-CN"/>
        </w:rPr>
        <w:t>230.14</w:t>
      </w:r>
      <w:r>
        <w:rPr>
          <w:rFonts w:hint="eastAsia" w:ascii="宋体" w:hAnsi="宋体" w:eastAsia="方正仿宋简体" w:cs="宋体"/>
          <w:color w:val="auto"/>
          <w:sz w:val="33"/>
          <w:szCs w:val="33"/>
        </w:rPr>
        <w:t>万元。</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（1）项目组织情况，局办公室为项目主要负责股室，负责牵头实施本项目；</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（2）项目管理情况，项目管理主体为局办公室，负责监督、考核并组织验收工作；项目实施主体为委托的第三方公司，负责具体实施工作，包括财务报告编制、机房设备维护、财务平台运行维护等。</w:t>
      </w:r>
    </w:p>
    <w:p>
      <w:pPr>
        <w:pStyle w:val="7"/>
        <w:rPr>
          <w:rFonts w:hint="eastAsia"/>
          <w:color w:val="auto"/>
          <w:lang w:val="en-US" w:eastAsia="zh-CN"/>
        </w:rPr>
      </w:pPr>
      <w:r>
        <w:rPr>
          <w:rFonts w:hint="eastAsia" w:ascii="宋体" w:hAnsi="宋体" w:eastAsia="方正仿宋简体" w:cs="宋体"/>
          <w:color w:val="auto"/>
          <w:kern w:val="2"/>
          <w:sz w:val="33"/>
          <w:szCs w:val="33"/>
          <w:lang w:val="en-US" w:eastAsia="zh-CN" w:bidi="ar-SA"/>
        </w:rPr>
        <w:t>（3）项目执行情况，局办公室按照政府采购程序或单位内控管理制度，确定项目实施主体并签订相关合同；实施主体按照合同约定，完成履约；局办公室根据合同对项目开展相关监督检查工作等。</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（二）绩效目标</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绩效总体目标：</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根据财政局职能需求，</w:t>
      </w:r>
      <w:r>
        <w:rPr>
          <w:rFonts w:hint="eastAsia" w:ascii="宋体" w:hAnsi="宋体" w:eastAsia="方正仿宋简体" w:cs="宋体"/>
          <w:color w:val="000000" w:themeColor="text1"/>
          <w:sz w:val="33"/>
          <w:szCs w:val="33"/>
          <w:highlight w:val="none"/>
          <w:lang w:eastAsia="zh-CN"/>
          <w14:textFill>
            <w14:solidFill>
              <w14:schemeClr w14:val="tx1"/>
            </w14:solidFill>
          </w14:textFill>
        </w:rPr>
        <w:t>满足全区大平台网络等使用需求，</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满足雁江区行政事业单位使用的相关支付、财务、财报、政府采购等软件的正常使用，确保各项</w:t>
      </w:r>
      <w:r>
        <w:rPr>
          <w:rFonts w:hint="eastAsia" w:ascii="宋体" w:hAnsi="宋体" w:eastAsia="方正仿宋简体" w:cs="宋体"/>
          <w:color w:val="000000" w:themeColor="text1"/>
          <w:sz w:val="33"/>
          <w:szCs w:val="33"/>
          <w14:textFill>
            <w14:solidFill>
              <w14:schemeClr w14:val="tx1"/>
            </w14:solidFill>
          </w14:textFill>
        </w:rPr>
        <w:t>财政应用系统</w:t>
      </w:r>
      <w:r>
        <w:rPr>
          <w:rFonts w:hint="eastAsia" w:ascii="宋体" w:hAnsi="宋体" w:eastAsia="方正仿宋简体" w:cs="宋体"/>
          <w:color w:val="000000" w:themeColor="text1"/>
          <w:sz w:val="33"/>
          <w:szCs w:val="33"/>
          <w:lang w:val="en-US" w:eastAsia="zh-CN"/>
          <w14:textFill>
            <w14:solidFill>
              <w14:schemeClr w14:val="tx1"/>
            </w14:solidFill>
          </w14:textFill>
        </w:rPr>
        <w:t>正常运行</w:t>
      </w:r>
      <w:r>
        <w:rPr>
          <w:rFonts w:hint="eastAsia" w:ascii="宋体" w:hAnsi="宋体" w:eastAsia="方正仿宋简体" w:cs="宋体"/>
          <w:color w:val="000000" w:themeColor="text1"/>
          <w:sz w:val="33"/>
          <w:szCs w:val="33"/>
          <w:highlight w:val="none"/>
          <w:lang w:eastAsia="zh-CN"/>
          <w14:textFill>
            <w14:solidFill>
              <w14:schemeClr w14:val="tx1"/>
            </w14:solidFill>
          </w14:textFill>
        </w:rPr>
        <w:t>。</w:t>
      </w:r>
    </w:p>
    <w:p>
      <w:pPr>
        <w:spacing w:line="600" w:lineRule="exact"/>
        <w:ind w:firstLine="627"/>
        <w:rPr>
          <w:rFonts w:hint="eastAsia" w:ascii="宋体" w:hAnsi="宋体" w:eastAsia="方正仿宋简体" w:cs="宋体"/>
          <w:color w:val="000000" w:themeColor="text1"/>
          <w:sz w:val="33"/>
          <w:szCs w:val="33"/>
          <w:highlight w:val="none"/>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具体绩效目标：</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1.保障“省金财工程大平台”正常运行，雁江区行政事业单位资金保障、支付安全。</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2.及时提交雁江区政府综合财务报告。</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3.保障全区财务系统使用正常，账务处理信息安全。</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4.保证网络运行维护安全保密。</w:t>
      </w:r>
    </w:p>
    <w:p>
      <w:pPr>
        <w:spacing w:line="600" w:lineRule="exact"/>
        <w:ind w:firstLine="627"/>
        <w:rPr>
          <w:rFonts w:hint="eastAsia" w:ascii="宋体" w:hAnsi="宋体" w:eastAsia="方正仿宋简体" w:cs="宋体"/>
          <w:color w:val="000000" w:themeColor="text1"/>
          <w:sz w:val="33"/>
          <w:szCs w:val="33"/>
          <w:highlight w:val="yellow"/>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5.其他省市安排使用软件正常运行。</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二、绩效自评工作情况</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（一）自评工作组织领导</w:t>
      </w:r>
    </w:p>
    <w:p>
      <w:pPr>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eastAsia="方正仿宋简体"/>
          <w:lang w:val="en-US" w:eastAsia="zh-CN"/>
        </w:rPr>
      </w:pPr>
      <w:r>
        <w:rPr>
          <w:rFonts w:hint="eastAsia" w:ascii="宋体" w:hAnsi="宋体" w:eastAsia="方正仿宋简体"/>
          <w:color w:val="000000" w:themeColor="text1"/>
          <w:sz w:val="33"/>
          <w:szCs w:val="33"/>
          <w:lang w:val="en-US" w:eastAsia="zh-CN"/>
          <w14:textFill>
            <w14:solidFill>
              <w14:schemeClr w14:val="tx1"/>
            </w14:solidFill>
          </w14:textFill>
        </w:rPr>
        <w:t>在组织领导方面，本部门</w:t>
      </w:r>
      <w:r>
        <w:rPr>
          <w:rFonts w:hint="eastAsia" w:ascii="宋体" w:hAnsi="宋体" w:eastAsia="方正仿宋简体"/>
          <w:color w:val="000000" w:themeColor="text1"/>
          <w:sz w:val="33"/>
          <w:szCs w:val="33"/>
          <w14:textFill>
            <w14:solidFill>
              <w14:schemeClr w14:val="tx1"/>
            </w14:solidFill>
          </w14:textFill>
        </w:rPr>
        <w:t>自评工作以</w:t>
      </w:r>
      <w:r>
        <w:rPr>
          <w:rFonts w:hint="eastAsia" w:ascii="宋体" w:hAnsi="宋体" w:eastAsia="方正仿宋简体"/>
          <w:color w:val="000000" w:themeColor="text1"/>
          <w:sz w:val="33"/>
          <w:szCs w:val="33"/>
          <w:lang w:eastAsia="zh-CN"/>
          <w14:textFill>
            <w14:solidFill>
              <w14:schemeClr w14:val="tx1"/>
            </w14:solidFill>
          </w14:textFill>
        </w:rPr>
        <w:t>财政局局长</w:t>
      </w:r>
      <w:r>
        <w:rPr>
          <w:rFonts w:hint="eastAsia" w:ascii="宋体" w:hAnsi="宋体" w:eastAsia="方正仿宋简体"/>
          <w:color w:val="000000" w:themeColor="text1"/>
          <w:sz w:val="33"/>
          <w:szCs w:val="33"/>
          <w14:textFill>
            <w14:solidFill>
              <w14:schemeClr w14:val="tx1"/>
            </w14:solidFill>
          </w14:textFill>
        </w:rPr>
        <w:t>为组长，分管财务领导为副组长，财务部门为成员进行自评工作的开展</w:t>
      </w:r>
      <w:r>
        <w:rPr>
          <w:rFonts w:hint="eastAsia" w:ascii="宋体" w:hAnsi="宋体" w:eastAsia="方正仿宋简体"/>
          <w:color w:val="000000" w:themeColor="text1"/>
          <w:sz w:val="33"/>
          <w:szCs w:val="33"/>
          <w:lang w:eastAsia="zh-CN"/>
          <w14:textFill>
            <w14:solidFill>
              <w14:schemeClr w14:val="tx1"/>
            </w14:solidFill>
          </w14:textFill>
        </w:rPr>
        <w:t>，本着客观、真实、准确的原则</w:t>
      </w:r>
      <w:r>
        <w:rPr>
          <w:rFonts w:hint="eastAsia" w:ascii="宋体" w:hAnsi="宋体" w:eastAsia="方正仿宋简体"/>
          <w:color w:val="000000" w:themeColor="text1"/>
          <w:sz w:val="33"/>
          <w:szCs w:val="33"/>
          <w:lang w:val="en-US" w:eastAsia="zh-CN"/>
          <w14:textFill>
            <w14:solidFill>
              <w14:schemeClr w14:val="tx1"/>
            </w14:solidFill>
          </w14:textFill>
        </w:rPr>
        <w:t>进行网络信息化安全建设及运行维护费项目的自评工作</w:t>
      </w:r>
      <w:r>
        <w:rPr>
          <w:rFonts w:hint="eastAsia" w:ascii="宋体" w:hAnsi="宋体" w:eastAsia="方正仿宋简体"/>
          <w:color w:val="000000" w:themeColor="text1"/>
          <w:sz w:val="33"/>
          <w:szCs w:val="33"/>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（二）自评方式、方法、重点等</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简体" w:cs="Times New Roman"/>
          <w:b/>
          <w:bCs w:val="0"/>
          <w:kern w:val="2"/>
          <w:sz w:val="33"/>
          <w:szCs w:val="33"/>
          <w:lang w:val="en-US" w:eastAsia="zh-CN" w:bidi="ar-SA"/>
        </w:rPr>
      </w:pPr>
      <w:r>
        <w:rPr>
          <w:rFonts w:hint="eastAsia" w:ascii="宋体" w:hAnsi="宋体" w:eastAsia="方正仿宋简体" w:cs="Times New Roman"/>
          <w:b/>
          <w:bCs w:val="0"/>
          <w:kern w:val="2"/>
          <w:sz w:val="33"/>
          <w:szCs w:val="33"/>
          <w:lang w:val="en-US" w:eastAsia="zh-CN" w:bidi="ar-SA"/>
        </w:rPr>
        <w:t>1.绩效评价标准及方法</w:t>
      </w:r>
    </w:p>
    <w:p>
      <w:pPr>
        <w:pStyle w:val="2"/>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s="宋体"/>
          <w:color w:val="000000" w:themeColor="text1"/>
          <w:kern w:val="0"/>
          <w:sz w:val="33"/>
          <w:szCs w:val="33"/>
          <w:lang w:val="en-US" w:eastAsia="zh-CN"/>
          <w14:textFill>
            <w14:solidFill>
              <w14:schemeClr w14:val="tx1"/>
            </w14:solidFill>
          </w14:textFill>
        </w:rPr>
      </w:pPr>
      <w:r>
        <w:rPr>
          <w:rFonts w:hint="eastAsia" w:ascii="宋体" w:hAnsi="宋体" w:eastAsia="方正仿宋简体" w:cs="宋体"/>
          <w:color w:val="000000" w:themeColor="text1"/>
          <w:kern w:val="0"/>
          <w:sz w:val="33"/>
          <w:szCs w:val="33"/>
          <w14:textFill>
            <w14:solidFill>
              <w14:schemeClr w14:val="tx1"/>
            </w14:solidFill>
          </w14:textFill>
        </w:rPr>
        <w:t>绩效管理股等业务</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股</w:t>
      </w:r>
      <w:r>
        <w:rPr>
          <w:rFonts w:hint="eastAsia" w:ascii="宋体" w:hAnsi="宋体" w:eastAsia="方正仿宋简体" w:cs="宋体"/>
          <w:color w:val="000000" w:themeColor="text1"/>
          <w:kern w:val="0"/>
          <w:sz w:val="33"/>
          <w:szCs w:val="33"/>
          <w14:textFill>
            <w14:solidFill>
              <w14:schemeClr w14:val="tx1"/>
            </w14:solidFill>
          </w14:textFill>
        </w:rPr>
        <w:t>室收集资料，掌握项目立项决策、项目资金落实、项目实施管理、财务管理全过程（文献法）；收集项目完成情况与年初绩效目标（计划标准、行业标准）开展对比分（比较法）；并通过发放问卷，对</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财政局内部员工</w:t>
      </w:r>
      <w:r>
        <w:rPr>
          <w:rFonts w:hint="eastAsia" w:ascii="宋体" w:hAnsi="宋体" w:eastAsia="方正仿宋简体" w:cs="宋体"/>
          <w:color w:val="000000" w:themeColor="text1"/>
          <w:kern w:val="0"/>
          <w:sz w:val="33"/>
          <w:szCs w:val="33"/>
          <w14:textFill>
            <w14:solidFill>
              <w14:schemeClr w14:val="tx1"/>
            </w14:solidFill>
          </w14:textFill>
        </w:rPr>
        <w:t>开展满意度问卷调查（社会调查法）。对项目绩效差异通过因素分析，分析内、外部因素，并提出改进措施及建议（因素分析法）。</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具体4个步骤如下：</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0"/>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1</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组建绩效评价工作小组，讨论形成工作思路；</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2</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对资料进行审查核实</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olor w:val="000000" w:themeColor="text1"/>
          <w:sz w:val="33"/>
          <w:szCs w:val="33"/>
          <w14:textFill>
            <w14:solidFill>
              <w14:schemeClr w14:val="tx1"/>
            </w14:solidFill>
          </w14:textFill>
        </w:rPr>
        <w:t>采用对比法，认真核对20</w:t>
      </w:r>
      <w:r>
        <w:rPr>
          <w:rFonts w:hint="eastAsia" w:ascii="宋体" w:hAnsi="宋体" w:eastAsia="方正仿宋简体"/>
          <w:color w:val="000000" w:themeColor="text1"/>
          <w:sz w:val="33"/>
          <w:szCs w:val="33"/>
          <w:lang w:eastAsia="zh-CN"/>
          <w14:textFill>
            <w14:solidFill>
              <w14:schemeClr w14:val="tx1"/>
            </w14:solidFill>
          </w14:textFill>
        </w:rPr>
        <w:t>2</w:t>
      </w:r>
      <w:r>
        <w:rPr>
          <w:rFonts w:hint="eastAsia" w:ascii="宋体" w:hAnsi="宋体" w:eastAsia="方正仿宋简体"/>
          <w:color w:val="000000" w:themeColor="text1"/>
          <w:sz w:val="33"/>
          <w:szCs w:val="33"/>
          <w:lang w:val="en-US" w:eastAsia="zh-CN"/>
          <w14:textFill>
            <w14:solidFill>
              <w14:schemeClr w14:val="tx1"/>
            </w14:solidFill>
          </w14:textFill>
        </w:rPr>
        <w:t>2</w:t>
      </w:r>
      <w:r>
        <w:rPr>
          <w:rFonts w:hint="eastAsia" w:ascii="宋体" w:hAnsi="宋体" w:eastAsia="方正仿宋简体"/>
          <w:color w:val="000000" w:themeColor="text1"/>
          <w:sz w:val="33"/>
          <w:szCs w:val="33"/>
          <w14:textFill>
            <w14:solidFill>
              <w14:schemeClr w14:val="tx1"/>
            </w14:solidFill>
          </w14:textFill>
        </w:rPr>
        <w:t>年</w:t>
      </w:r>
      <w:r>
        <w:rPr>
          <w:rFonts w:hint="eastAsia" w:ascii="宋体" w:hAnsi="宋体" w:eastAsia="方正仿宋简体"/>
          <w:color w:val="000000" w:themeColor="text1"/>
          <w:sz w:val="33"/>
          <w:szCs w:val="33"/>
          <w:lang w:val="en-US" w:eastAsia="zh-CN"/>
          <w14:textFill>
            <w14:solidFill>
              <w14:schemeClr w14:val="tx1"/>
            </w14:solidFill>
          </w14:textFill>
        </w:rPr>
        <w:t>项目相关</w:t>
      </w:r>
      <w:r>
        <w:rPr>
          <w:rFonts w:hint="eastAsia" w:ascii="宋体" w:hAnsi="宋体" w:eastAsia="方正仿宋简体"/>
          <w:color w:val="000000" w:themeColor="text1"/>
          <w:sz w:val="33"/>
          <w:szCs w:val="33"/>
          <w14:textFill>
            <w14:solidFill>
              <w14:schemeClr w14:val="tx1"/>
            </w14:solidFill>
          </w14:textFill>
        </w:rPr>
        <w:t>财务数据</w:t>
      </w:r>
      <w:r>
        <w:rPr>
          <w:rFonts w:hint="eastAsia" w:ascii="宋体" w:hAnsi="宋体" w:eastAsia="方正仿宋简体"/>
          <w:color w:val="000000" w:themeColor="text1"/>
          <w:sz w:val="33"/>
          <w:szCs w:val="33"/>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（3）</w:t>
      </w:r>
      <w:r>
        <w:rPr>
          <w:rFonts w:hint="eastAsia" w:ascii="宋体" w:hAnsi="宋体" w:eastAsia="方正仿宋简体" w:cs="宋体"/>
          <w:color w:val="000000" w:themeColor="text1"/>
          <w:kern w:val="0"/>
          <w:sz w:val="33"/>
          <w:szCs w:val="33"/>
          <w14:textFill>
            <w14:solidFill>
              <w14:schemeClr w14:val="tx1"/>
            </w14:solidFill>
          </w14:textFill>
        </w:rPr>
        <w:t>综合分析并形成评价结论；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4）</w:t>
      </w:r>
      <w:r>
        <w:rPr>
          <w:rFonts w:hint="eastAsia" w:ascii="宋体" w:hAnsi="宋体" w:eastAsia="方正仿宋简体" w:cs="宋体"/>
          <w:color w:val="000000" w:themeColor="text1"/>
          <w:kern w:val="0"/>
          <w:sz w:val="33"/>
          <w:szCs w:val="33"/>
          <w14:textFill>
            <w14:solidFill>
              <w14:schemeClr w14:val="tx1"/>
            </w14:solidFill>
          </w14:textFill>
        </w:rPr>
        <w:t>撰写</w:t>
      </w:r>
      <w:r>
        <w:rPr>
          <w:rFonts w:ascii="宋体" w:hAnsi="宋体" w:eastAsia="方正仿宋简体" w:cs="宋体"/>
          <w:color w:val="000000" w:themeColor="text1"/>
          <w:kern w:val="0"/>
          <w:sz w:val="33"/>
          <w:szCs w:val="33"/>
          <w14:textFill>
            <w14:solidFill>
              <w14:schemeClr w14:val="tx1"/>
            </w14:solidFill>
          </w14:textFill>
        </w:rPr>
        <w:t>20</w:t>
      </w:r>
      <w:r>
        <w:rPr>
          <w:rFonts w:hint="eastAsia" w:ascii="宋体" w:hAnsi="宋体" w:eastAsia="方正仿宋简体" w:cs="宋体"/>
          <w:color w:val="000000" w:themeColor="text1"/>
          <w:kern w:val="0"/>
          <w:sz w:val="33"/>
          <w:szCs w:val="33"/>
          <w:lang w:eastAsia="zh-CN"/>
          <w14:textFill>
            <w14:solidFill>
              <w14:schemeClr w14:val="tx1"/>
            </w14:solidFill>
          </w14:textFill>
        </w:rPr>
        <w:t>2</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2</w:t>
      </w:r>
      <w:r>
        <w:rPr>
          <w:rFonts w:hint="eastAsia" w:ascii="宋体" w:hAnsi="宋体" w:eastAsia="方正仿宋简体" w:cs="宋体"/>
          <w:color w:val="000000" w:themeColor="text1"/>
          <w:kern w:val="0"/>
          <w:sz w:val="33"/>
          <w:szCs w:val="33"/>
          <w14:textFill>
            <w14:solidFill>
              <w14:schemeClr w14:val="tx1"/>
            </w14:solidFill>
          </w14:textFill>
        </w:rPr>
        <w:t>年项目支出绩效评价报告。</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简体" w:cs="Times New Roman"/>
          <w:b/>
          <w:bCs w:val="0"/>
          <w:kern w:val="2"/>
          <w:sz w:val="33"/>
          <w:szCs w:val="33"/>
          <w:lang w:val="en-US" w:eastAsia="zh-CN" w:bidi="ar-SA"/>
        </w:rPr>
      </w:pPr>
      <w:r>
        <w:rPr>
          <w:rFonts w:hint="eastAsia" w:ascii="宋体" w:hAnsi="宋体" w:eastAsia="方正仿宋简体" w:cs="Times New Roman"/>
          <w:b/>
          <w:bCs w:val="0"/>
          <w:kern w:val="2"/>
          <w:sz w:val="33"/>
          <w:szCs w:val="33"/>
          <w:lang w:val="en-US" w:eastAsia="zh-CN" w:bidi="ar-SA"/>
        </w:rPr>
        <w:t>2.绩效评价指标体系及重点</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结合该项目特点、评价重点，按照《资阳市雁江区财政局关于开展2022年度财政支出绩效自评工作的通知》（资雁财发〔2023〕165号）附件7“2022年度雁江区项目支出绩效自评计分表”，该项目绩效评价指标分为“投入”、“过程”、“产出”、“效益”四大类。指标数据来源于政府文件、项目资料、实地调研、访谈、问卷调查等。</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“投入”指标关注重点：项目立项是否规范、绩效目标是否合理、需求是否紧迫、绩效指标是否细化、量化可衡量。</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“过程”指标关注重点：制度执行是否有效、资金使用是否合规、财务监控是否有效。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“产出”指标关注重点：办公软件运维数量是否按计划完成；各项财务系统软件是否正常运转；相关质量是否达标；项目实施是否按计划完成；成本控制是否有效。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“效益”指标关注重点：软件办公保障率是否达标；信息化机制是否健全；办公软件财务使用人员满意度。</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三、评价结论</w:t>
      </w:r>
    </w:p>
    <w:p>
      <w:pPr>
        <w:pageBreakBefore w:val="0"/>
        <w:widowControl w:val="0"/>
        <w:kinsoku/>
        <w:wordWrap/>
        <w:overflowPunct/>
        <w:topLinePunct w:val="0"/>
        <w:autoSpaceDE/>
        <w:autoSpaceDN/>
        <w:bidi w:val="0"/>
        <w:adjustRightInd/>
        <w:snapToGrid/>
        <w:spacing w:line="600" w:lineRule="exact"/>
        <w:ind w:firstLine="660" w:firstLineChars="200"/>
        <w:jc w:val="both"/>
        <w:textAlignment w:val="auto"/>
        <w:rPr>
          <w:rFonts w:hint="default" w:ascii="宋体" w:hAnsi="宋体" w:eastAsia="方正仿宋简体" w:cs="宋体"/>
          <w:color w:val="000000" w:themeColor="text1"/>
          <w:kern w:val="0"/>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总体而言，本项目实施符合区政府决策，与部门职能密切相关，立项依据充分；项目实施及管理制度健全、执行有效；完成各个财务软件以及平台维护工作，有效保障支付、财务、财报、政府采购等软件正常运转；自评得分94</w:t>
      </w:r>
      <w:r>
        <w:rPr>
          <w:rFonts w:ascii="宋体" w:hAnsi="宋体" w:eastAsia="方正仿宋简体" w:cs="宋体"/>
          <w:color w:val="000000" w:themeColor="text1"/>
          <w:kern w:val="0"/>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24</w:t>
      </w:r>
      <w:r>
        <w:rPr>
          <w:rFonts w:ascii="宋体" w:hAnsi="宋体" w:eastAsia="方正仿宋简体" w:cs="宋体"/>
          <w:color w:val="000000" w:themeColor="text1"/>
          <w:kern w:val="0"/>
          <w:sz w:val="33"/>
          <w:szCs w:val="33"/>
          <w:lang w:val="en-US" w:eastAsia="zh-CN" w:bidi="ar-SA"/>
          <w14:textFill>
            <w14:solidFill>
              <w14:schemeClr w14:val="tx1"/>
            </w14:solidFill>
          </w14:textFill>
        </w:rPr>
        <w:t>分，</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依据资雁财发〔2023〕165号规定确定绩效等级为优</w:t>
      </w:r>
      <w:r>
        <w:rPr>
          <w:rFonts w:ascii="宋体" w:hAnsi="宋体" w:eastAsia="方正仿宋简体" w:cs="宋体"/>
          <w:color w:val="000000" w:themeColor="text1"/>
          <w:kern w:val="0"/>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具体得分情况见表</w:t>
      </w:r>
      <w:r>
        <w:rPr>
          <w:rFonts w:ascii="宋体" w:hAnsi="宋体" w:eastAsia="方正仿宋简体" w:cs="宋体"/>
          <w:color w:val="000000" w:themeColor="text1"/>
          <w:kern w:val="0"/>
          <w:sz w:val="33"/>
          <w:szCs w:val="33"/>
          <w:lang w:val="en-US" w:eastAsia="zh-CN" w:bidi="ar-SA"/>
          <w14:textFill>
            <w14:solidFill>
              <w14:schemeClr w14:val="tx1"/>
            </w14:solidFill>
          </w14:textFill>
        </w:rPr>
        <w:t>3-1</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w:t>
      </w:r>
    </w:p>
    <w:p>
      <w:pPr>
        <w:widowControl w:val="0"/>
        <w:spacing w:before="60" w:after="60"/>
        <w:jc w:val="center"/>
        <w:rPr>
          <w:rFonts w:ascii="仿宋" w:hAnsi="仿宋" w:eastAsia="仿宋" w:cs="Times New Roman"/>
          <w:b/>
          <w:color w:val="auto"/>
          <w:sz w:val="28"/>
          <w:szCs w:val="28"/>
          <w:lang w:val="en-US" w:eastAsia="zh-CN" w:bidi="ar-SA"/>
        </w:rPr>
      </w:pPr>
      <w:r>
        <w:rPr>
          <w:rFonts w:hint="eastAsia" w:ascii="仿宋" w:hAnsi="仿宋" w:eastAsia="仿宋" w:cs="Times New Roman"/>
          <w:b/>
          <w:color w:val="auto"/>
          <w:sz w:val="28"/>
          <w:szCs w:val="28"/>
          <w:lang w:val="en-US" w:eastAsia="zh-CN" w:bidi="ar-SA"/>
        </w:rPr>
        <w:t>表</w:t>
      </w:r>
      <w:r>
        <w:rPr>
          <w:rFonts w:ascii="仿宋" w:hAnsi="仿宋" w:eastAsia="仿宋" w:cs="Times New Roman"/>
          <w:b/>
          <w:color w:val="auto"/>
          <w:sz w:val="28"/>
          <w:szCs w:val="28"/>
          <w:lang w:val="en-US" w:eastAsia="zh-CN" w:bidi="ar-SA"/>
        </w:rPr>
        <w:t>3</w:t>
      </w:r>
      <w:r>
        <w:rPr>
          <w:rFonts w:hint="eastAsia" w:ascii="仿宋" w:hAnsi="仿宋" w:eastAsia="仿宋" w:cs="Times New Roman"/>
          <w:b/>
          <w:color w:val="auto"/>
          <w:sz w:val="28"/>
          <w:szCs w:val="28"/>
          <w:lang w:val="en-US" w:eastAsia="zh-CN" w:bidi="ar-SA"/>
        </w:rPr>
        <w:t>-</w:t>
      </w:r>
      <w:r>
        <w:rPr>
          <w:rFonts w:ascii="仿宋" w:hAnsi="仿宋" w:eastAsia="仿宋" w:cs="Times New Roman"/>
          <w:b/>
          <w:color w:val="auto"/>
          <w:sz w:val="28"/>
          <w:szCs w:val="28"/>
          <w:lang w:val="en-US" w:eastAsia="zh-CN" w:bidi="ar-SA"/>
        </w:rPr>
        <w:t>1</w:t>
      </w:r>
      <w:r>
        <w:rPr>
          <w:rFonts w:hint="eastAsia" w:ascii="仿宋" w:hAnsi="仿宋" w:eastAsia="仿宋" w:cs="Times New Roman"/>
          <w:b/>
          <w:color w:val="auto"/>
          <w:sz w:val="28"/>
          <w:szCs w:val="28"/>
          <w:lang w:val="en-US" w:eastAsia="zh-CN" w:bidi="ar-SA"/>
        </w:rPr>
        <w:t xml:space="preserve"> </w:t>
      </w:r>
      <w:r>
        <w:rPr>
          <w:rFonts w:ascii="仿宋" w:hAnsi="仿宋" w:eastAsia="仿宋" w:cs="Times New Roman"/>
          <w:b/>
          <w:color w:val="auto"/>
          <w:sz w:val="28"/>
          <w:szCs w:val="28"/>
          <w:lang w:val="en-US" w:eastAsia="zh-CN" w:bidi="ar-SA"/>
        </w:rPr>
        <w:t>项目评价得分情况</w:t>
      </w:r>
    </w:p>
    <w:tbl>
      <w:tblPr>
        <w:tblStyle w:val="18"/>
        <w:tblW w:w="51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721"/>
        <w:gridCol w:w="2439"/>
        <w:gridCol w:w="721"/>
        <w:gridCol w:w="929"/>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shd w:val="clear" w:color="auto" w:fill="auto"/>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二级指标</w:t>
            </w:r>
          </w:p>
        </w:tc>
        <w:tc>
          <w:tcPr>
            <w:tcW w:w="1397"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三级指标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自评分数</w:t>
            </w:r>
          </w:p>
        </w:tc>
        <w:tc>
          <w:tcPr>
            <w:tcW w:w="5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w:t>
            </w:r>
          </w:p>
        </w:tc>
        <w:tc>
          <w:tcPr>
            <w:tcW w:w="18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投入（25分）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项目立项（15分）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项目立项规范性（5分）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绩效目标合理性（4分）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绩效指标明确性（6分）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5.5</w:t>
            </w:r>
          </w:p>
        </w:tc>
        <w:tc>
          <w:tcPr>
            <w:tcW w:w="532" w:type="pct"/>
            <w:shd w:val="clear" w:color="auto" w:fill="auto"/>
            <w:vAlign w:val="center"/>
          </w:tcPr>
          <w:p>
            <w:pPr>
              <w:widowControl/>
              <w:jc w:val="center"/>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-0.</w:t>
            </w:r>
            <w:r>
              <w:rPr>
                <w:rFonts w:hint="eastAsia" w:ascii="宋体" w:hAnsi="宋体" w:cs="宋体"/>
                <w:color w:val="auto"/>
                <w:kern w:val="0"/>
                <w:sz w:val="20"/>
                <w:szCs w:val="20"/>
                <w:highlight w:val="none"/>
                <w:lang w:val="en-US" w:eastAsia="zh-CN"/>
              </w:rPr>
              <w:t>5</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办公软件财务使用人员满意度≥90%”该指标权重为20分，</w:t>
            </w:r>
            <w:r>
              <w:rPr>
                <w:rFonts w:hint="eastAsia" w:ascii="宋体" w:hAnsi="宋体" w:cs="宋体"/>
                <w:color w:val="auto"/>
                <w:kern w:val="0"/>
                <w:sz w:val="20"/>
                <w:szCs w:val="20"/>
                <w:highlight w:val="none"/>
                <w:lang w:val="en-US" w:eastAsia="zh-CN"/>
              </w:rPr>
              <w:t>设置不合理，</w:t>
            </w:r>
            <w:r>
              <w:rPr>
                <w:rFonts w:hint="eastAsia" w:ascii="宋体" w:hAnsi="宋体" w:cs="宋体"/>
                <w:color w:val="auto"/>
                <w:kern w:val="0"/>
                <w:sz w:val="20"/>
                <w:szCs w:val="20"/>
                <w:highlight w:val="none"/>
              </w:rPr>
              <w:t>比例较大，根据该情况扣0.5分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资金落实（10分）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资金到位率（5分）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2.87</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2.13</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资金到位率=（实际到位资金230.14万元/计划投入资金235.14万元）×100%=97.87%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到位及时率（5分）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2.87</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2.13</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到位及时率=（及时到位资金230.14万元/应到位资金235.14万元）×100%=97.87%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过程（25分）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业务管理（13分）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制度执行有效性（6分)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项目质量可控性（3分）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财务管理（12分）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资金使用合规性（7分）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财务监控有效性（2分）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1</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-1</w:t>
            </w:r>
          </w:p>
        </w:tc>
        <w:tc>
          <w:tcPr>
            <w:tcW w:w="1832" w:type="pct"/>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未制定相应的监控机制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产出（20分）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项目产出（20分）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实际完成率（4分）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完成及时率（6分）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质量达标率（5分）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成本节约率（5分）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效果指标（30分）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项目效益（30分）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社会效益（10分）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可持续影响（10分）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社会公众或服务对象满意度（10分）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223" w:type="pct"/>
            <w:gridSpan w:val="3"/>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default" w:ascii="宋体" w:hAnsi="宋体" w:cs="宋体"/>
                <w:b/>
                <w:bCs/>
                <w:color w:val="auto"/>
                <w:kern w:val="0"/>
                <w:sz w:val="20"/>
                <w:szCs w:val="20"/>
                <w:highlight w:val="none"/>
              </w:rPr>
              <w:fldChar w:fldCharType="begin"/>
            </w:r>
            <w:r>
              <w:rPr>
                <w:rFonts w:hint="default" w:ascii="宋体" w:hAnsi="宋体" w:cs="宋体"/>
                <w:b/>
                <w:bCs/>
                <w:color w:val="auto"/>
                <w:kern w:val="0"/>
                <w:sz w:val="20"/>
                <w:szCs w:val="20"/>
                <w:highlight w:val="none"/>
              </w:rPr>
              <w:instrText xml:space="preserve"> =SUM(ABOVE) \* MERGEFORMAT </w:instrText>
            </w:r>
            <w:r>
              <w:rPr>
                <w:rFonts w:hint="default" w:ascii="宋体" w:hAnsi="宋体" w:cs="宋体"/>
                <w:b/>
                <w:bCs/>
                <w:color w:val="auto"/>
                <w:kern w:val="0"/>
                <w:sz w:val="20"/>
                <w:szCs w:val="20"/>
                <w:highlight w:val="none"/>
              </w:rPr>
              <w:fldChar w:fldCharType="separate"/>
            </w:r>
            <w:r>
              <w:rPr>
                <w:rFonts w:hint="default" w:ascii="宋体" w:hAnsi="宋体" w:cs="宋体"/>
                <w:b/>
                <w:bCs/>
                <w:color w:val="auto"/>
                <w:kern w:val="0"/>
                <w:sz w:val="20"/>
                <w:szCs w:val="20"/>
                <w:highlight w:val="none"/>
              </w:rPr>
              <w:t>94.24</w:t>
            </w:r>
            <w:r>
              <w:rPr>
                <w:rFonts w:hint="default" w:ascii="宋体" w:hAnsi="宋体" w:cs="宋体"/>
                <w:b/>
                <w:bCs/>
                <w:color w:val="auto"/>
                <w:kern w:val="0"/>
                <w:sz w:val="20"/>
                <w:szCs w:val="20"/>
                <w:highlight w:val="none"/>
              </w:rPr>
              <w:fldChar w:fldCharType="end"/>
            </w:r>
          </w:p>
        </w:tc>
        <w:tc>
          <w:tcPr>
            <w:tcW w:w="532"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w:t>
            </w:r>
            <w:r>
              <w:rPr>
                <w:rFonts w:hint="eastAsia" w:ascii="宋体" w:hAnsi="宋体" w:cs="宋体"/>
                <w:b/>
                <w:bCs/>
                <w:color w:val="auto"/>
                <w:kern w:val="0"/>
                <w:sz w:val="20"/>
                <w:szCs w:val="20"/>
                <w:highlight w:val="none"/>
                <w:lang w:val="en-US" w:eastAsia="zh-CN"/>
              </w:rPr>
              <w:t>5</w:t>
            </w:r>
            <w:r>
              <w:rPr>
                <w:rFonts w:hint="eastAsia" w:ascii="宋体" w:hAnsi="宋体" w:cs="宋体"/>
                <w:b/>
                <w:bCs/>
                <w:color w:val="auto"/>
                <w:kern w:val="0"/>
                <w:sz w:val="20"/>
                <w:szCs w:val="20"/>
                <w:highlight w:val="none"/>
              </w:rPr>
              <w:t>.</w:t>
            </w:r>
            <w:r>
              <w:rPr>
                <w:rFonts w:hint="eastAsia" w:ascii="宋体" w:hAnsi="宋体" w:cs="宋体"/>
                <w:b/>
                <w:bCs/>
                <w:color w:val="auto"/>
                <w:kern w:val="0"/>
                <w:sz w:val="20"/>
                <w:szCs w:val="20"/>
                <w:highlight w:val="none"/>
                <w:lang w:val="en-US" w:eastAsia="zh-CN"/>
              </w:rPr>
              <w:t>76</w:t>
            </w:r>
          </w:p>
        </w:tc>
        <w:tc>
          <w:tcPr>
            <w:tcW w:w="1832" w:type="pct"/>
            <w:shd w:val="clear" w:color="auto" w:fill="auto"/>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bl>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lang w:eastAsia="zh-CN"/>
        </w:rPr>
        <w:t>四、</w:t>
      </w:r>
      <w:r>
        <w:rPr>
          <w:rFonts w:hint="eastAsia" w:ascii="宋体" w:hAnsi="宋体" w:eastAsia="方正黑体简体" w:cs="Times New Roman"/>
          <w:sz w:val="33"/>
          <w:szCs w:val="33"/>
        </w:rPr>
        <w:t>绩效分析</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（一）投入</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1.项目立项规范性（5分）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该项目属于机关正常运转费用类项目，</w:t>
      </w:r>
      <w:r>
        <w:rPr>
          <w:rFonts w:ascii="宋体" w:hAnsi="宋体" w:eastAsia="方正仿宋简体"/>
          <w:color w:val="000000" w:themeColor="text1"/>
          <w:sz w:val="33"/>
          <w:szCs w:val="33"/>
          <w:highlight w:val="none"/>
          <w14:textFill>
            <w14:solidFill>
              <w14:schemeClr w14:val="tx1"/>
            </w14:solidFill>
          </w14:textFill>
        </w:rPr>
        <w:t>项目的申请、设立过程符合</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财政局内部</w:t>
      </w:r>
      <w:r>
        <w:rPr>
          <w:rFonts w:ascii="宋体" w:hAnsi="宋体" w:eastAsia="方正仿宋简体"/>
          <w:color w:val="000000" w:themeColor="text1"/>
          <w:sz w:val="33"/>
          <w:szCs w:val="33"/>
          <w:highlight w:val="none"/>
          <w14:textFill>
            <w14:solidFill>
              <w14:schemeClr w14:val="tx1"/>
            </w14:solidFill>
          </w14:textFill>
        </w:rPr>
        <w:t>要求，</w:t>
      </w:r>
      <w:r>
        <w:rPr>
          <w:rFonts w:hint="eastAsia" w:ascii="宋体" w:hAnsi="宋体" w:eastAsia="方正仿宋简体"/>
          <w:color w:val="000000" w:themeColor="text1"/>
          <w:sz w:val="33"/>
          <w:szCs w:val="33"/>
          <w:highlight w:val="none"/>
          <w:lang w:val="en-US" w:eastAsia="zh-CN"/>
          <w14:textFill>
            <w14:solidFill>
              <w14:schemeClr w14:val="tx1"/>
            </w14:solidFill>
          </w14:textFill>
        </w:rPr>
        <w:t>由财政局党组会讨论通过，通过集体决策，</w:t>
      </w:r>
      <w:r>
        <w:rPr>
          <w:rFonts w:ascii="宋体" w:hAnsi="宋体" w:eastAsia="方正仿宋简体"/>
          <w:color w:val="000000" w:themeColor="text1"/>
          <w:sz w:val="33"/>
          <w:szCs w:val="33"/>
          <w:highlight w:val="none"/>
          <w14:textFill>
            <w14:solidFill>
              <w14:schemeClr w14:val="tx1"/>
            </w14:solidFill>
          </w14:textFill>
        </w:rPr>
        <w:t>项目按照规定的程序申请设立；所提交的文件、材料</w:t>
      </w:r>
      <w:r>
        <w:rPr>
          <w:rFonts w:hint="eastAsia" w:ascii="宋体" w:hAnsi="宋体" w:eastAsia="方正仿宋简体"/>
          <w:color w:val="000000" w:themeColor="text1"/>
          <w:sz w:val="33"/>
          <w:szCs w:val="33"/>
          <w:highlight w:val="none"/>
          <w:lang w:val="en-US" w:eastAsia="zh-CN"/>
          <w14:textFill>
            <w14:solidFill>
              <w14:schemeClr w14:val="tx1"/>
            </w14:solidFill>
          </w14:textFill>
        </w:rPr>
        <w:t>均</w:t>
      </w:r>
      <w:r>
        <w:rPr>
          <w:rFonts w:ascii="宋体" w:hAnsi="宋体" w:eastAsia="方正仿宋简体"/>
          <w:color w:val="000000" w:themeColor="text1"/>
          <w:sz w:val="33"/>
          <w:szCs w:val="33"/>
          <w:highlight w:val="none"/>
          <w14:textFill>
            <w14:solidFill>
              <w14:schemeClr w14:val="tx1"/>
            </w14:solidFill>
          </w14:textFill>
        </w:rPr>
        <w:t>符合相关要求</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该项得满分5分。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2.绩效目标合理性（4分）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eastAsia="方正仿宋简体"/>
          <w:lang w:val="en-US" w:eastAsia="zh-CN"/>
        </w:rPr>
      </w:pPr>
      <w:r>
        <w:rPr>
          <w:rFonts w:hint="eastAsia" w:ascii="宋体" w:hAnsi="宋体" w:eastAsia="方正仿宋简体"/>
          <w:color w:val="000000" w:themeColor="text1"/>
          <w:sz w:val="33"/>
          <w:szCs w:val="33"/>
          <w:highlight w:val="none"/>
          <w14:textFill>
            <w14:solidFill>
              <w14:schemeClr w14:val="tx1"/>
            </w14:solidFill>
          </w14:textFill>
        </w:rPr>
        <w:t>该项目绩效目标合理。①本项目实施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符合《国家政务信息化项目建设管理办法》等国家相关法律法规、国民经济发展规划和党委政府决策要求</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本项目</w:t>
      </w:r>
      <w:r>
        <w:rPr>
          <w:rFonts w:hint="eastAsia" w:ascii="宋体" w:hAnsi="宋体" w:eastAsia="方正仿宋简体"/>
          <w:color w:val="000000" w:themeColor="text1"/>
          <w:sz w:val="33"/>
          <w:szCs w:val="33"/>
          <w:highlight w:val="none"/>
          <w14:textFill>
            <w14:solidFill>
              <w14:schemeClr w14:val="tx1"/>
            </w14:solidFill>
          </w14:textFill>
        </w:rPr>
        <w:t>实施内容与本部门（单位）“行政事业单位国有资产管理职责分工”</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w:t>
      </w:r>
      <w:r>
        <w:rPr>
          <w:rFonts w:hint="eastAsia" w:ascii="宋体" w:hAnsi="宋体" w:eastAsia="方正仿宋简体"/>
          <w:color w:val="000000" w:themeColor="text1"/>
          <w:sz w:val="33"/>
          <w:szCs w:val="33"/>
          <w:highlight w:val="none"/>
          <w14:textFill>
            <w14:solidFill>
              <w14:schemeClr w14:val="tx1"/>
            </w14:solidFill>
          </w14:textFill>
        </w:rPr>
        <w:t>职能密切相关</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能够保障全区财务系统正常使用</w:t>
      </w:r>
      <w:r>
        <w:rPr>
          <w:rFonts w:hint="eastAsia" w:ascii="宋体" w:hAnsi="宋体" w:eastAsia="方正仿宋简体"/>
          <w:color w:val="000000" w:themeColor="text1"/>
          <w:sz w:val="33"/>
          <w:szCs w:val="33"/>
          <w:highlight w:val="none"/>
          <w14:textFill>
            <w14:solidFill>
              <w14:schemeClr w14:val="tx1"/>
            </w14:solidFill>
          </w14:textFill>
        </w:rPr>
        <w:t>；③</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w:t>
      </w:r>
      <w:r>
        <w:rPr>
          <w:rFonts w:hint="eastAsia" w:ascii="宋体" w:hAnsi="宋体" w:eastAsia="方正仿宋简体"/>
          <w:color w:val="000000" w:themeColor="text1"/>
          <w:sz w:val="33"/>
          <w:szCs w:val="33"/>
          <w:highlight w:val="none"/>
          <w14:textFill>
            <w14:solidFill>
              <w14:schemeClr w14:val="tx1"/>
            </w14:solidFill>
          </w14:textFill>
        </w:rPr>
        <w:t>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能够保障雁江区网络运行安全，保障雁江区行政事业单位使用的相关支付、财务、财报、政府采购等软件能够正常使用，</w:t>
      </w:r>
      <w:r>
        <w:rPr>
          <w:rFonts w:hint="eastAsia" w:ascii="宋体" w:hAnsi="宋体" w:eastAsia="方正仿宋简体"/>
          <w:color w:val="000000" w:themeColor="text1"/>
          <w:sz w:val="33"/>
          <w:szCs w:val="33"/>
          <w:highlight w:val="none"/>
          <w14:textFill>
            <w14:solidFill>
              <w14:schemeClr w14:val="tx1"/>
            </w14:solidFill>
          </w14:textFill>
        </w:rPr>
        <w:t>为促进事业发展所必需；④该项目预期产出及效果根据上级文件、计划标准制定，符合正常的业绩水平。该项得满分4分</w:t>
      </w:r>
      <w:r>
        <w:rPr>
          <w:rFonts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3.绩效指标明确性（6分）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①设置了：办公软件运维数量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≥7个</w:t>
      </w:r>
      <w:r>
        <w:rPr>
          <w:rFonts w:hint="eastAsia" w:ascii="宋体" w:hAnsi="宋体" w:eastAsia="方正仿宋简体"/>
          <w:color w:val="000000" w:themeColor="text1"/>
          <w:sz w:val="33"/>
          <w:szCs w:val="33"/>
          <w:highlight w:val="none"/>
          <w14:textFill>
            <w14:solidFill>
              <w14:schemeClr w14:val="tx1"/>
            </w14:solidFill>
          </w14:textFill>
        </w:rPr>
        <w:t>等</w:t>
      </w:r>
      <w:r>
        <w:rPr>
          <w:rFonts w:hint="eastAsia" w:ascii="宋体" w:hAnsi="宋体" w:eastAsia="方正仿宋简体"/>
          <w:color w:val="000000" w:themeColor="text1"/>
          <w:sz w:val="33"/>
          <w:szCs w:val="33"/>
          <w:highlight w:val="none"/>
          <w:lang w:val="en-US" w:eastAsia="zh-CN"/>
          <w14:textFill>
            <w14:solidFill>
              <w14:schemeClr w14:val="tx1"/>
            </w14:solidFill>
          </w14:textFill>
        </w:rPr>
        <w:t>6</w:t>
      </w:r>
      <w:r>
        <w:rPr>
          <w:rFonts w:hint="eastAsia" w:ascii="宋体" w:hAnsi="宋体" w:eastAsia="方正仿宋简体"/>
          <w:color w:val="000000" w:themeColor="text1"/>
          <w:sz w:val="33"/>
          <w:szCs w:val="33"/>
          <w:highlight w:val="none"/>
          <w14:textFill>
            <w14:solidFill>
              <w14:schemeClr w14:val="tx1"/>
            </w14:solidFill>
          </w14:textFill>
        </w:rPr>
        <w:t>条数量指标、E财预算软件正常运转率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等5条</w:t>
      </w:r>
      <w:r>
        <w:rPr>
          <w:rFonts w:hint="eastAsia" w:ascii="宋体" w:hAnsi="宋体" w:eastAsia="方正仿宋简体"/>
          <w:color w:val="000000" w:themeColor="text1"/>
          <w:sz w:val="33"/>
          <w:szCs w:val="33"/>
          <w:highlight w:val="none"/>
          <w14:textFill>
            <w14:solidFill>
              <w14:schemeClr w14:val="tx1"/>
            </w14:solidFill>
          </w14:textFill>
        </w:rPr>
        <w:t>质量指标、行政事业单位资产系统响应及时率≥90%的时效指标等、行政事业单位资产系统预算成本≤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8万元</w:t>
      </w:r>
      <w:r>
        <w:rPr>
          <w:rFonts w:hint="eastAsia" w:ascii="宋体" w:hAnsi="宋体" w:eastAsia="方正仿宋简体"/>
          <w:color w:val="000000" w:themeColor="text1"/>
          <w:sz w:val="33"/>
          <w:szCs w:val="33"/>
          <w:highlight w:val="none"/>
          <w14:textFill>
            <w14:solidFill>
              <w14:schemeClr w14:val="tx1"/>
            </w14:solidFill>
          </w14:textFill>
        </w:rPr>
        <w:t>等指标</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已</w:t>
      </w:r>
      <w:r>
        <w:rPr>
          <w:rFonts w:hint="eastAsia" w:ascii="宋体" w:hAnsi="宋体" w:eastAsia="方正仿宋简体"/>
          <w:color w:val="000000" w:themeColor="text1"/>
          <w:sz w:val="33"/>
          <w:szCs w:val="33"/>
          <w:highlight w:val="none"/>
          <w:lang w:eastAsia="zh-CN"/>
          <w14:textFill>
            <w14:solidFill>
              <w14:schemeClr w14:val="tx1"/>
            </w14:solidFill>
          </w14:textFill>
        </w:rPr>
        <w:t>将项目绩效目标细化分解为具体的绩效指标</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设置的指标，如“</w:t>
      </w:r>
      <w:r>
        <w:rPr>
          <w:rFonts w:hint="eastAsia" w:ascii="宋体" w:hAnsi="宋体" w:eastAsia="方正仿宋简体"/>
          <w:color w:val="000000" w:themeColor="text1"/>
          <w:sz w:val="33"/>
          <w:szCs w:val="33"/>
          <w:highlight w:val="none"/>
          <w14:textFill>
            <w14:solidFill>
              <w14:schemeClr w14:val="tx1"/>
            </w14:solidFill>
          </w14:textFill>
        </w:rPr>
        <w:t>办公软件运维数量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≥7个”“</w:t>
      </w:r>
      <w:r>
        <w:rPr>
          <w:rFonts w:hint="eastAsia" w:ascii="宋体" w:hAnsi="宋体" w:eastAsia="方正仿宋简体"/>
          <w:color w:val="000000" w:themeColor="text1"/>
          <w:sz w:val="33"/>
          <w:szCs w:val="33"/>
          <w:highlight w:val="none"/>
          <w14:textFill>
            <w14:solidFill>
              <w14:schemeClr w14:val="tx1"/>
            </w14:solidFill>
          </w14:textFill>
        </w:rPr>
        <w:t>E财预算软件正常运转率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”“办公软件财务使用人员满意度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等指标值等清晰、可衡量，但指标值权重分配不合理，如</w:t>
      </w:r>
      <w:r>
        <w:rPr>
          <w:rFonts w:hint="eastAsia" w:ascii="宋体" w:hAnsi="宋体" w:eastAsia="方正仿宋简体"/>
          <w:color w:val="000000" w:themeColor="text1"/>
          <w:sz w:val="33"/>
          <w:szCs w:val="33"/>
          <w:highlight w:val="none"/>
          <w:lang w:eastAsia="zh-CN"/>
          <w14:textFill>
            <w14:solidFill>
              <w14:schemeClr w14:val="tx1"/>
            </w14:solidFill>
          </w14:textFill>
        </w:rPr>
        <w:t>“办公软件财务使用人员满意度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该指标权重为20分，比例较大，根据该情况扣0.5分。</w:t>
      </w:r>
      <w:r>
        <w:rPr>
          <w:rFonts w:hint="eastAsia" w:ascii="宋体" w:hAnsi="宋体" w:eastAsia="方正仿宋简体"/>
          <w:color w:val="000000" w:themeColor="text1"/>
          <w:sz w:val="33"/>
          <w:szCs w:val="33"/>
          <w:highlight w:val="none"/>
          <w14:textFill>
            <w14:solidFill>
              <w14:schemeClr w14:val="tx1"/>
            </w14:solidFill>
          </w14:textFill>
        </w:rPr>
        <w:t>③本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项目2022</w:t>
      </w:r>
      <w:r>
        <w:rPr>
          <w:rFonts w:hint="eastAsia" w:ascii="宋体" w:hAnsi="宋体" w:eastAsia="方正仿宋简体"/>
          <w:color w:val="000000" w:themeColor="text1"/>
          <w:sz w:val="33"/>
          <w:szCs w:val="33"/>
          <w:highlight w:val="none"/>
          <w14:textFill>
            <w14:solidFill>
              <w14:schemeClr w14:val="tx1"/>
            </w14:solidFill>
          </w14:textFill>
        </w:rPr>
        <w:t>年度计划实施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eastAsia" w:ascii="宋体" w:hAnsi="宋体" w:eastAsia="方正仿宋简体"/>
          <w:color w:val="000000" w:themeColor="text1"/>
          <w:sz w:val="33"/>
          <w:szCs w:val="33"/>
          <w:highlight w:val="none"/>
          <w14:textFill>
            <w14:solidFill>
              <w14:schemeClr w14:val="tx1"/>
            </w14:solidFill>
          </w14:textFill>
        </w:rPr>
        <w:t>项任务，</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项目绩效指标与项目</w:t>
      </w:r>
      <w:r>
        <w:rPr>
          <w:rFonts w:hint="eastAsia" w:ascii="宋体" w:hAnsi="宋体" w:eastAsia="方正仿宋简体"/>
          <w:color w:val="000000" w:themeColor="text1"/>
          <w:sz w:val="33"/>
          <w:szCs w:val="33"/>
          <w:highlight w:val="none"/>
          <w14:textFill>
            <w14:solidFill>
              <w14:schemeClr w14:val="tx1"/>
            </w14:solidFill>
          </w14:textFill>
        </w:rPr>
        <w:t>年度任务与</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hint="eastAsia" w:ascii="宋体" w:hAnsi="宋体" w:eastAsia="方正仿宋简体"/>
          <w:color w:val="000000" w:themeColor="text1"/>
          <w:sz w:val="33"/>
          <w:szCs w:val="33"/>
          <w:highlight w:val="none"/>
          <w14:textFill>
            <w14:solidFill>
              <w14:schemeClr w14:val="tx1"/>
            </w14:solidFill>
          </w14:textFill>
        </w:rPr>
        <w:t>完成相对应，数量指标完整清晰。</w:t>
      </w:r>
      <w:r>
        <w:rPr>
          <w:rFonts w:hint="eastAsia" w:ascii="宋体" w:hAnsi="宋体" w:eastAsia="方正仿宋简体"/>
          <w:color w:val="000000" w:themeColor="text1"/>
          <w:sz w:val="33"/>
          <w:szCs w:val="33"/>
          <w:highlight w:val="none"/>
          <w:lang w:val="en-US" w:eastAsia="zh-CN"/>
          <w14:textFill>
            <w14:solidFill>
              <w14:schemeClr w14:val="tx1"/>
            </w14:solidFill>
          </w14:textFill>
        </w:rPr>
        <w:t>④</w:t>
      </w:r>
      <w:r>
        <w:rPr>
          <w:rFonts w:hint="eastAsia" w:ascii="宋体" w:hAnsi="宋体" w:eastAsia="方正仿宋简体"/>
          <w:color w:val="000000" w:themeColor="text1"/>
          <w:sz w:val="33"/>
          <w:szCs w:val="33"/>
          <w:highlight w:val="none"/>
          <w14:textFill>
            <w14:solidFill>
              <w14:schemeClr w14:val="tx1"/>
            </w14:solidFill>
          </w14:textFill>
        </w:rPr>
        <w:t>本项目预算根据</w:t>
      </w:r>
      <w:r>
        <w:rPr>
          <w:rFonts w:hint="eastAsia" w:ascii="宋体" w:hAnsi="宋体" w:eastAsia="方正仿宋简体"/>
          <w:color w:val="000000" w:themeColor="text1"/>
          <w:sz w:val="33"/>
          <w:szCs w:val="33"/>
          <w:highlight w:val="none"/>
          <w:lang w:val="en-US" w:eastAsia="zh-CN"/>
          <w14:textFill>
            <w14:solidFill>
              <w14:schemeClr w14:val="tx1"/>
            </w14:solidFill>
          </w14:textFill>
        </w:rPr>
        <w:t>已签订的相关合同确定</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前期调研充分，</w:t>
      </w:r>
      <w:r>
        <w:rPr>
          <w:rFonts w:hint="eastAsia" w:ascii="宋体" w:hAnsi="宋体" w:eastAsia="方正仿宋简体"/>
          <w:color w:val="000000" w:themeColor="text1"/>
          <w:sz w:val="33"/>
          <w:szCs w:val="33"/>
          <w:highlight w:val="none"/>
          <w14:textFill>
            <w14:solidFill>
              <w14:schemeClr w14:val="tx1"/>
            </w14:solidFill>
          </w14:textFill>
        </w:rPr>
        <w:t>成本测算依据充分；预算资金总额与本项目实施任务匹配。该项</w:t>
      </w:r>
      <w:r>
        <w:rPr>
          <w:rFonts w:hint="eastAsia" w:ascii="宋体" w:hAnsi="宋体" w:eastAsia="方正仿宋简体"/>
          <w:color w:val="000000" w:themeColor="text1"/>
          <w:sz w:val="33"/>
          <w:szCs w:val="33"/>
          <w:highlight w:val="none"/>
          <w:lang w:val="en-US" w:eastAsia="zh-CN"/>
          <w14:textFill>
            <w14:solidFill>
              <w14:schemeClr w14:val="tx1"/>
            </w14:solidFill>
          </w14:textFill>
        </w:rPr>
        <w:t>扣0.5分，</w:t>
      </w:r>
      <w:r>
        <w:rPr>
          <w:rFonts w:hint="eastAsia" w:ascii="宋体" w:hAnsi="宋体" w:eastAsia="方正仿宋简体"/>
          <w:color w:val="000000" w:themeColor="text1"/>
          <w:sz w:val="33"/>
          <w:szCs w:val="33"/>
          <w:highlight w:val="none"/>
          <w14:textFill>
            <w14:solidFill>
              <w14:schemeClr w14:val="tx1"/>
            </w14:solidFill>
          </w14:textFill>
        </w:rPr>
        <w:t>得分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5.5</w:t>
      </w:r>
      <w:r>
        <w:rPr>
          <w:rFonts w:hint="eastAsia" w:ascii="宋体" w:hAnsi="宋体" w:eastAsia="方正仿宋简体"/>
          <w:color w:val="000000" w:themeColor="text1"/>
          <w:sz w:val="33"/>
          <w:szCs w:val="33"/>
          <w:highlight w:val="none"/>
          <w14:textFill>
            <w14:solidFill>
              <w14:schemeClr w14:val="tx1"/>
            </w14:solidFill>
          </w14:textFill>
        </w:rPr>
        <w:t>分</w:t>
      </w:r>
      <w:r>
        <w:rPr>
          <w:rFonts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4.资金到位率(5分)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本项目年初预算资金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237</w:t>
      </w:r>
      <w:r>
        <w:rPr>
          <w:rFonts w:hint="eastAsia" w:ascii="宋体" w:hAnsi="宋体" w:eastAsia="方正仿宋简体"/>
          <w:color w:val="000000" w:themeColor="text1"/>
          <w:sz w:val="33"/>
          <w:szCs w:val="33"/>
          <w:highlight w:val="none"/>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调整后预算数为235.14万元，</w:t>
      </w:r>
      <w:r>
        <w:rPr>
          <w:rFonts w:hint="eastAsia" w:ascii="宋体" w:hAnsi="宋体" w:eastAsia="方正仿宋简体"/>
          <w:color w:val="000000" w:themeColor="text1"/>
          <w:sz w:val="33"/>
          <w:szCs w:val="33"/>
          <w:highlight w:val="none"/>
          <w14:textFill>
            <w14:solidFill>
              <w14:schemeClr w14:val="tx1"/>
            </w14:solidFill>
          </w14:textFill>
        </w:rPr>
        <w:t>截至202</w:t>
      </w:r>
      <w:r>
        <w:rPr>
          <w:rFonts w:hint="eastAsia" w:ascii="宋体" w:hAnsi="宋体" w:eastAsia="方正仿宋简体"/>
          <w:color w:val="000000" w:themeColor="text1"/>
          <w:sz w:val="33"/>
          <w:szCs w:val="33"/>
          <w:highlight w:val="none"/>
          <w:lang w:val="en-US" w:eastAsia="zh-CN"/>
          <w14:textFill>
            <w14:solidFill>
              <w14:schemeClr w14:val="tx1"/>
            </w14:solidFill>
          </w14:textFill>
        </w:rPr>
        <w:t>2</w:t>
      </w:r>
      <w:r>
        <w:rPr>
          <w:rFonts w:hint="eastAsia" w:ascii="宋体" w:hAnsi="宋体" w:eastAsia="方正仿宋简体"/>
          <w:color w:val="000000" w:themeColor="text1"/>
          <w:sz w:val="33"/>
          <w:szCs w:val="33"/>
          <w:highlight w:val="none"/>
          <w14:textFill>
            <w14:solidFill>
              <w14:schemeClr w14:val="tx1"/>
            </w14:solidFill>
          </w14:textFill>
        </w:rPr>
        <w:t>年12月31日，实际到位资金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230.14</w:t>
      </w:r>
      <w:r>
        <w:rPr>
          <w:rFonts w:hint="eastAsia" w:ascii="宋体" w:hAnsi="宋体" w:eastAsia="方正仿宋简体"/>
          <w:color w:val="000000" w:themeColor="text1"/>
          <w:sz w:val="33"/>
          <w:szCs w:val="33"/>
          <w:highlight w:val="none"/>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资金到位率=（实际到位资金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230.14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/计划投入资金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235.14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97.87</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该项扣2.13分，</w:t>
      </w:r>
      <w:r>
        <w:rPr>
          <w:rFonts w:hint="eastAsia" w:ascii="宋体" w:hAnsi="宋体" w:eastAsia="方正仿宋简体"/>
          <w:color w:val="000000" w:themeColor="text1"/>
          <w:sz w:val="33"/>
          <w:szCs w:val="33"/>
          <w:highlight w:val="none"/>
          <w:lang w:eastAsia="zh-CN"/>
          <w14:textFill>
            <w14:solidFill>
              <w14:schemeClr w14:val="tx1"/>
            </w14:solidFill>
          </w14:textFill>
        </w:rPr>
        <w:t>得</w:t>
      </w:r>
      <w:r>
        <w:rPr>
          <w:rFonts w:hint="eastAsia" w:ascii="宋体" w:hAnsi="宋体" w:eastAsia="方正仿宋简体"/>
          <w:color w:val="000000" w:themeColor="text1"/>
          <w:sz w:val="33"/>
          <w:szCs w:val="33"/>
          <w:highlight w:val="none"/>
          <w:lang w:val="en-US" w:eastAsia="zh-CN"/>
          <w14:textFill>
            <w14:solidFill>
              <w14:schemeClr w14:val="tx1"/>
            </w14:solidFill>
          </w14:textFill>
        </w:rPr>
        <w:t>分2.87</w:t>
      </w:r>
      <w:r>
        <w:rPr>
          <w:rFonts w:hint="eastAsia" w:ascii="宋体" w:hAnsi="宋体" w:eastAsia="方正仿宋简体"/>
          <w:color w:val="000000" w:themeColor="text1"/>
          <w:sz w:val="33"/>
          <w:szCs w:val="33"/>
          <w:highlight w:val="none"/>
          <w:lang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5.到位及时率(5分)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2022年，截至规定时点实际落实到具体项目的资金为235.14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到位及时率=（及时到位资金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230.14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/应到位资金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235.14</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97.87</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该项扣2.13分，</w:t>
      </w:r>
      <w:r>
        <w:rPr>
          <w:rFonts w:hint="eastAsia" w:ascii="宋体" w:hAnsi="宋体" w:eastAsia="方正仿宋简体"/>
          <w:color w:val="000000" w:themeColor="text1"/>
          <w:sz w:val="33"/>
          <w:szCs w:val="33"/>
          <w:highlight w:val="none"/>
          <w:lang w:eastAsia="zh-CN"/>
          <w14:textFill>
            <w14:solidFill>
              <w14:schemeClr w14:val="tx1"/>
            </w14:solidFill>
          </w14:textFill>
        </w:rPr>
        <w:t>得</w:t>
      </w:r>
      <w:r>
        <w:rPr>
          <w:rFonts w:hint="eastAsia" w:ascii="宋体" w:hAnsi="宋体" w:eastAsia="方正仿宋简体"/>
          <w:color w:val="000000" w:themeColor="text1"/>
          <w:sz w:val="33"/>
          <w:szCs w:val="33"/>
          <w:highlight w:val="none"/>
          <w:lang w:val="en-US" w:eastAsia="zh-CN"/>
          <w14:textFill>
            <w14:solidFill>
              <w14:schemeClr w14:val="tx1"/>
            </w14:solidFill>
          </w14:textFill>
        </w:rPr>
        <w:t>分2.87</w:t>
      </w:r>
      <w:r>
        <w:rPr>
          <w:rFonts w:hint="eastAsia" w:ascii="宋体" w:hAnsi="宋体" w:eastAsia="方正仿宋简体"/>
          <w:color w:val="000000" w:themeColor="text1"/>
          <w:sz w:val="33"/>
          <w:szCs w:val="33"/>
          <w:highlight w:val="none"/>
          <w:lang w:eastAsia="zh-CN"/>
          <w14:textFill>
            <w14:solidFill>
              <w14:schemeClr w14:val="tx1"/>
            </w14:solidFill>
          </w14:textFill>
        </w:rPr>
        <w:t>分。</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（二）过程</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1.管理制度健全性（4分）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在制度方面，本部门制定了</w:t>
      </w:r>
      <w:r>
        <w:rPr>
          <w:rFonts w:hint="eastAsia" w:ascii="宋体" w:hAnsi="宋体" w:eastAsia="方正仿宋简体"/>
          <w:color w:val="000000" w:themeColor="text1"/>
          <w:sz w:val="33"/>
          <w:szCs w:val="33"/>
          <w:highlight w:val="none"/>
          <w:lang w:eastAsia="zh-CN"/>
          <w14:textFill>
            <w14:solidFill>
              <w14:schemeClr w14:val="tx1"/>
            </w14:solidFill>
          </w14:textFill>
        </w:rPr>
        <w:t>《资阳市雁江区财政局内部控制手册》，包括《行政单位采购管理制度》、《行政单位预算管理制度》、《收支业务制度》、《行政资产管理制度》、《行政单位结算管理制度》等相关制度，从“三重一大”决策、预算管理、财务管理、固定资产管理、合同管理、政府采购等方面进行了规范，内控制度基本建立，具有合法、合规、完整的项目管理制度，业务管理制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健全，</w:t>
      </w:r>
      <w:r>
        <w:rPr>
          <w:rFonts w:ascii="宋体" w:hAnsi="宋体" w:eastAsia="方正仿宋简体"/>
          <w:color w:val="000000" w:themeColor="text1"/>
          <w:sz w:val="33"/>
          <w:szCs w:val="33"/>
          <w:highlight w:val="none"/>
          <w14:textFill>
            <w14:solidFill>
              <w14:schemeClr w14:val="tx1"/>
            </w14:solidFill>
          </w14:textFill>
        </w:rPr>
        <w:t>合法、合规、</w:t>
      </w:r>
      <w:r>
        <w:rPr>
          <w:rFonts w:hint="eastAsia" w:ascii="宋体" w:hAnsi="宋体" w:eastAsia="方正仿宋简体"/>
          <w:color w:val="000000" w:themeColor="text1"/>
          <w:sz w:val="33"/>
          <w:szCs w:val="33"/>
          <w:highlight w:val="none"/>
          <w:lang w:val="en-US" w:eastAsia="zh-CN"/>
          <w14:textFill>
            <w14:solidFill>
              <w14:schemeClr w14:val="tx1"/>
            </w14:solidFill>
          </w14:textFill>
        </w:rPr>
        <w:t>内容完整</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该项得满分4分。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2.制度执行有效性（6分)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lang w:eastAsia="zh-CN"/>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在项目执行方面，本部门严格遵守相关法律法规和业务管理规定，2022年进行过项目预算调整，项目调整及支出调整手续完备。同时，在项目执行过程中，项目合同书等资料齐全并及时归档，委托第三方公司负责，项目实施的人员条件、场地设备、信息支撑等均已落实到位，完成支付、财务、财报、政府采购等软件的运营维护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3.项目质量可控性（3分）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已制定或具有相应的项目质量要求或标准，明确在项目执行过程中，须保障办公软件正常运转、行政事业单位资产系统正常使用、用友公司财务平台正常运转等，并采取了相应的项目质量检查、验收等必需的控制措施或手段，如用户反馈等。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4.管理制度健全性（3分）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本部门</w:t>
      </w:r>
      <w:r>
        <w:rPr>
          <w:rFonts w:hint="eastAsia" w:ascii="宋体" w:hAnsi="宋体" w:eastAsia="方正仿宋简体"/>
          <w:color w:val="000000" w:themeColor="text1"/>
          <w:sz w:val="33"/>
          <w:szCs w:val="33"/>
          <w:highlight w:val="none"/>
          <w:lang w:eastAsia="zh-CN"/>
          <w14:textFill>
            <w14:solidFill>
              <w14:schemeClr w14:val="tx1"/>
            </w14:solidFill>
          </w14:textFill>
        </w:rPr>
        <w:t>为加强项目资金管理，制定了《资阳市雁江区财政局内部控制手册》用以规范项目管理相关工作，</w:t>
      </w:r>
      <w:r>
        <w:rPr>
          <w:rFonts w:hint="eastAsia" w:ascii="宋体" w:hAnsi="宋体" w:eastAsia="方正仿宋简体"/>
          <w:color w:val="000000" w:themeColor="text1"/>
          <w:sz w:val="33"/>
          <w:szCs w:val="33"/>
          <w:highlight w:val="none"/>
          <w:lang w:val="en-US" w:eastAsia="zh-CN"/>
          <w14:textFill>
            <w14:solidFill>
              <w14:schemeClr w14:val="tx1"/>
            </w14:solidFill>
          </w14:textFill>
        </w:rPr>
        <w:t>明确了直接支付管理以及授权支付管理等，符合相关财务会计制度的规定</w:t>
      </w:r>
      <w:r>
        <w:rPr>
          <w:rFonts w:hint="eastAsia" w:ascii="宋体" w:hAnsi="宋体" w:eastAsia="方正仿宋简体"/>
          <w:color w:val="000000" w:themeColor="text1"/>
          <w:sz w:val="33"/>
          <w:szCs w:val="33"/>
          <w:highlight w:val="none"/>
          <w:lang w:eastAsia="zh-CN"/>
          <w14:textFill>
            <w14:solidFill>
              <w14:schemeClr w14:val="tx1"/>
            </w14:solidFill>
          </w14:textFill>
        </w:rPr>
        <w:t>。该项得满分3分。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5.资金使用合规性（7分）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w:t>
      </w:r>
      <w:r>
        <w:rPr>
          <w:rFonts w:hint="default" w:ascii="宋体" w:hAnsi="宋体" w:eastAsia="方正仿宋简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项目资金</w:t>
      </w:r>
      <w:r>
        <w:rPr>
          <w:rFonts w:hint="default" w:ascii="宋体" w:hAnsi="宋体" w:eastAsia="方正仿宋简体"/>
          <w:color w:val="000000" w:themeColor="text1"/>
          <w:sz w:val="33"/>
          <w:szCs w:val="33"/>
          <w:highlight w:val="none"/>
          <w:lang w:val="en-US" w:eastAsia="zh-CN"/>
          <w14:textFill>
            <w14:solidFill>
              <w14:schemeClr w14:val="tx1"/>
            </w14:solidFill>
          </w14:textFill>
        </w:rPr>
        <w:t>按照</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财务管理</w:t>
      </w:r>
      <w:r>
        <w:rPr>
          <w:rFonts w:hint="default" w:ascii="宋体" w:hAnsi="宋体" w:eastAsia="方正仿宋简体"/>
          <w:color w:val="000000" w:themeColor="text1"/>
          <w:sz w:val="33"/>
          <w:szCs w:val="33"/>
          <w:highlight w:val="none"/>
          <w:lang w:val="en-US" w:eastAsia="zh-CN"/>
          <w14:textFill>
            <w14:solidFill>
              <w14:schemeClr w14:val="tx1"/>
            </w14:solidFill>
          </w14:textFill>
        </w:rPr>
        <w:t>规定使用财政资金，由执行部门根据实际工作发起支出申请表，</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财务分管领导</w:t>
      </w:r>
      <w:r>
        <w:rPr>
          <w:rFonts w:hint="default" w:ascii="宋体" w:hAnsi="宋体" w:eastAsia="方正仿宋简体"/>
          <w:color w:val="000000" w:themeColor="text1"/>
          <w:sz w:val="33"/>
          <w:szCs w:val="33"/>
          <w:highlight w:val="none"/>
          <w:lang w:val="en-US" w:eastAsia="zh-CN"/>
          <w14:textFill>
            <w14:solidFill>
              <w14:schemeClr w14:val="tx1"/>
            </w14:solidFill>
          </w14:textFill>
        </w:rPr>
        <w:t>对资金申请进行业务审批</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预算资金的拨付审批程序和手续完整，资金使用规范。项目资金使用符合项目预算批复及合同规定的用途，资金拨付审批程序和手续完整，不存在截留、挤占、挪用、虚列支出等情况。该项得满分7分。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6.财务监控有效性（2分）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该项目财务监控有效</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性不足</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2022年，本部门</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对项目资金使用情况及项目管理进度</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未</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实施监控，</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对项目进度情况未制定相应的监控机制，根据该情况扣1分</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。在采购预算控制、财务报销审核、资产入账等环节进行了财务审核</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，进行了财务检查</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该项扣1分，</w:t>
      </w:r>
      <w:r>
        <w:rPr>
          <w:rFonts w:hint="eastAsia" w:ascii="宋体" w:hAnsi="宋体" w:eastAsia="方正仿宋简体"/>
          <w:color w:val="000000" w:themeColor="text1"/>
          <w:sz w:val="33"/>
          <w:szCs w:val="33"/>
          <w:highlight w:val="none"/>
          <w:lang w:eastAsia="zh-CN"/>
          <w14:textFill>
            <w14:solidFill>
              <w14:schemeClr w14:val="tx1"/>
            </w14:solidFill>
          </w14:textFill>
        </w:rPr>
        <w:t>得</w:t>
      </w:r>
      <w:r>
        <w:rPr>
          <w:rFonts w:hint="eastAsia" w:ascii="宋体" w:hAnsi="宋体" w:eastAsia="方正仿宋简体"/>
          <w:color w:val="000000" w:themeColor="text1"/>
          <w:sz w:val="33"/>
          <w:szCs w:val="33"/>
          <w:highlight w:val="none"/>
          <w:lang w:val="en-US" w:eastAsia="zh-CN"/>
          <w14:textFill>
            <w14:solidFill>
              <w14:schemeClr w14:val="tx1"/>
            </w14:solidFill>
          </w14:textFill>
        </w:rPr>
        <w:t>分1</w:t>
      </w:r>
      <w:r>
        <w:rPr>
          <w:rFonts w:hint="eastAsia" w:ascii="宋体" w:hAnsi="宋体" w:eastAsia="方正仿宋简体"/>
          <w:color w:val="000000" w:themeColor="text1"/>
          <w:sz w:val="33"/>
          <w:szCs w:val="33"/>
          <w:highlight w:val="none"/>
          <w:lang w:eastAsia="zh-CN"/>
          <w14:textFill>
            <w14:solidFill>
              <w14:schemeClr w14:val="tx1"/>
            </w14:solidFill>
          </w14:textFill>
        </w:rPr>
        <w:t>分。</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（三）产出</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1.实际完成率（4分）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完成办公软件运维工作，金财工程大平台、全口径债务信息收集系统、行政事业单位资产系统、用友公司财务平台、E财预算软件的使用人数达到目标要求，本项目实际执行过程中，办公软件运维数量达到7次及以上，金财工程大平台等相关软件的使用人数均达到年初计划人数以上，2022年度，本项目实际产出的产品或提供的服务数量达到年初计划要求，实际完成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4</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2.完成及时率（6分）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行政事业单位资产系统响应及时率、E财预算软件响应及时率、用友公司财务平台响应及时率、全口径债务信息收集系统响应及时率以及金财工程大平台响应及时率均≥90%，实际执行过程中各个软件平台均及时响应，未响应情况也得到及时处理，完成及时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6</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3.质量达标率（5分）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w:t>
      </w:r>
      <w:r>
        <w:rPr>
          <w:rFonts w:hint="default" w:ascii="宋体" w:hAnsi="宋体" w:eastAsia="方正仿宋简体"/>
          <w:color w:val="000000" w:themeColor="text1"/>
          <w:sz w:val="33"/>
          <w:szCs w:val="33"/>
          <w:highlight w:val="none"/>
          <w:lang w:val="en-US" w:eastAsia="zh-CN"/>
          <w14:textFill>
            <w14:solidFill>
              <w14:schemeClr w14:val="tx1"/>
            </w14:solidFill>
          </w14:textFill>
        </w:rPr>
        <w:t>全口径债务信息收集系统正常运转率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行政事业单位资产系统正常运转率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用友公司财务平台正常运转率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E财预算软件正常运转率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金财工程大平台正常运转率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均在90%以上，实际执行过程中各个软件平台均正常运转，未正常运转情况也得到及时处理，质量达标率为100%。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4.成本节约率（5分）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主要成本来自各个平台及软件维护费，2022年项目计划成本237万元，</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实际成本为</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230.14</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万元。成本节约率</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237</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230.14</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237</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*100%=</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89</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%。该项得满分5分。</w:t>
      </w:r>
    </w:p>
    <w:p>
      <w:pPr>
        <w:keepNext/>
        <w:keepLines/>
        <w:pageBreakBefore w:val="0"/>
        <w:widowControl w:val="0"/>
        <w:kinsoku/>
        <w:wordWrap/>
        <w:overflowPunct/>
        <w:topLinePunct w:val="0"/>
        <w:autoSpaceDE/>
        <w:autoSpaceDN/>
        <w:bidi w:val="0"/>
        <w:adjustRightInd w:val="0"/>
        <w:snapToGrid/>
        <w:spacing w:before="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（四）效果</w:t>
      </w:r>
      <w:r>
        <w:rPr>
          <w:rFonts w:hint="eastAsia" w:ascii="宋体" w:hAnsi="宋体" w:eastAsia="方正楷体简体" w:cs="Times New Roman"/>
          <w:b/>
          <w:kern w:val="2"/>
          <w:sz w:val="33"/>
          <w:szCs w:val="33"/>
          <w:lang w:val="zh-CN" w:eastAsia="zh-CN" w:bidi="ar-SA"/>
        </w:rPr>
        <w:t>指标</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1.社会效益-软件办公保障率(10分）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default" w:ascii="宋体" w:hAnsi="宋体" w:eastAsia="方正仿宋简体"/>
          <w:color w:val="000000" w:themeColor="text1"/>
          <w:sz w:val="33"/>
          <w:szCs w:val="33"/>
          <w:highlight w:val="none"/>
          <w:lang w:val="en-US" w:eastAsia="zh-CN"/>
          <w14:textFill>
            <w14:solidFill>
              <w14:schemeClr w14:val="tx1"/>
            </w14:solidFill>
          </w14:textFill>
        </w:rPr>
        <w:t>本项目的实施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有效保障了</w:t>
      </w:r>
      <w:r>
        <w:rPr>
          <w:rFonts w:hint="default" w:ascii="宋体" w:hAnsi="宋体" w:eastAsia="方正仿宋简体"/>
          <w:color w:val="000000" w:themeColor="text1"/>
          <w:sz w:val="33"/>
          <w:szCs w:val="33"/>
          <w:highlight w:val="none"/>
          <w:lang w:val="en-US" w:eastAsia="zh-CN"/>
          <w14:textFill>
            <w14:solidFill>
              <w14:schemeClr w14:val="tx1"/>
            </w14:solidFill>
          </w14:textFill>
        </w:rPr>
        <w:t>雁江区行政事业单位使用的相关支付、财务、财报、政府采购等软件</w:t>
      </w:r>
      <w:r>
        <w:rPr>
          <w:rFonts w:hint="eastAsia" w:ascii="宋体" w:hAnsi="宋体" w:eastAsia="方正仿宋简体"/>
          <w:color w:val="000000" w:themeColor="text1"/>
          <w:sz w:val="33"/>
          <w:szCs w:val="33"/>
          <w:highlight w:val="none"/>
          <w:lang w:val="en-US" w:eastAsia="zh-CN"/>
          <w14:textFill>
            <w14:solidFill>
              <w14:schemeClr w14:val="tx1"/>
            </w14:solidFill>
          </w14:textFill>
        </w:rPr>
        <w:t>的正常运转</w:t>
      </w:r>
      <w:r>
        <w:rPr>
          <w:rFonts w:hint="default" w:ascii="宋体" w:hAnsi="宋体" w:eastAsia="方正仿宋简体"/>
          <w:color w:val="000000" w:themeColor="text1"/>
          <w:sz w:val="33"/>
          <w:szCs w:val="33"/>
          <w:highlight w:val="none"/>
          <w:lang w:val="en-US" w:eastAsia="zh-CN"/>
          <w14:textFill>
            <w14:solidFill>
              <w14:schemeClr w14:val="tx1"/>
            </w14:solidFill>
          </w14:textFill>
        </w:rPr>
        <w:t>，保障</w:t>
      </w:r>
      <w:r>
        <w:rPr>
          <w:rFonts w:hint="eastAsia" w:ascii="宋体" w:hAnsi="宋体" w:eastAsia="方正仿宋简体"/>
          <w:color w:val="000000" w:themeColor="text1"/>
          <w:sz w:val="33"/>
          <w:szCs w:val="33"/>
          <w:highlight w:val="none"/>
          <w:lang w:val="en-US" w:eastAsia="zh-CN"/>
          <w14:textFill>
            <w14:solidFill>
              <w14:schemeClr w14:val="tx1"/>
            </w14:solidFill>
          </w14:textFill>
        </w:rPr>
        <w:t>了</w:t>
      </w:r>
      <w:r>
        <w:rPr>
          <w:rFonts w:hint="default" w:ascii="宋体" w:hAnsi="宋体" w:eastAsia="方正仿宋简体"/>
          <w:color w:val="000000" w:themeColor="text1"/>
          <w:sz w:val="33"/>
          <w:szCs w:val="33"/>
          <w:highlight w:val="none"/>
          <w:lang w:val="en-US" w:eastAsia="zh-CN"/>
          <w14:textFill>
            <w14:solidFill>
              <w14:schemeClr w14:val="tx1"/>
            </w14:solidFill>
          </w14:textFill>
        </w:rPr>
        <w:t>全区财务系统使用正常，账务处理信息安全。该项得满分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2.可持续影响-信息化机制健全性（10分）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该项目的实施有助于保障各项财务软件、平台正常运转，</w:t>
      </w:r>
      <w:r>
        <w:rPr>
          <w:rFonts w:hint="default" w:ascii="宋体" w:hAnsi="宋体" w:eastAsia="方正仿宋简体"/>
          <w:color w:val="000000" w:themeColor="text1"/>
          <w:sz w:val="33"/>
          <w:szCs w:val="33"/>
          <w:highlight w:val="none"/>
          <w:lang w:val="en-US" w:eastAsia="zh-CN"/>
          <w14:textFill>
            <w14:solidFill>
              <w14:schemeClr w14:val="tx1"/>
            </w14:solidFill>
          </w14:textFill>
        </w:rPr>
        <w:t>以信息化建设助推财政各项改革和管理创新，</w:t>
      </w:r>
      <w:r>
        <w:rPr>
          <w:rFonts w:hint="eastAsia" w:ascii="宋体" w:hAnsi="宋体" w:eastAsia="方正仿宋简体"/>
          <w:color w:val="000000" w:themeColor="text1"/>
          <w:sz w:val="33"/>
          <w:szCs w:val="33"/>
          <w:highlight w:val="none"/>
          <w:lang w:val="en-US" w:eastAsia="zh-CN"/>
          <w14:textFill>
            <w14:solidFill>
              <w14:schemeClr w14:val="tx1"/>
            </w14:solidFill>
          </w14:textFill>
        </w:rPr>
        <w:t>不断完善信息化建设，信息化机制健全，具备可持续影响。</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s="Times New Roman"/>
          <w:b/>
          <w:kern w:val="2"/>
          <w:sz w:val="33"/>
          <w:szCs w:val="33"/>
          <w:lang w:val="en-US" w:eastAsia="zh-CN"/>
        </w:rPr>
      </w:pPr>
      <w:r>
        <w:rPr>
          <w:rFonts w:hint="eastAsia" w:ascii="宋体" w:hAnsi="宋体" w:eastAsia="方正仿宋简体" w:cs="Times New Roman"/>
          <w:b/>
          <w:kern w:val="2"/>
          <w:sz w:val="33"/>
          <w:szCs w:val="33"/>
          <w:lang w:val="en-US" w:eastAsia="zh-CN"/>
        </w:rPr>
        <w:t>3.社会公众或服务对象满意度-办公软件财务使用人员满意度(10分)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根据满意度指标设置的评价标准，满意度目标值为≥90%，通过对办公软件财务使用人员的访谈以及调查，得出满意度为92%，高于目标值90%。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五、主要经验及做法、存在的问题和建议</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（一）主要经验及做法</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在项目管理方面，</w:t>
      </w:r>
      <w:r>
        <w:rPr>
          <w:rFonts w:ascii="宋体" w:hAnsi="宋体" w:eastAsia="方正仿宋简体"/>
          <w:color w:val="000000" w:themeColor="text1"/>
          <w:sz w:val="33"/>
          <w:szCs w:val="33"/>
          <w:highlight w:val="none"/>
          <w14:textFill>
            <w14:solidFill>
              <w14:schemeClr w14:val="tx1"/>
            </w14:solidFill>
          </w14:textFill>
        </w:rPr>
        <w:t>为</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有效保障各个软件、平台的正常运转，本部门通过平台租赁以及委托第三方公司进行维护，并接收办公软件财务使用人员的反馈，有效保障了支付、财务、财报、政府采购等软件的正常运转。</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在项目资金使用方面，为</w:t>
      </w:r>
      <w:r>
        <w:rPr>
          <w:rFonts w:ascii="宋体" w:hAnsi="宋体" w:eastAsia="方正仿宋简体"/>
          <w:color w:val="000000" w:themeColor="text1"/>
          <w:sz w:val="33"/>
          <w:szCs w:val="33"/>
          <w:highlight w:val="none"/>
          <w14:textFill>
            <w14:solidFill>
              <w14:schemeClr w14:val="tx1"/>
            </w14:solidFill>
          </w14:textFill>
        </w:rPr>
        <w:t>合理、有效、规范使用</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w:t>
      </w:r>
      <w:r>
        <w:rPr>
          <w:rFonts w:ascii="宋体" w:hAnsi="宋体" w:eastAsia="方正仿宋简体"/>
          <w:color w:val="000000" w:themeColor="text1"/>
          <w:sz w:val="33"/>
          <w:szCs w:val="33"/>
          <w:highlight w:val="none"/>
          <w14:textFill>
            <w14:solidFill>
              <w14:schemeClr w14:val="tx1"/>
            </w14:solidFill>
          </w14:textFill>
        </w:rPr>
        <w:t>资金，本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部门选择</w:t>
      </w:r>
      <w:r>
        <w:rPr>
          <w:rFonts w:ascii="宋体" w:hAnsi="宋体" w:eastAsia="方正仿宋简体"/>
          <w:color w:val="000000" w:themeColor="text1"/>
          <w:sz w:val="33"/>
          <w:szCs w:val="33"/>
          <w:highlight w:val="none"/>
          <w14:textFill>
            <w14:solidFill>
              <w14:schemeClr w14:val="tx1"/>
            </w14:solidFill>
          </w14:textFill>
        </w:rPr>
        <w:t>专人负责，严格按照相关会计制度进行会计核算和财务处理，做到财务处理及时、会计核算规范。严把审批关，杜绝了弄虚作假、截留、挤占、挪用专项资金的情况发生。</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（二）存在的问题</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s="Times New Roman"/>
          <w:b/>
          <w:kern w:val="2"/>
          <w:sz w:val="33"/>
          <w:szCs w:val="33"/>
          <w:lang w:val="en-US" w:eastAsia="zh-CN"/>
        </w:rPr>
        <w:t>1.指标权重分配不合理，部分指标权重过大。</w:t>
      </w:r>
      <w:r>
        <w:rPr>
          <w:rFonts w:hint="eastAsia" w:ascii="宋体" w:hAnsi="宋体" w:eastAsia="方正仿宋简体"/>
          <w:color w:val="000000" w:themeColor="text1"/>
          <w:sz w:val="33"/>
          <w:szCs w:val="33"/>
          <w:highlight w:val="none"/>
          <w:lang w:val="en-US" w:eastAsia="zh-CN"/>
          <w14:textFill>
            <w14:solidFill>
              <w14:schemeClr w14:val="tx1"/>
            </w14:solidFill>
          </w14:textFill>
        </w:rPr>
        <w:t>在本次项目绩效指标设置中，其中满意度指标“办公软件财务使用人员满意度≥90%”该指标权重为20分，分配权重过大，其余指标如“E财预算软件正常运转率≥90%”权重分为3分，与满意度指标权重相差巨大，该项目绩效指标设置中权重分配不合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s="Times New Roman"/>
          <w:b/>
          <w:kern w:val="2"/>
          <w:sz w:val="33"/>
          <w:szCs w:val="33"/>
          <w:lang w:val="en-US" w:eastAsia="zh-CN"/>
        </w:rPr>
        <w:t>2.资金未完全落实。</w:t>
      </w: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2022年，该项目应到位资金为</w:t>
      </w:r>
      <w:r>
        <w:rPr>
          <w:rFonts w:hint="eastAsia" w:ascii="宋体" w:hAnsi="宋体" w:eastAsia="方正仿宋简体"/>
          <w:color w:val="000000" w:themeColor="text1"/>
          <w:sz w:val="33"/>
          <w:szCs w:val="33"/>
          <w:highlight w:val="none"/>
          <w14:textFill>
            <w14:solidFill>
              <w14:schemeClr w14:val="tx1"/>
            </w14:solidFill>
          </w14:textFill>
        </w:rPr>
        <w:t>235.14万元</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实际到位资金230.14万元，资金到位率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和到位及时率均为</w:t>
      </w:r>
      <w:r>
        <w:rPr>
          <w:rFonts w:hint="eastAsia" w:ascii="宋体" w:hAnsi="宋体" w:eastAsia="方正仿宋简体"/>
          <w:color w:val="000000" w:themeColor="text1"/>
          <w:sz w:val="33"/>
          <w:szCs w:val="33"/>
          <w:highlight w:val="none"/>
          <w14:textFill>
            <w14:solidFill>
              <w14:schemeClr w14:val="tx1"/>
            </w14:solidFill>
          </w14:textFill>
        </w:rPr>
        <w:t>97.87%</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资金未完全落实到位</w:t>
      </w:r>
      <w:r>
        <w:rPr>
          <w:rFonts w:hint="eastAsia"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lang w:val="en-US" w:eastAsia="zh-CN"/>
        </w:rPr>
      </w:pPr>
      <w:r>
        <w:rPr>
          <w:rFonts w:hint="eastAsia" w:ascii="宋体" w:hAnsi="宋体" w:eastAsia="方正仿宋简体" w:cs="Times New Roman"/>
          <w:b/>
          <w:kern w:val="2"/>
          <w:sz w:val="33"/>
          <w:szCs w:val="33"/>
          <w:lang w:val="en-US" w:eastAsia="zh-CN"/>
        </w:rPr>
        <w:t>3.未制定相应的监控机制，监控有效性不足。</w:t>
      </w:r>
      <w:r>
        <w:rPr>
          <w:rFonts w:ascii="宋体" w:hAnsi="宋体" w:eastAsia="方正仿宋简体"/>
          <w:color w:val="000000" w:themeColor="text1"/>
          <w:sz w:val="33"/>
          <w:szCs w:val="33"/>
          <w:highlight w:val="none"/>
          <w14:textFill>
            <w14:solidFill>
              <w14:schemeClr w14:val="tx1"/>
            </w14:solidFill>
          </w14:textFill>
        </w:rPr>
        <w:t>绩效目标和指标往往根据项目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ascii="宋体" w:hAnsi="宋体" w:eastAsia="方正仿宋简体"/>
          <w:color w:val="000000" w:themeColor="text1"/>
          <w:sz w:val="33"/>
          <w:szCs w:val="33"/>
          <w:highlight w:val="none"/>
          <w14:textFill>
            <w14:solidFill>
              <w14:schemeClr w14:val="tx1"/>
            </w14:solidFill>
          </w14:textFill>
        </w:rPr>
        <w:t>情况制定，对项目执行过程有效约束不够，存在一定的偏差</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只注重项目完成结果，</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该项目在实施过程中未制定相应的监控机制，</w:t>
      </w:r>
      <w:r>
        <w:rPr>
          <w:rFonts w:hint="eastAsia" w:ascii="宋体" w:hAnsi="宋体" w:eastAsia="方正仿宋简体"/>
          <w:color w:val="000000" w:themeColor="text1"/>
          <w:sz w:val="33"/>
          <w:szCs w:val="33"/>
          <w:highlight w:val="none"/>
          <w14:textFill>
            <w14:solidFill>
              <w14:schemeClr w14:val="tx1"/>
            </w14:solidFill>
          </w14:textFill>
        </w:rPr>
        <w:t>对执行过程没有根据项目进度随时考评</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监控有效性不足</w:t>
      </w:r>
      <w:r>
        <w:rPr>
          <w:rFonts w:hint="eastAsia"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（三）建议和改进措施</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s="Times New Roman"/>
          <w:b/>
          <w:kern w:val="2"/>
          <w:sz w:val="33"/>
          <w:szCs w:val="33"/>
          <w:lang w:val="en-US" w:eastAsia="zh-CN"/>
        </w:rPr>
        <w:t>1.科学合理分配指标权重。</w:t>
      </w: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建议加强预算绩效管理相关理论学习，明确关键指标和普通指标的区别，同时根据指标重要程度科学合理分配指标权重，避免出现指标之间权重差异巨大的情况，保障指标设置的科学合理性。</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s="Times New Roman"/>
          <w:b/>
          <w:kern w:val="2"/>
          <w:sz w:val="33"/>
          <w:szCs w:val="33"/>
          <w:lang w:val="en-US" w:eastAsia="zh-CN"/>
        </w:rPr>
        <w:t>2.提高项目预算编制准确性，及时调整项目资金。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建议项目编制预算时，做到测算明细依据充分，根据项目预计完成情况科学合理编制项目预算，并在中期根据项目实施具体情况合理调整项目资金，确保项目资金完全落实到位</w:t>
      </w:r>
      <w:r>
        <w:rPr>
          <w:rFonts w:hint="eastAsia"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3" w:firstLineChars="200"/>
        <w:textAlignment w:val="auto"/>
        <w:rPr>
          <w:rFonts w:hint="eastAsia" w:ascii="宋体" w:hAnsi="宋体" w:eastAsia="方正仿宋简体" w:cs="Times New Roman"/>
          <w:color w:val="000000" w:themeColor="text1"/>
          <w:kern w:val="2"/>
          <w:sz w:val="33"/>
          <w:szCs w:val="33"/>
          <w:highlight w:val="none"/>
          <w14:textFill>
            <w14:solidFill>
              <w14:schemeClr w14:val="tx1"/>
            </w14:solidFill>
          </w14:textFill>
        </w:rPr>
      </w:pPr>
      <w:r>
        <w:rPr>
          <w:rFonts w:hint="eastAsia" w:ascii="宋体" w:hAnsi="宋体" w:eastAsia="方正仿宋简体" w:cs="Times New Roman"/>
          <w:b/>
          <w:kern w:val="2"/>
          <w:sz w:val="33"/>
          <w:szCs w:val="33"/>
          <w:lang w:val="en-US" w:eastAsia="zh-CN"/>
        </w:rPr>
        <w:t>3.完善监控机制，加强项目的监督管理。</w:t>
      </w:r>
      <w:r>
        <w:rPr>
          <w:rFonts w:hint="eastAsia" w:eastAsia="方正仿宋简体" w:cs="Times New Roman"/>
          <w:color w:val="000000" w:themeColor="text1"/>
          <w:kern w:val="2"/>
          <w:sz w:val="33"/>
          <w:szCs w:val="33"/>
          <w:highlight w:val="none"/>
          <w:lang w:val="en-US" w:eastAsia="zh-CN"/>
          <w14:textFill>
            <w14:solidFill>
              <w14:schemeClr w14:val="tx1"/>
            </w14:solidFill>
          </w14:textFill>
        </w:rPr>
        <w:t>建议完善监控机制，加强项目监督管理，</w:t>
      </w:r>
      <w:r>
        <w:rPr>
          <w:rFonts w:hint="eastAsia" w:ascii="宋体" w:hAnsi="宋体" w:eastAsia="方正仿宋简体" w:cs="Times New Roman"/>
          <w:color w:val="000000" w:themeColor="text1"/>
          <w:kern w:val="2"/>
          <w:sz w:val="33"/>
          <w:szCs w:val="33"/>
          <w:highlight w:val="none"/>
          <w14:textFill>
            <w14:solidFill>
              <w14:schemeClr w14:val="tx1"/>
            </w14:solidFill>
          </w14:textFill>
        </w:rPr>
        <w:t>通过绩效监控工作，掌握项目绩效目标的完成情况、项目实施进程和资金支出进度，当项目执行绩效与绩效目标发生偏离时，并采取措施予以纠正，确保实现绩效目标及项目效益。</w:t>
      </w:r>
      <w:r>
        <w:rPr>
          <w:rFonts w:hint="eastAsia" w:eastAsia="方正仿宋简体" w:cs="Times New Roman"/>
          <w:color w:val="000000" w:themeColor="text1"/>
          <w:kern w:val="2"/>
          <w:sz w:val="33"/>
          <w:szCs w:val="33"/>
          <w:highlight w:val="none"/>
          <w:lang w:val="en-US" w:eastAsia="zh-CN"/>
          <w14:textFill>
            <w14:solidFill>
              <w14:schemeClr w14:val="tx1"/>
            </w14:solidFill>
          </w14:textFill>
        </w:rPr>
        <w:t>此外，</w:t>
      </w:r>
      <w:r>
        <w:rPr>
          <w:rFonts w:ascii="宋体" w:hAnsi="宋体" w:eastAsia="方正仿宋简体" w:cs="Times New Roman"/>
          <w:color w:val="000000" w:themeColor="text1"/>
          <w:kern w:val="2"/>
          <w:sz w:val="33"/>
          <w:szCs w:val="33"/>
          <w:highlight w:val="none"/>
          <w14:textFill>
            <w14:solidFill>
              <w14:schemeClr w14:val="tx1"/>
            </w14:solidFill>
          </w14:textFill>
        </w:rPr>
        <w:t>规范绩效评价管理资料的收集整理，确保相关信息完整、可靠，客观公正地反映项目资金实际使用和产生的绩效状况，为今后该项目实施方向及管理方式的改进提供指导。</w:t>
      </w:r>
    </w:p>
    <w:p>
      <w:pPr>
        <w:pStyle w:val="2"/>
        <w:rPr>
          <w:rFonts w:hint="eastAsia" w:ascii="宋体" w:hAnsi="宋体" w:eastAsia="方正仿宋简体"/>
          <w:color w:val="000000" w:themeColor="text1"/>
          <w:sz w:val="33"/>
          <w:szCs w:val="33"/>
          <w:highlight w:val="none"/>
          <w:lang w:val="en-US" w:eastAsia="zh-CN"/>
          <w14:textFill>
            <w14:solidFill>
              <w14:schemeClr w14:val="tx1"/>
            </w14:solidFill>
          </w14:textFill>
        </w:rPr>
        <w:sectPr>
          <w:pgSz w:w="11906" w:h="16838"/>
          <w:pgMar w:top="1440" w:right="1800" w:bottom="1440" w:left="1800" w:header="851" w:footer="992" w:gutter="0"/>
          <w:pgNumType w:fmt="decimal"/>
          <w:cols w:space="0" w:num="1"/>
          <w:titlePg/>
          <w:rtlGutter w:val="0"/>
          <w:docGrid w:type="lines" w:linePitch="312" w:charSpace="0"/>
        </w:sectPr>
      </w:pPr>
    </w:p>
    <w:p>
      <w:pPr>
        <w:spacing w:line="600" w:lineRule="exact"/>
        <w:jc w:val="center"/>
        <w:rPr>
          <w:rFonts w:hint="eastAsia" w:ascii="宋体" w:hAnsi="宋体" w:eastAsia="方正小标宋简体" w:cs="Times New Roman"/>
          <w:color w:val="000000"/>
          <w:spacing w:val="-12"/>
          <w:kern w:val="0"/>
          <w:sz w:val="40"/>
          <w:szCs w:val="40"/>
          <w:lang w:eastAsia="zh-CN"/>
        </w:rPr>
      </w:pPr>
      <w:r>
        <w:rPr>
          <w:rFonts w:hint="eastAsia" w:ascii="宋体" w:hAnsi="宋体" w:eastAsia="方正小标宋简体" w:cs="Times New Roman"/>
          <w:color w:val="000000"/>
          <w:spacing w:val="-12"/>
          <w:kern w:val="0"/>
          <w:sz w:val="40"/>
          <w:szCs w:val="40"/>
        </w:rPr>
        <w:t>中共资阳市雁江区</w:t>
      </w:r>
      <w:r>
        <w:rPr>
          <w:rFonts w:hint="eastAsia" w:ascii="宋体" w:hAnsi="宋体" w:eastAsia="方正小标宋简体" w:cs="Times New Roman"/>
          <w:color w:val="000000"/>
          <w:spacing w:val="-12"/>
          <w:kern w:val="0"/>
          <w:sz w:val="40"/>
          <w:szCs w:val="40"/>
          <w:lang w:eastAsia="zh-CN"/>
        </w:rPr>
        <w:t>财政局</w:t>
      </w:r>
    </w:p>
    <w:p>
      <w:pPr>
        <w:spacing w:line="600" w:lineRule="exact"/>
        <w:jc w:val="center"/>
        <w:rPr>
          <w:rFonts w:hint="eastAsia" w:ascii="宋体" w:hAnsi="宋体" w:eastAsia="方正小标宋简体" w:cs="Times New Roman"/>
          <w:color w:val="000000"/>
          <w:spacing w:val="-12"/>
          <w:kern w:val="0"/>
          <w:sz w:val="40"/>
          <w:szCs w:val="40"/>
        </w:rPr>
      </w:pPr>
      <w:r>
        <w:rPr>
          <w:rFonts w:hint="eastAsia" w:ascii="宋体" w:hAnsi="宋体" w:eastAsia="方正小标宋简体" w:cs="Times New Roman"/>
          <w:color w:val="000000"/>
          <w:spacing w:val="-12"/>
          <w:kern w:val="0"/>
          <w:sz w:val="40"/>
          <w:szCs w:val="40"/>
        </w:rPr>
        <w:t>202</w:t>
      </w:r>
      <w:r>
        <w:rPr>
          <w:rFonts w:hint="eastAsia" w:ascii="宋体" w:hAnsi="宋体" w:eastAsia="方正小标宋简体" w:cs="Times New Roman"/>
          <w:color w:val="000000"/>
          <w:spacing w:val="-12"/>
          <w:kern w:val="0"/>
          <w:sz w:val="40"/>
          <w:szCs w:val="40"/>
          <w:lang w:val="en-US" w:eastAsia="zh-CN"/>
        </w:rPr>
        <w:t>2</w:t>
      </w:r>
      <w:r>
        <w:rPr>
          <w:rFonts w:hint="eastAsia" w:ascii="宋体" w:hAnsi="宋体" w:eastAsia="方正小标宋简体" w:cs="Times New Roman"/>
          <w:color w:val="000000"/>
          <w:spacing w:val="-12"/>
          <w:kern w:val="0"/>
          <w:sz w:val="40"/>
          <w:szCs w:val="40"/>
        </w:rPr>
        <w:t>年雁江区项目支出绩效自评报告</w:t>
      </w:r>
    </w:p>
    <w:p>
      <w:pPr>
        <w:spacing w:line="600" w:lineRule="exact"/>
        <w:jc w:val="center"/>
        <w:rPr>
          <w:rFonts w:ascii="宋体" w:hAnsi="宋体" w:eastAsia="方正楷体简体" w:cs="Times New Roman"/>
          <w:b/>
          <w:sz w:val="32"/>
          <w:szCs w:val="32"/>
        </w:rPr>
      </w:pPr>
      <w:r>
        <w:rPr>
          <w:rFonts w:hint="eastAsia" w:ascii="宋体" w:hAnsi="宋体" w:eastAsia="方正楷体简体" w:cs="Times New Roman"/>
          <w:b/>
          <w:sz w:val="32"/>
          <w:szCs w:val="32"/>
          <w:lang w:val="en-US" w:eastAsia="zh-CN"/>
        </w:rPr>
        <w:t>（预算绩效管理监督检查经费</w:t>
      </w:r>
      <w:r>
        <w:rPr>
          <w:rFonts w:hint="eastAsia" w:ascii="宋体" w:hAnsi="宋体" w:eastAsia="方正楷体简体" w:cs="Times New Roman"/>
          <w:b/>
          <w:sz w:val="32"/>
          <w:szCs w:val="32"/>
        </w:rPr>
        <w:t>）</w:t>
      </w:r>
    </w:p>
    <w:p>
      <w:pPr>
        <w:spacing w:line="590" w:lineRule="exact"/>
        <w:jc w:val="center"/>
        <w:rPr>
          <w:rFonts w:hint="eastAsia" w:ascii="宋体" w:hAnsi="宋体" w:eastAsia="方正楷体_GBK" w:cs="方正楷体_GBK"/>
          <w:b/>
          <w:bCs w:val="0"/>
          <w:sz w:val="32"/>
          <w:szCs w:val="32"/>
        </w:rPr>
      </w:pPr>
    </w:p>
    <w:p>
      <w:pPr>
        <w:spacing w:line="280" w:lineRule="exact"/>
        <w:jc w:val="center"/>
        <w:rPr>
          <w:rFonts w:hint="eastAsia" w:ascii="宋体" w:hAnsi="宋体" w:eastAsia="方正仿宋简体"/>
          <w:b/>
          <w:sz w:val="32"/>
          <w:szCs w:val="32"/>
        </w:rPr>
      </w:pP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一、项目基本情况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（一）概况</w:t>
      </w:r>
    </w:p>
    <w:p>
      <w:pPr>
        <w:pStyle w:val="2"/>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1．立项背景及目的</w:t>
      </w:r>
    </w:p>
    <w:p>
      <w:pPr>
        <w:spacing w:line="600" w:lineRule="exact"/>
        <w:ind w:firstLine="660" w:firstLineChars="200"/>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pP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2022年，雁江区财政局为全面贯彻落实中央、省委、市委和区委全面实施预算绩效管理的各项决策部署，围绕全面建成全方位、全过程、全覆盖的预算绩效管理体系总体目标，以提升财政资金绩效为主线，以实现绩效目标为导向，以财政支出绩效评价为手段，以评价结果应用为保障，夯实绩效管理基础，硬化绩效结果应用，严格考核监督问责，推动绩效管理提质增效，不断提高财政资金使用效益，设立预算绩效管理监督检查经费项目。本项目实施主体为四川兴易财云信息科技</w:t>
      </w:r>
      <w:r>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t>有限公司</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w:t>
      </w:r>
    </w:p>
    <w:p>
      <w:pPr>
        <w:pStyle w:val="2"/>
        <w:numPr>
          <w:ilvl w:val="0"/>
          <w:numId w:val="11"/>
        </w:numPr>
        <w:spacing w:after="0" w:line="590" w:lineRule="exact"/>
        <w:ind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预算资金来源及使用情况</w:t>
      </w:r>
    </w:p>
    <w:p>
      <w:pPr>
        <w:spacing w:line="600" w:lineRule="exact"/>
        <w:ind w:firstLine="641"/>
        <w:jc w:val="left"/>
        <w:rPr>
          <w:rFonts w:hint="default" w:ascii="Times New Roman" w:hAnsi="Times New Roman" w:eastAsia="方正仿宋简体" w:cs="Times New Roman"/>
          <w:color w:val="auto"/>
          <w:sz w:val="33"/>
          <w:szCs w:val="33"/>
        </w:rPr>
      </w:pPr>
      <w:r>
        <w:rPr>
          <w:rFonts w:hint="default" w:ascii="Times New Roman" w:hAnsi="Times New Roman" w:eastAsia="方正仿宋简体" w:cs="Times New Roman"/>
          <w:color w:val="auto"/>
          <w:sz w:val="33"/>
          <w:szCs w:val="33"/>
          <w:lang w:val="en-US" w:eastAsia="zh-CN"/>
        </w:rPr>
        <w:t>2022年，</w:t>
      </w:r>
      <w:r>
        <w:rPr>
          <w:rFonts w:hint="default" w:ascii="Times New Roman" w:hAnsi="Times New Roman" w:eastAsia="方正仿宋简体" w:cs="Times New Roman"/>
          <w:color w:val="auto"/>
          <w:sz w:val="33"/>
          <w:szCs w:val="33"/>
        </w:rPr>
        <w:t>本项目</w:t>
      </w:r>
      <w:r>
        <w:rPr>
          <w:rFonts w:hint="default" w:ascii="Times New Roman" w:hAnsi="Times New Roman" w:eastAsia="方正仿宋简体" w:cs="Times New Roman"/>
          <w:color w:val="auto"/>
          <w:sz w:val="33"/>
          <w:szCs w:val="33"/>
          <w:lang w:val="en-US" w:eastAsia="zh-CN"/>
        </w:rPr>
        <w:t>年初</w:t>
      </w:r>
      <w:r>
        <w:rPr>
          <w:rFonts w:hint="default" w:ascii="Times New Roman" w:hAnsi="Times New Roman" w:eastAsia="方正仿宋简体" w:cs="Times New Roman"/>
          <w:color w:val="auto"/>
          <w:sz w:val="33"/>
          <w:szCs w:val="33"/>
        </w:rPr>
        <w:t>预算</w:t>
      </w:r>
      <w:r>
        <w:rPr>
          <w:rFonts w:hint="default" w:ascii="Times New Roman" w:hAnsi="Times New Roman" w:eastAsia="方正仿宋简体" w:cs="Times New Roman"/>
          <w:color w:val="auto"/>
          <w:sz w:val="33"/>
          <w:szCs w:val="33"/>
          <w:lang w:val="en-US" w:eastAsia="zh-CN"/>
        </w:rPr>
        <w:t>100</w:t>
      </w:r>
      <w:r>
        <w:rPr>
          <w:rFonts w:hint="default" w:ascii="Times New Roman" w:hAnsi="Times New Roman" w:eastAsia="方正仿宋简体" w:cs="Times New Roman"/>
          <w:color w:val="auto"/>
          <w:sz w:val="33"/>
          <w:szCs w:val="33"/>
        </w:rPr>
        <w:t>万元，</w:t>
      </w:r>
      <w:r>
        <w:rPr>
          <w:rFonts w:hint="default" w:ascii="Times New Roman" w:hAnsi="Times New Roman" w:eastAsia="方正仿宋简体" w:cs="Times New Roman"/>
          <w:color w:val="auto"/>
          <w:sz w:val="33"/>
          <w:szCs w:val="33"/>
          <w:lang w:eastAsia="zh-CN"/>
        </w:rPr>
        <w:t>调整预算数为</w:t>
      </w:r>
      <w:r>
        <w:rPr>
          <w:rFonts w:hint="default" w:ascii="Times New Roman" w:hAnsi="Times New Roman" w:eastAsia="方正仿宋简体" w:cs="Times New Roman"/>
          <w:color w:val="auto"/>
          <w:sz w:val="33"/>
          <w:szCs w:val="33"/>
          <w:lang w:val="en-US" w:eastAsia="zh-CN"/>
        </w:rPr>
        <w:t>65.39万，截至2022年12月31日，本项目预算执行数为</w:t>
      </w:r>
      <w:r>
        <w:rPr>
          <w:rFonts w:hint="default" w:ascii="Times New Roman" w:hAnsi="Times New Roman" w:eastAsia="方正仿宋简体" w:cs="Times New Roman"/>
          <w:color w:val="auto"/>
          <w:sz w:val="33"/>
          <w:szCs w:val="33"/>
          <w:highlight w:val="none"/>
          <w:lang w:val="en-US" w:eastAsia="zh-CN"/>
        </w:rPr>
        <w:t>65.39万</w:t>
      </w:r>
      <w:r>
        <w:rPr>
          <w:rFonts w:hint="default" w:ascii="Times New Roman" w:hAnsi="Times New Roman" w:eastAsia="方正仿宋简体" w:cs="Times New Roman"/>
          <w:color w:val="auto"/>
          <w:sz w:val="33"/>
          <w:szCs w:val="33"/>
          <w:lang w:val="en-US" w:eastAsia="zh-CN"/>
        </w:rPr>
        <w:t>，预算执行率为100%，</w:t>
      </w:r>
      <w:r>
        <w:rPr>
          <w:rFonts w:hint="default" w:ascii="Times New Roman" w:hAnsi="Times New Roman" w:eastAsia="方正仿宋简体" w:cs="Times New Roman"/>
          <w:color w:val="auto"/>
          <w:sz w:val="33"/>
          <w:szCs w:val="33"/>
        </w:rPr>
        <w:t>全部为一般公共预算拨款。</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实施情况（项目完成情况）</w:t>
      </w:r>
    </w:p>
    <w:p>
      <w:pPr>
        <w:spacing w:line="600" w:lineRule="exact"/>
        <w:ind w:firstLine="641"/>
        <w:jc w:val="left"/>
        <w:rPr>
          <w:rFonts w:hint="eastAsia"/>
          <w:lang w:val="en-US" w:eastAsia="zh-CN"/>
        </w:rPr>
      </w:pPr>
      <w:r>
        <w:rPr>
          <w:rFonts w:hint="eastAsia" w:ascii="宋体" w:hAnsi="宋体" w:eastAsia="方正仿宋简体" w:cs="宋体"/>
          <w:color w:val="auto"/>
          <w:sz w:val="33"/>
          <w:szCs w:val="33"/>
        </w:rPr>
        <w:t>根据年度预算安排及实际工作需要，本项目</w:t>
      </w:r>
      <w:r>
        <w:rPr>
          <w:rFonts w:hint="eastAsia" w:ascii="宋体" w:hAnsi="宋体" w:eastAsia="方正仿宋简体" w:cs="宋体"/>
          <w:color w:val="auto"/>
          <w:sz w:val="33"/>
          <w:szCs w:val="33"/>
          <w:lang w:val="en-US" w:eastAsia="zh-CN"/>
        </w:rPr>
        <w:t>实施情况</w:t>
      </w:r>
      <w:r>
        <w:rPr>
          <w:rFonts w:hint="eastAsia" w:ascii="宋体" w:hAnsi="宋体" w:eastAsia="方正仿宋简体" w:cs="宋体"/>
          <w:color w:val="auto"/>
          <w:sz w:val="33"/>
          <w:szCs w:val="33"/>
        </w:rPr>
        <w:t>如下：</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一是</w:t>
      </w:r>
      <w:r>
        <w:rPr>
          <w:rFonts w:hint="default" w:ascii="Times New Roman" w:hAnsi="Times New Roman" w:eastAsia="方正仿宋简体" w:cs="Times New Roman"/>
          <w:color w:val="000000" w:themeColor="text1"/>
          <w:sz w:val="33"/>
          <w:szCs w:val="33"/>
          <w14:textFill>
            <w14:solidFill>
              <w14:schemeClr w14:val="tx1"/>
            </w14:solidFill>
          </w14:textFill>
        </w:rPr>
        <w:t>聘请三方机构对雁江区绩效整体评价、项目重点评价、政策评价；</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二是</w:t>
      </w:r>
      <w:r>
        <w:rPr>
          <w:rFonts w:hint="default" w:ascii="Times New Roman" w:hAnsi="Times New Roman" w:eastAsia="方正仿宋简体" w:cs="Times New Roman"/>
          <w:color w:val="000000" w:themeColor="text1"/>
          <w:sz w:val="33"/>
          <w:szCs w:val="33"/>
          <w14:textFill>
            <w14:solidFill>
              <w14:schemeClr w14:val="tx1"/>
            </w14:solidFill>
          </w14:textFill>
        </w:rPr>
        <w:t>预算绩效管理政策宣传，行政事业单位项目绩效管理检查，账务检查，公积金缴纳情况检查，检查涉及单位个数90个；</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三是</w:t>
      </w:r>
      <w:r>
        <w:rPr>
          <w:rFonts w:hint="default" w:ascii="Times New Roman" w:hAnsi="Times New Roman" w:eastAsia="方正仿宋简体" w:cs="Times New Roman"/>
          <w:color w:val="000000" w:themeColor="text1"/>
          <w:sz w:val="33"/>
          <w:szCs w:val="33"/>
          <w14:textFill>
            <w14:solidFill>
              <w14:schemeClr w14:val="tx1"/>
            </w14:solidFill>
          </w14:textFill>
        </w:rPr>
        <w:t>预算绩效管理咨询、培训。项目涉及范围：雁江区行政事业单位。组织框架：项目组织股室主要为财政绩效监督与管理股</w:t>
      </w:r>
      <w:r>
        <w:rPr>
          <w:rFonts w:hint="eastAsia" w:ascii="Times New Roman" w:hAnsi="Times New Roman" w:eastAsia="方正仿宋简体" w:cs="Times New Roman"/>
          <w:color w:val="000000" w:themeColor="text1"/>
          <w:sz w:val="33"/>
          <w:szCs w:val="33"/>
          <w:lang w:eastAsia="zh-CN"/>
          <w14:textFill>
            <w14:solidFill>
              <w14:schemeClr w14:val="tx1"/>
            </w14:solidFill>
          </w14:textFill>
        </w:rPr>
        <w:t>。</w:t>
      </w:r>
      <w:r>
        <w:rPr>
          <w:rFonts w:hint="eastAsia" w:ascii="宋体" w:hAnsi="宋体" w:eastAsia="方正仿宋简体" w:cs="宋体"/>
          <w:color w:val="auto"/>
          <w:sz w:val="33"/>
          <w:szCs w:val="33"/>
          <w:lang w:val="en-US" w:eastAsia="zh-CN"/>
        </w:rPr>
        <w:t>2022年度项目总体实施情况良好。</w:t>
      </w:r>
    </w:p>
    <w:p>
      <w:pPr>
        <w:pStyle w:val="2"/>
        <w:numPr>
          <w:ilvl w:val="0"/>
          <w:numId w:val="11"/>
        </w:numPr>
        <w:spacing w:after="0" w:line="590" w:lineRule="exact"/>
        <w:ind w:left="0" w:leftChars="0" w:firstLine="630" w:firstLineChars="196"/>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组织及管理（项目组织、管理流程及实际执行情况）</w:t>
      </w:r>
    </w:p>
    <w:p>
      <w:pPr>
        <w:spacing w:line="600" w:lineRule="exact"/>
        <w:ind w:firstLine="641"/>
        <w:jc w:val="left"/>
        <w:rPr>
          <w:rFonts w:hint="eastAsia" w:ascii="宋体" w:hAnsi="宋体" w:eastAsia="方正仿宋简体" w:cs="宋体"/>
          <w:color w:val="auto"/>
          <w:sz w:val="33"/>
          <w:szCs w:val="33"/>
        </w:rPr>
      </w:pPr>
      <w:r>
        <w:rPr>
          <w:rFonts w:hint="eastAsia" w:ascii="宋体" w:hAnsi="宋体" w:eastAsia="方正仿宋简体" w:cs="宋体"/>
          <w:color w:val="auto"/>
          <w:sz w:val="33"/>
          <w:szCs w:val="33"/>
        </w:rPr>
        <w:t>本项目按年初预算资金安排，根据工作实际，按照政府采购有关规定，履行采购程序，签订采购合同，按照合同约定进行资金拨付。</w:t>
      </w:r>
      <w:r>
        <w:rPr>
          <w:rFonts w:hint="eastAsia" w:ascii="宋体" w:hAnsi="宋体" w:eastAsia="方正仿宋简体" w:cs="宋体"/>
          <w:color w:val="auto"/>
          <w:sz w:val="33"/>
          <w:szCs w:val="33"/>
          <w:lang w:val="en-US" w:eastAsia="zh-CN"/>
        </w:rPr>
        <w:t>2022年度，</w:t>
      </w:r>
      <w:r>
        <w:rPr>
          <w:rFonts w:hint="eastAsia" w:ascii="宋体" w:hAnsi="宋体" w:eastAsia="方正仿宋简体" w:cs="宋体"/>
          <w:color w:val="auto"/>
          <w:sz w:val="33"/>
          <w:szCs w:val="33"/>
        </w:rPr>
        <w:t>本项目资金实际支出</w:t>
      </w:r>
      <w:r>
        <w:rPr>
          <w:rFonts w:hint="default" w:ascii="Times New Roman" w:hAnsi="Times New Roman" w:eastAsia="方正仿宋简体" w:cs="Times New Roman"/>
          <w:color w:val="auto"/>
          <w:sz w:val="33"/>
          <w:szCs w:val="33"/>
          <w:highlight w:val="none"/>
          <w:lang w:val="en-US" w:eastAsia="zh-CN"/>
        </w:rPr>
        <w:t>65.39万</w:t>
      </w:r>
      <w:r>
        <w:rPr>
          <w:rFonts w:hint="eastAsia" w:ascii="宋体" w:hAnsi="宋体" w:eastAsia="方正仿宋简体" w:cs="宋体"/>
          <w:color w:val="auto"/>
          <w:sz w:val="33"/>
          <w:szCs w:val="33"/>
        </w:rPr>
        <w:t>。</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（1）项目组织情况，预算绩效管理股为项目主要负责股室，负责牵头实施本项目；</w:t>
      </w:r>
    </w:p>
    <w:p>
      <w:pPr>
        <w:pStyle w:val="7"/>
        <w:rPr>
          <w:rFonts w:hint="eastAsia" w:ascii="宋体" w:hAnsi="宋体" w:eastAsia="方正仿宋简体" w:cs="宋体"/>
          <w:color w:val="auto"/>
          <w:kern w:val="2"/>
          <w:sz w:val="33"/>
          <w:szCs w:val="33"/>
          <w:lang w:val="en-US" w:eastAsia="zh-CN" w:bidi="ar-SA"/>
        </w:rPr>
      </w:pPr>
      <w:r>
        <w:rPr>
          <w:rFonts w:hint="eastAsia" w:ascii="宋体" w:hAnsi="宋体" w:eastAsia="方正仿宋简体" w:cs="宋体"/>
          <w:color w:val="auto"/>
          <w:kern w:val="2"/>
          <w:sz w:val="33"/>
          <w:szCs w:val="33"/>
          <w:lang w:val="en-US" w:eastAsia="zh-CN" w:bidi="ar-SA"/>
        </w:rPr>
        <w:t>（2）项目管理情况，项目管理主体为预算绩效管理股，负责监督、考核并组织验收工作；项目实施主体为委托的第三方公司，负责具体实施工作，包括绩效评价、预算管理政策宣传、预算绩效管理咨询、培训等。</w:t>
      </w:r>
    </w:p>
    <w:p>
      <w:pPr>
        <w:pStyle w:val="7"/>
        <w:rPr>
          <w:rFonts w:hint="eastAsia"/>
          <w:color w:val="auto"/>
          <w:lang w:val="en-US" w:eastAsia="zh-CN"/>
        </w:rPr>
      </w:pPr>
      <w:r>
        <w:rPr>
          <w:rFonts w:hint="eastAsia" w:ascii="宋体" w:hAnsi="宋体" w:eastAsia="方正仿宋简体" w:cs="宋体"/>
          <w:color w:val="auto"/>
          <w:kern w:val="2"/>
          <w:sz w:val="33"/>
          <w:szCs w:val="33"/>
          <w:lang w:val="en-US" w:eastAsia="zh-CN" w:bidi="ar-SA"/>
        </w:rPr>
        <w:t>（3）项目执行情况，预算绩效管理股按照政府采购程序或单位内控管理制度，确定项目实施主体并签订相关合同；实施主体按照合同约定，完成履约；预算绩效管理股根据合同对项目开展相关监督检查工作等。</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（二）绩效目标</w:t>
      </w:r>
    </w:p>
    <w:p>
      <w:pPr>
        <w:spacing w:line="600" w:lineRule="exact"/>
        <w:ind w:firstLine="627"/>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绩效总体目标：</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根据三定方案职能需求</w:t>
      </w:r>
      <w:r>
        <w:rPr>
          <w:rFonts w:hint="eastAsia" w:ascii="宋体" w:hAnsi="宋体" w:eastAsia="方正仿宋简体" w:cs="宋体"/>
          <w:color w:val="000000" w:themeColor="text1"/>
          <w:sz w:val="33"/>
          <w:szCs w:val="33"/>
          <w:highlight w:val="none"/>
          <w:lang w:eastAsia="zh-CN"/>
          <w14:textFill>
            <w14:solidFill>
              <w14:schemeClr w14:val="tx1"/>
            </w14:solidFill>
          </w14:textFill>
        </w:rPr>
        <w:t>，</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满足雁江区财政局对行政事业单位预算绩效管理监督的相关要求，</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推动</w:t>
      </w:r>
      <w:r>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t>各部门、各单位</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绩效管理提质增效，不断提高财政资金使用效益</w:t>
      </w:r>
      <w:r>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t>。</w:t>
      </w:r>
    </w:p>
    <w:p>
      <w:pPr>
        <w:spacing w:line="600" w:lineRule="exact"/>
        <w:ind w:firstLine="627"/>
        <w:rPr>
          <w:rFonts w:hint="eastAsia" w:ascii="宋体" w:hAnsi="宋体" w:eastAsia="方正仿宋简体" w:cs="宋体"/>
          <w:color w:val="000000" w:themeColor="text1"/>
          <w:sz w:val="33"/>
          <w:szCs w:val="33"/>
          <w:highlight w:val="none"/>
          <w14:textFill>
            <w14:solidFill>
              <w14:schemeClr w14:val="tx1"/>
            </w14:solidFill>
          </w14:textFill>
        </w:rPr>
      </w:pPr>
      <w:r>
        <w:rPr>
          <w:rFonts w:hint="eastAsia" w:ascii="宋体" w:hAnsi="宋体" w:eastAsia="方正仿宋简体" w:cs="宋体"/>
          <w:color w:val="000000" w:themeColor="text1"/>
          <w:sz w:val="33"/>
          <w:szCs w:val="33"/>
          <w:highlight w:val="none"/>
          <w14:textFill>
            <w14:solidFill>
              <w14:schemeClr w14:val="tx1"/>
            </w14:solidFill>
          </w14:textFill>
        </w:rPr>
        <w:t>具体绩效目标：</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1.开展整体评价、重点项目评估项目7个。</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2.预算绩效管理政策宣传，绩效管理检查1次，账务检查1次，公积金缴纳情况检查1次。</w:t>
      </w:r>
    </w:p>
    <w:p>
      <w:pPr>
        <w:spacing w:line="600" w:lineRule="exact"/>
        <w:ind w:firstLine="627"/>
        <w:rPr>
          <w:rFonts w:hint="eastAsia" w:ascii="宋体" w:hAnsi="宋体" w:eastAsia="方正仿宋简体" w:cs="宋体"/>
          <w:color w:val="000000" w:themeColor="text1"/>
          <w:sz w:val="33"/>
          <w:szCs w:val="33"/>
          <w:highlight w:val="none"/>
          <w:lang w:eastAsia="zh-CN"/>
          <w14:textFill>
            <w14:solidFill>
              <w14:schemeClr w14:val="tx1"/>
            </w14:solidFill>
          </w14:textFill>
        </w:rPr>
      </w:pPr>
      <w:r>
        <w:rPr>
          <w:rFonts w:hint="eastAsia" w:ascii="宋体" w:hAnsi="宋体" w:eastAsia="方正仿宋简体" w:cs="宋体"/>
          <w:color w:val="000000" w:themeColor="text1"/>
          <w:sz w:val="33"/>
          <w:szCs w:val="33"/>
          <w:highlight w:val="none"/>
          <w:lang w:eastAsia="zh-CN"/>
          <w14:textFill>
            <w14:solidFill>
              <w14:schemeClr w14:val="tx1"/>
            </w14:solidFill>
          </w14:textFill>
        </w:rPr>
        <w:t>3.预算绩效管理培训2次。</w:t>
      </w:r>
    </w:p>
    <w:p>
      <w:pPr>
        <w:keepNext w:val="0"/>
        <w:keepLines w:val="0"/>
        <w:pageBreakBefore w:val="0"/>
        <w:kinsoku/>
        <w:wordWrap/>
        <w:overflowPunct/>
        <w:topLinePunct w:val="0"/>
        <w:autoSpaceDE/>
        <w:autoSpaceDN/>
        <w:bidi w:val="0"/>
        <w:adjustRightInd/>
        <w:snapToGrid/>
        <w:spacing w:line="59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二、绩效自评工作情况</w:t>
      </w:r>
    </w:p>
    <w:p>
      <w:pPr>
        <w:pStyle w:val="2"/>
        <w:keepNext w:val="0"/>
        <w:keepLines w:val="0"/>
        <w:pageBreakBefore w:val="0"/>
        <w:kinsoku/>
        <w:wordWrap/>
        <w:overflowPunct/>
        <w:topLinePunct w:val="0"/>
        <w:autoSpaceDE/>
        <w:autoSpaceDN/>
        <w:bidi w:val="0"/>
        <w:adjustRightInd/>
        <w:snapToGrid/>
        <w:spacing w:after="0" w:line="59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（一）自评工作组织领导</w:t>
      </w:r>
    </w:p>
    <w:p>
      <w:pPr>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eastAsia="方正仿宋简体"/>
          <w:lang w:val="en-US" w:eastAsia="zh-CN"/>
        </w:rPr>
      </w:pPr>
      <w:r>
        <w:rPr>
          <w:rFonts w:hint="eastAsia" w:ascii="宋体" w:hAnsi="宋体" w:eastAsia="方正仿宋简体"/>
          <w:color w:val="000000" w:themeColor="text1"/>
          <w:sz w:val="33"/>
          <w:szCs w:val="33"/>
          <w:lang w:val="en-US" w:eastAsia="zh-CN"/>
          <w14:textFill>
            <w14:solidFill>
              <w14:schemeClr w14:val="tx1"/>
            </w14:solidFill>
          </w14:textFill>
        </w:rPr>
        <w:t>在组织领导方面，本部门</w:t>
      </w:r>
      <w:r>
        <w:rPr>
          <w:rFonts w:hint="eastAsia" w:ascii="宋体" w:hAnsi="宋体" w:eastAsia="方正仿宋简体"/>
          <w:color w:val="000000" w:themeColor="text1"/>
          <w:sz w:val="33"/>
          <w:szCs w:val="33"/>
          <w14:textFill>
            <w14:solidFill>
              <w14:schemeClr w14:val="tx1"/>
            </w14:solidFill>
          </w14:textFill>
        </w:rPr>
        <w:t>自评工作以</w:t>
      </w:r>
      <w:r>
        <w:rPr>
          <w:rFonts w:hint="eastAsia" w:ascii="宋体" w:hAnsi="宋体" w:eastAsia="方正仿宋简体"/>
          <w:color w:val="000000" w:themeColor="text1"/>
          <w:sz w:val="33"/>
          <w:szCs w:val="33"/>
          <w:lang w:eastAsia="zh-CN"/>
          <w14:textFill>
            <w14:solidFill>
              <w14:schemeClr w14:val="tx1"/>
            </w14:solidFill>
          </w14:textFill>
        </w:rPr>
        <w:t>财政局局长</w:t>
      </w:r>
      <w:r>
        <w:rPr>
          <w:rFonts w:hint="eastAsia" w:ascii="宋体" w:hAnsi="宋体" w:eastAsia="方正仿宋简体"/>
          <w:color w:val="000000" w:themeColor="text1"/>
          <w:sz w:val="33"/>
          <w:szCs w:val="33"/>
          <w14:textFill>
            <w14:solidFill>
              <w14:schemeClr w14:val="tx1"/>
            </w14:solidFill>
          </w14:textFill>
        </w:rPr>
        <w:t>为组长，分管财务领导为副组长，财务部门为成员进行自评工作的开展</w:t>
      </w:r>
      <w:r>
        <w:rPr>
          <w:rFonts w:hint="eastAsia" w:ascii="宋体" w:hAnsi="宋体" w:eastAsia="方正仿宋简体"/>
          <w:color w:val="000000" w:themeColor="text1"/>
          <w:sz w:val="33"/>
          <w:szCs w:val="33"/>
          <w:lang w:eastAsia="zh-CN"/>
          <w14:textFill>
            <w14:solidFill>
              <w14:schemeClr w14:val="tx1"/>
            </w14:solidFill>
          </w14:textFill>
        </w:rPr>
        <w:t>，本着客观、真实、准确的原则</w:t>
      </w:r>
      <w:r>
        <w:rPr>
          <w:rFonts w:hint="eastAsia" w:ascii="宋体" w:hAnsi="宋体" w:eastAsia="方正仿宋简体"/>
          <w:color w:val="000000" w:themeColor="text1"/>
          <w:sz w:val="33"/>
          <w:szCs w:val="33"/>
          <w:lang w:val="en-US" w:eastAsia="zh-CN"/>
          <w14:textFill>
            <w14:solidFill>
              <w14:schemeClr w14:val="tx1"/>
            </w14:solidFill>
          </w14:textFill>
        </w:rPr>
        <w:t>进行预算绩效管理监督检查经费项目的自评工作</w:t>
      </w:r>
      <w:r>
        <w:rPr>
          <w:rFonts w:hint="eastAsia" w:ascii="宋体" w:hAnsi="宋体" w:eastAsia="方正仿宋简体"/>
          <w:color w:val="000000" w:themeColor="text1"/>
          <w:sz w:val="33"/>
          <w:szCs w:val="33"/>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（二）自评方式、方法、重点等</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_GBK" w:cs="方正仿宋_GBK"/>
          <w:b/>
          <w:bCs/>
          <w:kern w:val="2"/>
          <w:sz w:val="32"/>
          <w:szCs w:val="32"/>
          <w:lang w:val="en-US" w:eastAsia="zh-CN" w:bidi="ar-SA"/>
        </w:rPr>
      </w:pPr>
      <w:r>
        <w:rPr>
          <w:rFonts w:hint="eastAsia" w:ascii="宋体" w:hAnsi="宋体" w:eastAsia="方正仿宋_GBK" w:cs="方正仿宋_GBK"/>
          <w:b/>
          <w:bCs/>
          <w:kern w:val="2"/>
          <w:sz w:val="32"/>
          <w:szCs w:val="32"/>
          <w:lang w:val="en-US" w:eastAsia="zh-CN" w:bidi="ar-SA"/>
        </w:rPr>
        <w:t>1.绩效评价标准及方法</w:t>
      </w:r>
    </w:p>
    <w:p>
      <w:pPr>
        <w:pStyle w:val="2"/>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s="宋体"/>
          <w:color w:val="000000" w:themeColor="text1"/>
          <w:kern w:val="0"/>
          <w:sz w:val="33"/>
          <w:szCs w:val="33"/>
          <w:lang w:val="en-US" w:eastAsia="zh-CN"/>
          <w14:textFill>
            <w14:solidFill>
              <w14:schemeClr w14:val="tx1"/>
            </w14:solidFill>
          </w14:textFill>
        </w:rPr>
      </w:pPr>
      <w:r>
        <w:rPr>
          <w:rFonts w:hint="eastAsia" w:ascii="宋体" w:hAnsi="宋体" w:eastAsia="方正仿宋简体" w:cs="宋体"/>
          <w:color w:val="000000" w:themeColor="text1"/>
          <w:kern w:val="0"/>
          <w:sz w:val="33"/>
          <w:szCs w:val="33"/>
          <w14:textFill>
            <w14:solidFill>
              <w14:schemeClr w14:val="tx1"/>
            </w14:solidFill>
          </w14:textFill>
        </w:rPr>
        <w:t>绩效管理股等业务</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股</w:t>
      </w:r>
      <w:r>
        <w:rPr>
          <w:rFonts w:hint="eastAsia" w:ascii="宋体" w:hAnsi="宋体" w:eastAsia="方正仿宋简体" w:cs="宋体"/>
          <w:color w:val="000000" w:themeColor="text1"/>
          <w:kern w:val="0"/>
          <w:sz w:val="33"/>
          <w:szCs w:val="33"/>
          <w14:textFill>
            <w14:solidFill>
              <w14:schemeClr w14:val="tx1"/>
            </w14:solidFill>
          </w14:textFill>
        </w:rPr>
        <w:t>室收集资料，掌握项目立项决策、项目资金落实、项目实施管理、财务管理全过程（文献法）；收集项目完成情况与年初绩效目标（计划标准、行业标准）开展对比分（比较法）；并通过发放问卷，对</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财政局内部员工</w:t>
      </w:r>
      <w:r>
        <w:rPr>
          <w:rFonts w:hint="eastAsia" w:ascii="宋体" w:hAnsi="宋体" w:eastAsia="方正仿宋简体" w:cs="宋体"/>
          <w:color w:val="000000" w:themeColor="text1"/>
          <w:kern w:val="0"/>
          <w:sz w:val="33"/>
          <w:szCs w:val="33"/>
          <w14:textFill>
            <w14:solidFill>
              <w14:schemeClr w14:val="tx1"/>
            </w14:solidFill>
          </w14:textFill>
        </w:rPr>
        <w:t>开展满意度问卷调查（社会调查法）。对项目绩效差异通过因素分析，分析内、外部因素，并提出改进措施及建议（因素分析法）。</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具体4个步骤如下：</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s="宋体"/>
          <w:color w:val="000000" w:themeColor="text1"/>
          <w:kern w:val="0"/>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1</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组建绩效评价工作小组，讨论形成工作思路；</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lang w:eastAsia="zh-CN"/>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ascii="宋体" w:hAnsi="宋体" w:eastAsia="方正仿宋简体" w:cs="宋体"/>
          <w:color w:val="000000" w:themeColor="text1"/>
          <w:kern w:val="0"/>
          <w:sz w:val="33"/>
          <w:szCs w:val="33"/>
          <w14:textFill>
            <w14:solidFill>
              <w14:schemeClr w14:val="tx1"/>
            </w14:solidFill>
          </w14:textFill>
        </w:rPr>
        <w:t>2</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14:textFill>
            <w14:solidFill>
              <w14:schemeClr w14:val="tx1"/>
            </w14:solidFill>
          </w14:textFill>
        </w:rPr>
        <w:t>对资料进行审查核实</w:t>
      </w: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olor w:val="000000" w:themeColor="text1"/>
          <w:sz w:val="33"/>
          <w:szCs w:val="33"/>
          <w14:textFill>
            <w14:solidFill>
              <w14:schemeClr w14:val="tx1"/>
            </w14:solidFill>
          </w14:textFill>
        </w:rPr>
        <w:t>采用对比法，认真核对20</w:t>
      </w:r>
      <w:r>
        <w:rPr>
          <w:rFonts w:hint="eastAsia" w:ascii="宋体" w:hAnsi="宋体" w:eastAsia="方正仿宋简体"/>
          <w:color w:val="000000" w:themeColor="text1"/>
          <w:sz w:val="33"/>
          <w:szCs w:val="33"/>
          <w:lang w:eastAsia="zh-CN"/>
          <w14:textFill>
            <w14:solidFill>
              <w14:schemeClr w14:val="tx1"/>
            </w14:solidFill>
          </w14:textFill>
        </w:rPr>
        <w:t>2</w:t>
      </w:r>
      <w:r>
        <w:rPr>
          <w:rFonts w:hint="eastAsia" w:ascii="宋体" w:hAnsi="宋体" w:eastAsia="方正仿宋简体"/>
          <w:color w:val="000000" w:themeColor="text1"/>
          <w:sz w:val="33"/>
          <w:szCs w:val="33"/>
          <w:lang w:val="en-US" w:eastAsia="zh-CN"/>
          <w14:textFill>
            <w14:solidFill>
              <w14:schemeClr w14:val="tx1"/>
            </w14:solidFill>
          </w14:textFill>
        </w:rPr>
        <w:t>2</w:t>
      </w:r>
      <w:r>
        <w:rPr>
          <w:rFonts w:hint="eastAsia" w:ascii="宋体" w:hAnsi="宋体" w:eastAsia="方正仿宋简体"/>
          <w:color w:val="000000" w:themeColor="text1"/>
          <w:sz w:val="33"/>
          <w:szCs w:val="33"/>
          <w14:textFill>
            <w14:solidFill>
              <w14:schemeClr w14:val="tx1"/>
            </w14:solidFill>
          </w14:textFill>
        </w:rPr>
        <w:t>年</w:t>
      </w:r>
      <w:r>
        <w:rPr>
          <w:rFonts w:hint="eastAsia" w:ascii="宋体" w:hAnsi="宋体" w:eastAsia="方正仿宋简体"/>
          <w:color w:val="000000" w:themeColor="text1"/>
          <w:sz w:val="33"/>
          <w:szCs w:val="33"/>
          <w:lang w:val="en-US" w:eastAsia="zh-CN"/>
          <w14:textFill>
            <w14:solidFill>
              <w14:schemeClr w14:val="tx1"/>
            </w14:solidFill>
          </w14:textFill>
        </w:rPr>
        <w:t>项目相关</w:t>
      </w:r>
      <w:r>
        <w:rPr>
          <w:rFonts w:hint="eastAsia" w:ascii="宋体" w:hAnsi="宋体" w:eastAsia="方正仿宋简体"/>
          <w:color w:val="000000" w:themeColor="text1"/>
          <w:sz w:val="33"/>
          <w:szCs w:val="33"/>
          <w14:textFill>
            <w14:solidFill>
              <w14:schemeClr w14:val="tx1"/>
            </w14:solidFill>
          </w14:textFill>
        </w:rPr>
        <w:t>财务数据</w:t>
      </w:r>
      <w:r>
        <w:rPr>
          <w:rFonts w:hint="eastAsia" w:ascii="宋体" w:hAnsi="宋体" w:eastAsia="方正仿宋简体"/>
          <w:color w:val="000000" w:themeColor="text1"/>
          <w:sz w:val="33"/>
          <w:szCs w:val="33"/>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（3）</w:t>
      </w:r>
      <w:r>
        <w:rPr>
          <w:rFonts w:hint="eastAsia" w:ascii="宋体" w:hAnsi="宋体" w:eastAsia="方正仿宋简体" w:cs="宋体"/>
          <w:color w:val="000000" w:themeColor="text1"/>
          <w:kern w:val="0"/>
          <w:sz w:val="33"/>
          <w:szCs w:val="33"/>
          <w14:textFill>
            <w14:solidFill>
              <w14:schemeClr w14:val="tx1"/>
            </w14:solidFill>
          </w14:textFill>
        </w:rPr>
        <w:t>综合分析并形成评价结论；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仿宋简体" w:cs="宋体"/>
          <w:color w:val="000000" w:themeColor="text1"/>
          <w:kern w:val="0"/>
          <w:sz w:val="33"/>
          <w:szCs w:val="33"/>
          <w14:textFill>
            <w14:solidFill>
              <w14:schemeClr w14:val="tx1"/>
            </w14:solidFill>
          </w14:textFill>
        </w:rPr>
      </w:pPr>
      <w:r>
        <w:rPr>
          <w:rFonts w:hint="eastAsia" w:ascii="宋体" w:hAnsi="宋体" w:eastAsia="方正仿宋简体" w:cs="宋体"/>
          <w:color w:val="000000" w:themeColor="text1"/>
          <w:kern w:val="0"/>
          <w:sz w:val="33"/>
          <w:szCs w:val="33"/>
          <w:lang w:eastAsia="zh-CN"/>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4）</w:t>
      </w:r>
      <w:r>
        <w:rPr>
          <w:rFonts w:hint="eastAsia" w:ascii="宋体" w:hAnsi="宋体" w:eastAsia="方正仿宋简体" w:cs="宋体"/>
          <w:color w:val="000000" w:themeColor="text1"/>
          <w:kern w:val="0"/>
          <w:sz w:val="33"/>
          <w:szCs w:val="33"/>
          <w14:textFill>
            <w14:solidFill>
              <w14:schemeClr w14:val="tx1"/>
            </w14:solidFill>
          </w14:textFill>
        </w:rPr>
        <w:t>撰写</w:t>
      </w:r>
      <w:r>
        <w:rPr>
          <w:rFonts w:ascii="宋体" w:hAnsi="宋体" w:eastAsia="方正仿宋简体" w:cs="宋体"/>
          <w:color w:val="000000" w:themeColor="text1"/>
          <w:kern w:val="0"/>
          <w:sz w:val="33"/>
          <w:szCs w:val="33"/>
          <w14:textFill>
            <w14:solidFill>
              <w14:schemeClr w14:val="tx1"/>
            </w14:solidFill>
          </w14:textFill>
        </w:rPr>
        <w:t>20</w:t>
      </w:r>
      <w:r>
        <w:rPr>
          <w:rFonts w:hint="eastAsia" w:ascii="宋体" w:hAnsi="宋体" w:eastAsia="方正仿宋简体" w:cs="宋体"/>
          <w:color w:val="000000" w:themeColor="text1"/>
          <w:kern w:val="0"/>
          <w:sz w:val="33"/>
          <w:szCs w:val="33"/>
          <w:lang w:eastAsia="zh-CN"/>
          <w14:textFill>
            <w14:solidFill>
              <w14:schemeClr w14:val="tx1"/>
            </w14:solidFill>
          </w14:textFill>
        </w:rPr>
        <w:t>2</w:t>
      </w:r>
      <w:r>
        <w:rPr>
          <w:rFonts w:hint="eastAsia" w:ascii="宋体" w:hAnsi="宋体" w:eastAsia="方正仿宋简体" w:cs="宋体"/>
          <w:color w:val="000000" w:themeColor="text1"/>
          <w:kern w:val="0"/>
          <w:sz w:val="33"/>
          <w:szCs w:val="33"/>
          <w:lang w:val="en-US" w:eastAsia="zh-CN"/>
          <w14:textFill>
            <w14:solidFill>
              <w14:schemeClr w14:val="tx1"/>
            </w14:solidFill>
          </w14:textFill>
        </w:rPr>
        <w:t>2</w:t>
      </w:r>
      <w:r>
        <w:rPr>
          <w:rFonts w:hint="eastAsia" w:ascii="宋体" w:hAnsi="宋体" w:eastAsia="方正仿宋简体" w:cs="宋体"/>
          <w:color w:val="000000" w:themeColor="text1"/>
          <w:kern w:val="0"/>
          <w:sz w:val="33"/>
          <w:szCs w:val="33"/>
          <w14:textFill>
            <w14:solidFill>
              <w14:schemeClr w14:val="tx1"/>
            </w14:solidFill>
          </w14:textFill>
        </w:rPr>
        <w:t>年项目支出绩效评价报告。</w:t>
      </w: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left="562"/>
        <w:textAlignment w:val="auto"/>
        <w:rPr>
          <w:rFonts w:hint="eastAsia" w:ascii="宋体" w:hAnsi="宋体" w:eastAsia="方正仿宋_GBK" w:cs="方正仿宋_GBK"/>
          <w:b/>
          <w:bCs/>
          <w:kern w:val="2"/>
          <w:sz w:val="32"/>
          <w:szCs w:val="32"/>
          <w:lang w:val="en-US" w:eastAsia="zh-CN" w:bidi="ar-SA"/>
        </w:rPr>
      </w:pPr>
      <w:r>
        <w:rPr>
          <w:rFonts w:hint="eastAsia" w:ascii="宋体" w:hAnsi="宋体" w:eastAsia="方正仿宋_GBK" w:cs="方正仿宋_GBK"/>
          <w:b/>
          <w:bCs/>
          <w:kern w:val="2"/>
          <w:sz w:val="32"/>
          <w:szCs w:val="32"/>
          <w:lang w:val="en-US" w:eastAsia="zh-CN" w:bidi="ar-SA"/>
        </w:rPr>
        <w:t>2.绩效评价指标体系及重点</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结合该项目特点、评价重点，按照《资阳市雁江区财政局关于开展2022年度财政支出绩效自评工作的通知》（资雁财发〔2023〕165号）附件7“2022年度雁江区项目支出绩效自评计分表”，该项目绩效评价指标分为“投入”“过程”“产出”“效益”四大类。指标数据来源于政府文件、项目资料、实地调研、访谈、问卷调查等。</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“投入”指标关注重点：项目立项是否规范、绩效目标是否合理、需求是否紧迫、绩效指标是否细化、量化可衡量。</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“过程”指标关注重点：制度执行是否有效、资金使用是否合规、财务监控是否有效。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default"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highlight w:val="none"/>
          <w:u w:val="none"/>
          <w:lang w:val="en-US" w:eastAsia="zh-CN" w:bidi="ar-SA"/>
          <w14:textFill>
            <w14:solidFill>
              <w14:schemeClr w14:val="tx1"/>
            </w14:solidFill>
          </w14:textFill>
        </w:rPr>
        <w:t>“产出”指标关注重点</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sz w:val="33"/>
          <w:szCs w:val="33"/>
          <w:highlight w:val="none"/>
          <w:lang w:eastAsia="zh-CN"/>
          <w14:textFill>
            <w14:solidFill>
              <w14:schemeClr w14:val="tx1"/>
            </w14:solidFill>
          </w14:textFill>
        </w:rPr>
        <w:t>开展整体评价、重点项目评估项目</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数量是否按计划完成；</w:t>
      </w:r>
      <w:r>
        <w:rPr>
          <w:rFonts w:hint="eastAsia" w:ascii="宋体" w:hAnsi="宋体" w:eastAsia="方正仿宋简体" w:cs="宋体"/>
          <w:color w:val="000000" w:themeColor="text1"/>
          <w:sz w:val="33"/>
          <w:szCs w:val="33"/>
          <w:highlight w:val="none"/>
          <w:lang w:eastAsia="zh-CN"/>
          <w14:textFill>
            <w14:solidFill>
              <w14:schemeClr w14:val="tx1"/>
            </w14:solidFill>
          </w14:textFill>
        </w:rPr>
        <w:t>预算绩效管理政策宣传</w:t>
      </w:r>
      <w:r>
        <w:rPr>
          <w:rFonts w:hint="eastAsia" w:ascii="宋体" w:hAnsi="宋体" w:eastAsia="方正仿宋简体" w:cs="宋体"/>
          <w:color w:val="000000" w:themeColor="text1"/>
          <w:sz w:val="33"/>
          <w:szCs w:val="33"/>
          <w:highlight w:val="none"/>
          <w:lang w:val="en-US" w:eastAsia="zh-CN"/>
          <w14:textFill>
            <w14:solidFill>
              <w14:schemeClr w14:val="tx1"/>
            </w14:solidFill>
          </w14:textFill>
        </w:rPr>
        <w:t>是否落实到位</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；是否按时开展三类检查，检查出的问题是否及时整改到位；预算绩效培训次数是否按年初计划开展；成本控制是否有效。</w:t>
      </w:r>
    </w:p>
    <w:p>
      <w:pPr>
        <w:pStyle w:val="7"/>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pPr>
      <w:r>
        <w:rPr>
          <w:rFonts w:hint="eastAsia" w:ascii="宋体" w:hAnsi="宋体" w:eastAsia="方正仿宋简体" w:cs="Times New Roman"/>
          <w:color w:val="000000" w:themeColor="text1"/>
          <w:kern w:val="2"/>
          <w:sz w:val="33"/>
          <w:szCs w:val="33"/>
          <w:highlight w:val="none"/>
          <w:lang w:val="en-US" w:eastAsia="zh-CN" w:bidi="ar-SA"/>
          <w14:textFill>
            <w14:solidFill>
              <w14:schemeClr w14:val="tx1"/>
            </w14:solidFill>
          </w14:textFill>
        </w:rPr>
        <w:t>“效益”指标关注重点：</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评估报告内容利用率是否大</w:t>
      </w:r>
      <w:r>
        <w:rPr>
          <w:rFonts w:hint="default" w:ascii="Times New Roman" w:hAnsi="Times New Roman" w:eastAsia="方正仿宋简体" w:cs="Times New Roman"/>
          <w:color w:val="000000" w:themeColor="text1"/>
          <w:kern w:val="2"/>
          <w:sz w:val="33"/>
          <w:szCs w:val="33"/>
          <w:lang w:val="en-US" w:eastAsia="zh-CN" w:bidi="ar-SA"/>
          <w14:textFill>
            <w14:solidFill>
              <w14:schemeClr w14:val="tx1"/>
            </w14:solidFill>
          </w14:textFill>
        </w:rPr>
        <w:t>于</w:t>
      </w:r>
      <w:r>
        <w:rPr>
          <w:rFonts w:hint="eastAsia" w:ascii="Times New Roman" w:hAnsi="Times New Roman" w:eastAsia="方正仿宋简体" w:cs="Times New Roman"/>
          <w:color w:val="000000" w:themeColor="text1"/>
          <w:kern w:val="2"/>
          <w:sz w:val="33"/>
          <w:szCs w:val="33"/>
          <w:lang w:val="en-US" w:eastAsia="zh-CN" w:bidi="ar-SA"/>
          <w14:textFill>
            <w14:solidFill>
              <w14:schemeClr w14:val="tx1"/>
            </w14:solidFill>
          </w14:textFill>
        </w:rPr>
        <w:t>等于</w:t>
      </w:r>
      <w:r>
        <w:rPr>
          <w:rFonts w:hint="default" w:ascii="Times New Roman" w:hAnsi="Times New Roman" w:eastAsia="方正仿宋简体" w:cs="Times New Roman"/>
          <w:color w:val="000000" w:themeColor="text1"/>
          <w:kern w:val="2"/>
          <w:sz w:val="33"/>
          <w:szCs w:val="33"/>
          <w:lang w:val="en-US" w:eastAsia="zh-CN" w:bidi="ar-SA"/>
          <w14:textFill>
            <w14:solidFill>
              <w14:schemeClr w14:val="tx1"/>
            </w14:solidFill>
          </w14:textFill>
        </w:rPr>
        <w:t>90%</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；绩效管理培训内容覆盖率是否大</w:t>
      </w:r>
      <w:r>
        <w:rPr>
          <w:rFonts w:hint="eastAsia" w:ascii="Times New Roman" w:hAnsi="Times New Roman" w:eastAsia="方正仿宋简体" w:cs="Times New Roman"/>
          <w:color w:val="000000" w:themeColor="text1"/>
          <w:kern w:val="2"/>
          <w:sz w:val="33"/>
          <w:szCs w:val="33"/>
          <w:lang w:val="en-US" w:eastAsia="zh-CN" w:bidi="ar-SA"/>
          <w14:textFill>
            <w14:solidFill>
              <w14:schemeClr w14:val="tx1"/>
            </w14:solidFill>
          </w14:textFill>
        </w:rPr>
        <w:t>于等于90%</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；抽检财务问题改进率是否大于等</w:t>
      </w:r>
      <w:r>
        <w:rPr>
          <w:rFonts w:hint="eastAsia" w:ascii="Times New Roman" w:hAnsi="Times New Roman" w:eastAsia="方正仿宋简体" w:cs="Times New Roman"/>
          <w:color w:val="000000" w:themeColor="text1"/>
          <w:kern w:val="2"/>
          <w:sz w:val="33"/>
          <w:szCs w:val="33"/>
          <w:lang w:val="en-US" w:eastAsia="zh-CN" w:bidi="ar-SA"/>
          <w14:textFill>
            <w14:solidFill>
              <w14:schemeClr w14:val="tx1"/>
            </w14:solidFill>
          </w14:textFill>
        </w:rPr>
        <w:t>于90%</w:t>
      </w:r>
      <w:r>
        <w:rPr>
          <w:rFonts w:hint="eastAsia" w:ascii="宋体" w:hAnsi="宋体" w:eastAsia="方正仿宋简体" w:cs="Times New Roman"/>
          <w:color w:val="000000" w:themeColor="text1"/>
          <w:kern w:val="2"/>
          <w:sz w:val="33"/>
          <w:szCs w:val="33"/>
          <w:lang w:val="en-US" w:eastAsia="zh-CN" w:bidi="ar-SA"/>
          <w14:textFill>
            <w14:solidFill>
              <w14:schemeClr w14:val="tx1"/>
            </w14:solidFill>
          </w14:textFill>
        </w:rPr>
        <w:t>；是否建立长效管理制度，机制是否运行有效；雁江区行政事业单位财务对预算绩效工作满意度。</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三、评价结论</w:t>
      </w:r>
    </w:p>
    <w:p>
      <w:pPr>
        <w:pageBreakBefore w:val="0"/>
        <w:widowControl w:val="0"/>
        <w:kinsoku/>
        <w:wordWrap/>
        <w:overflowPunct/>
        <w:topLinePunct w:val="0"/>
        <w:autoSpaceDE/>
        <w:autoSpaceDN/>
        <w:bidi w:val="0"/>
        <w:adjustRightInd/>
        <w:snapToGrid/>
        <w:spacing w:line="600" w:lineRule="exact"/>
        <w:ind w:firstLine="660" w:firstLineChars="200"/>
        <w:jc w:val="both"/>
        <w:textAlignment w:val="auto"/>
        <w:rPr>
          <w:rFonts w:hint="default" w:ascii="宋体" w:hAnsi="宋体" w:eastAsia="方正仿宋简体" w:cs="宋体"/>
          <w:color w:val="000000" w:themeColor="text1"/>
          <w:kern w:val="0"/>
          <w:sz w:val="33"/>
          <w:szCs w:val="33"/>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总体而言，本项目实施符合区政府决策，与部门职能密切相关，立项依据充分；项目实施及管理制度健全、执行有效；已完成2022年度各项预算管理监督检查工作</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，有效</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夯实</w:t>
      </w:r>
      <w:r>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t>了</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绩效管理基础，硬化</w:t>
      </w:r>
      <w:r>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t>了</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绩效结果应用，严格考核监督问责，推动绩效管理提质增效</w:t>
      </w:r>
      <w:r>
        <w:rPr>
          <w:rFonts w:hint="eastAsia" w:ascii="Times New Roman" w:hAnsi="Times New Roman" w:eastAsia="方正仿宋简体" w:cs="Times New Roman"/>
          <w:color w:val="000000" w:themeColor="text1"/>
          <w:sz w:val="33"/>
          <w:szCs w:val="33"/>
          <w:lang w:val="en-US" w:eastAsia="zh-CN"/>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自评得分</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97</w:t>
      </w:r>
      <w:r>
        <w:rPr>
          <w:rFonts w:ascii="宋体" w:hAnsi="宋体" w:eastAsia="方正仿宋简体" w:cs="宋体"/>
          <w:color w:val="000000" w:themeColor="text1"/>
          <w:kern w:val="0"/>
          <w:sz w:val="33"/>
          <w:szCs w:val="33"/>
          <w:lang w:val="en-US" w:eastAsia="zh-CN" w:bidi="ar-SA"/>
          <w14:textFill>
            <w14:solidFill>
              <w14:schemeClr w14:val="tx1"/>
            </w14:solidFill>
          </w14:textFill>
        </w:rPr>
        <w:t>分，</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依据资雁财发〔2023〕165号规定确定绩效等级为优</w:t>
      </w:r>
      <w:r>
        <w:rPr>
          <w:rFonts w:ascii="宋体" w:hAnsi="宋体" w:eastAsia="方正仿宋简体" w:cs="宋体"/>
          <w:color w:val="000000" w:themeColor="text1"/>
          <w:kern w:val="0"/>
          <w:sz w:val="33"/>
          <w:szCs w:val="33"/>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具体得分情况见表</w:t>
      </w:r>
      <w:r>
        <w:rPr>
          <w:rFonts w:ascii="宋体" w:hAnsi="宋体" w:eastAsia="方正仿宋简体" w:cs="宋体"/>
          <w:color w:val="000000" w:themeColor="text1"/>
          <w:kern w:val="0"/>
          <w:sz w:val="33"/>
          <w:szCs w:val="33"/>
          <w:lang w:val="en-US" w:eastAsia="zh-CN" w:bidi="ar-SA"/>
          <w14:textFill>
            <w14:solidFill>
              <w14:schemeClr w14:val="tx1"/>
            </w14:solidFill>
          </w14:textFill>
        </w:rPr>
        <w:t>3-1</w:t>
      </w:r>
      <w:r>
        <w:rPr>
          <w:rFonts w:hint="eastAsia" w:ascii="宋体" w:hAnsi="宋体" w:eastAsia="方正仿宋简体" w:cs="宋体"/>
          <w:color w:val="000000" w:themeColor="text1"/>
          <w:kern w:val="0"/>
          <w:sz w:val="33"/>
          <w:szCs w:val="33"/>
          <w:lang w:val="en-US" w:eastAsia="zh-CN" w:bidi="ar-SA"/>
          <w14:textFill>
            <w14:solidFill>
              <w14:schemeClr w14:val="tx1"/>
            </w14:solidFill>
          </w14:textFill>
        </w:rPr>
        <w:t>.</w:t>
      </w:r>
    </w:p>
    <w:p>
      <w:pPr>
        <w:widowControl w:val="0"/>
        <w:spacing w:before="60" w:after="60"/>
        <w:jc w:val="center"/>
        <w:rPr>
          <w:rFonts w:ascii="仿宋" w:hAnsi="仿宋" w:eastAsia="仿宋" w:cs="Times New Roman"/>
          <w:b/>
          <w:color w:val="auto"/>
          <w:sz w:val="28"/>
          <w:szCs w:val="28"/>
          <w:lang w:val="en-US" w:eastAsia="zh-CN" w:bidi="ar-SA"/>
        </w:rPr>
      </w:pPr>
      <w:r>
        <w:rPr>
          <w:rFonts w:hint="eastAsia" w:ascii="仿宋" w:hAnsi="仿宋" w:eastAsia="仿宋" w:cs="Times New Roman"/>
          <w:b/>
          <w:color w:val="auto"/>
          <w:sz w:val="28"/>
          <w:szCs w:val="28"/>
          <w:lang w:val="en-US" w:eastAsia="zh-CN" w:bidi="ar-SA"/>
        </w:rPr>
        <w:t>表</w:t>
      </w:r>
      <w:r>
        <w:rPr>
          <w:rFonts w:ascii="仿宋" w:hAnsi="仿宋" w:eastAsia="仿宋" w:cs="Times New Roman"/>
          <w:b/>
          <w:color w:val="auto"/>
          <w:sz w:val="28"/>
          <w:szCs w:val="28"/>
          <w:lang w:val="en-US" w:eastAsia="zh-CN" w:bidi="ar-SA"/>
        </w:rPr>
        <w:t>3</w:t>
      </w:r>
      <w:r>
        <w:rPr>
          <w:rFonts w:hint="eastAsia" w:ascii="仿宋" w:hAnsi="仿宋" w:eastAsia="仿宋" w:cs="Times New Roman"/>
          <w:b/>
          <w:color w:val="auto"/>
          <w:sz w:val="28"/>
          <w:szCs w:val="28"/>
          <w:lang w:val="en-US" w:eastAsia="zh-CN" w:bidi="ar-SA"/>
        </w:rPr>
        <w:t>-</w:t>
      </w:r>
      <w:r>
        <w:rPr>
          <w:rFonts w:ascii="仿宋" w:hAnsi="仿宋" w:eastAsia="仿宋" w:cs="Times New Roman"/>
          <w:b/>
          <w:color w:val="auto"/>
          <w:sz w:val="28"/>
          <w:szCs w:val="28"/>
          <w:lang w:val="en-US" w:eastAsia="zh-CN" w:bidi="ar-SA"/>
        </w:rPr>
        <w:t>1</w:t>
      </w:r>
      <w:r>
        <w:rPr>
          <w:rFonts w:hint="eastAsia" w:ascii="仿宋" w:hAnsi="仿宋" w:eastAsia="仿宋" w:cs="Times New Roman"/>
          <w:b/>
          <w:color w:val="auto"/>
          <w:sz w:val="28"/>
          <w:szCs w:val="28"/>
          <w:lang w:val="en-US" w:eastAsia="zh-CN" w:bidi="ar-SA"/>
        </w:rPr>
        <w:t xml:space="preserve"> </w:t>
      </w:r>
      <w:r>
        <w:rPr>
          <w:rFonts w:ascii="仿宋" w:hAnsi="仿宋" w:eastAsia="仿宋" w:cs="Times New Roman"/>
          <w:b/>
          <w:color w:val="auto"/>
          <w:sz w:val="28"/>
          <w:szCs w:val="28"/>
          <w:lang w:val="en-US" w:eastAsia="zh-CN" w:bidi="ar-SA"/>
        </w:rPr>
        <w:t>项目评价得分情况</w:t>
      </w:r>
    </w:p>
    <w:tbl>
      <w:tblPr>
        <w:tblStyle w:val="18"/>
        <w:tblW w:w="51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721"/>
        <w:gridCol w:w="2439"/>
        <w:gridCol w:w="721"/>
        <w:gridCol w:w="929"/>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shd w:val="clear" w:color="auto" w:fill="auto"/>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二级指标</w:t>
            </w:r>
          </w:p>
        </w:tc>
        <w:tc>
          <w:tcPr>
            <w:tcW w:w="1397"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三级指标</w:t>
            </w:r>
          </w:p>
        </w:tc>
        <w:tc>
          <w:tcPr>
            <w:tcW w:w="413"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自评分数</w:t>
            </w:r>
          </w:p>
        </w:tc>
        <w:tc>
          <w:tcPr>
            <w:tcW w:w="5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w:t>
            </w:r>
          </w:p>
        </w:tc>
        <w:tc>
          <w:tcPr>
            <w:tcW w:w="1832" w:type="pct"/>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投入（25分）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项目立项（15分）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项目立项规范性（5分）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绩效目标合理性（4分）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default" w:ascii="宋体" w:hAnsi="宋体" w:eastAsia="宋体" w:cs="宋体"/>
                <w:color w:val="auto"/>
                <w:kern w:val="0"/>
                <w:sz w:val="20"/>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绩效指标明确性（6分）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w:t>
            </w:r>
          </w:p>
        </w:tc>
        <w:tc>
          <w:tcPr>
            <w:tcW w:w="1832" w:type="pct"/>
            <w:shd w:val="clear" w:color="auto" w:fill="auto"/>
            <w:vAlign w:val="center"/>
          </w:tcPr>
          <w:p>
            <w:pPr>
              <w:widowControl/>
              <w:jc w:val="left"/>
              <w:rPr>
                <w:rFonts w:hint="default" w:ascii="宋体" w:hAnsi="宋体" w:cs="宋体"/>
                <w:color w:val="auto"/>
                <w:kern w:val="0"/>
                <w:sz w:val="20"/>
                <w:szCs w:val="20"/>
                <w:highlight w:val="none"/>
                <w:lang w:val="en-US"/>
              </w:rPr>
            </w:pPr>
            <w:r>
              <w:rPr>
                <w:rFonts w:hint="eastAsia" w:ascii="宋体" w:hAnsi="宋体" w:cs="宋体"/>
                <w:color w:val="auto"/>
                <w:kern w:val="0"/>
                <w:sz w:val="20"/>
                <w:szCs w:val="20"/>
                <w:highlight w:val="none"/>
                <w:lang w:val="en-US" w:eastAsia="zh-CN"/>
              </w:rPr>
              <w:t>年初预算数和调整预算数相差较大，实际所需资金量与预算确定的项目资金量不匹配。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资金落实（10分）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资金到位率（5分）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到位及时率（5分）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过程（25分）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业务管理（13分）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管理制度健全性（4分）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-1</w:t>
            </w: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未制定第三方预算绩效管理监督检查管理制度。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制度执行有效性（6分</w:t>
            </w:r>
            <w:r>
              <w:rPr>
                <w:rFonts w:hint="eastAsia" w:ascii="宋体" w:hAnsi="宋体" w:cs="宋体"/>
                <w:color w:val="auto"/>
                <w:kern w:val="0"/>
                <w:sz w:val="20"/>
                <w:szCs w:val="20"/>
                <w:highlight w:val="none"/>
                <w:lang w:eastAsia="zh-CN"/>
              </w:rPr>
              <w:t>）</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center"/>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项目质量可控性（3分）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center"/>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财务管理（12分）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管理制度健全性（3分）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center"/>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9"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资金使用合规性（7分）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center"/>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财务监控有效性（2分）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1</w:t>
            </w:r>
          </w:p>
        </w:tc>
        <w:tc>
          <w:tcPr>
            <w:tcW w:w="5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产出（20分）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项目产出（20分）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实际完成率（4分）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4</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完成及时率（6分）</w:t>
            </w:r>
          </w:p>
        </w:tc>
        <w:tc>
          <w:tcPr>
            <w:tcW w:w="413" w:type="pct"/>
            <w:shd w:val="clear" w:color="auto" w:fill="auto"/>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6</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质量达标率（5分）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成本节约率（5分）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效果指标（30分）</w:t>
            </w:r>
          </w:p>
        </w:tc>
        <w:tc>
          <w:tcPr>
            <w:tcW w:w="413" w:type="pct"/>
            <w:vMerge w:val="restar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项目效益（30分）</w:t>
            </w: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社会效益（10分）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可持续影响（10分）</w:t>
            </w:r>
          </w:p>
        </w:tc>
        <w:tc>
          <w:tcPr>
            <w:tcW w:w="413"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413" w:type="pct"/>
            <w:vMerge w:val="continue"/>
            <w:shd w:val="clear" w:color="auto" w:fill="auto"/>
            <w:vAlign w:val="center"/>
          </w:tcPr>
          <w:p>
            <w:pPr>
              <w:widowControl/>
              <w:jc w:val="left"/>
              <w:rPr>
                <w:rFonts w:ascii="宋体" w:hAnsi="宋体" w:cs="宋体"/>
                <w:color w:val="auto"/>
                <w:kern w:val="0"/>
                <w:sz w:val="20"/>
                <w:szCs w:val="20"/>
                <w:highlight w:val="none"/>
              </w:rPr>
            </w:pPr>
          </w:p>
        </w:tc>
        <w:tc>
          <w:tcPr>
            <w:tcW w:w="1397" w:type="pct"/>
            <w:shd w:val="clear" w:color="auto" w:fill="auto"/>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社会公众或服务对象满意度（10分）</w:t>
            </w:r>
          </w:p>
        </w:tc>
        <w:tc>
          <w:tcPr>
            <w:tcW w:w="413" w:type="pct"/>
            <w:shd w:val="clear" w:color="auto" w:fill="auto"/>
            <w:vAlign w:val="center"/>
          </w:tcPr>
          <w:p>
            <w:pPr>
              <w:widowControl/>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532" w:type="pct"/>
            <w:shd w:val="clear" w:color="auto" w:fill="auto"/>
            <w:vAlign w:val="center"/>
          </w:tcPr>
          <w:p>
            <w:pPr>
              <w:widowControl/>
              <w:jc w:val="center"/>
              <w:rPr>
                <w:rFonts w:hint="eastAsia" w:ascii="宋体" w:hAnsi="宋体" w:cs="宋体"/>
                <w:color w:val="auto"/>
                <w:kern w:val="0"/>
                <w:sz w:val="20"/>
                <w:szCs w:val="20"/>
                <w:highlight w:val="none"/>
              </w:rPr>
            </w:pPr>
          </w:p>
        </w:tc>
        <w:tc>
          <w:tcPr>
            <w:tcW w:w="1832" w:type="pct"/>
            <w:shd w:val="clear" w:color="auto" w:fill="auto"/>
            <w:vAlign w:val="center"/>
          </w:tcPr>
          <w:p>
            <w:pPr>
              <w:widowControl/>
              <w:jc w:val="left"/>
              <w:rPr>
                <w:rFonts w:hint="eastAsia" w:ascii="宋体" w:hAnsi="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2223" w:type="pct"/>
            <w:gridSpan w:val="3"/>
            <w:shd w:val="clear" w:color="auto" w:fill="auto"/>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413"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97</w:t>
            </w:r>
          </w:p>
        </w:tc>
        <w:tc>
          <w:tcPr>
            <w:tcW w:w="532" w:type="pct"/>
            <w:shd w:val="clear" w:color="auto" w:fill="auto"/>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-3</w:t>
            </w:r>
          </w:p>
        </w:tc>
        <w:tc>
          <w:tcPr>
            <w:tcW w:w="1832" w:type="pct"/>
            <w:shd w:val="clear" w:color="auto" w:fill="auto"/>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w:t>
            </w:r>
          </w:p>
        </w:tc>
      </w:tr>
    </w:tbl>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lang w:eastAsia="zh-CN"/>
        </w:rPr>
        <w:t>四、</w:t>
      </w:r>
      <w:r>
        <w:rPr>
          <w:rFonts w:hint="eastAsia" w:ascii="宋体" w:hAnsi="宋体" w:eastAsia="方正黑体简体" w:cs="Times New Roman"/>
          <w:sz w:val="33"/>
          <w:szCs w:val="33"/>
        </w:rPr>
        <w:t>绩效分析</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（一）投入</w:t>
      </w:r>
      <w:r>
        <w:rPr>
          <w:rFonts w:hint="eastAsia" w:ascii="宋体" w:hAnsi="宋体" w:eastAsia="方正楷体简体" w:cs="Times New Roman"/>
          <w:b/>
          <w:kern w:val="2"/>
          <w:sz w:val="33"/>
          <w:szCs w:val="33"/>
          <w:lang w:val="zh-CN" w:eastAsia="zh-CN" w:bidi="ar-SA"/>
        </w:rPr>
        <w:t>指标</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1.项目立项规范性（5分）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该项目属于机关正常运转费用类项目，</w:t>
      </w:r>
      <w:r>
        <w:rPr>
          <w:rFonts w:ascii="宋体" w:hAnsi="宋体" w:eastAsia="方正仿宋简体"/>
          <w:color w:val="000000" w:themeColor="text1"/>
          <w:sz w:val="33"/>
          <w:szCs w:val="33"/>
          <w:highlight w:val="none"/>
          <w14:textFill>
            <w14:solidFill>
              <w14:schemeClr w14:val="tx1"/>
            </w14:solidFill>
          </w14:textFill>
        </w:rPr>
        <w:t>项目的申请、设立过程符合</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财政局内部</w:t>
      </w:r>
      <w:r>
        <w:rPr>
          <w:rFonts w:ascii="宋体" w:hAnsi="宋体" w:eastAsia="方正仿宋简体"/>
          <w:color w:val="000000" w:themeColor="text1"/>
          <w:sz w:val="33"/>
          <w:szCs w:val="33"/>
          <w:highlight w:val="none"/>
          <w14:textFill>
            <w14:solidFill>
              <w14:schemeClr w14:val="tx1"/>
            </w14:solidFill>
          </w14:textFill>
        </w:rPr>
        <w:t>要求，</w:t>
      </w:r>
      <w:r>
        <w:rPr>
          <w:rFonts w:hint="eastAsia" w:ascii="宋体" w:hAnsi="宋体" w:eastAsia="方正仿宋简体"/>
          <w:color w:val="000000" w:themeColor="text1"/>
          <w:sz w:val="33"/>
          <w:szCs w:val="33"/>
          <w:highlight w:val="none"/>
          <w:lang w:val="en-US" w:eastAsia="zh-CN"/>
          <w14:textFill>
            <w14:solidFill>
              <w14:schemeClr w14:val="tx1"/>
            </w14:solidFill>
          </w14:textFill>
        </w:rPr>
        <w:t>由财政局党组会讨论通过，通过集体决策，</w:t>
      </w:r>
      <w:r>
        <w:rPr>
          <w:rFonts w:ascii="宋体" w:hAnsi="宋体" w:eastAsia="方正仿宋简体"/>
          <w:color w:val="000000" w:themeColor="text1"/>
          <w:sz w:val="33"/>
          <w:szCs w:val="33"/>
          <w:highlight w:val="none"/>
          <w14:textFill>
            <w14:solidFill>
              <w14:schemeClr w14:val="tx1"/>
            </w14:solidFill>
          </w14:textFill>
        </w:rPr>
        <w:t>项目按照规定的程序申请设立；所提交的文件、材料</w:t>
      </w:r>
      <w:r>
        <w:rPr>
          <w:rFonts w:hint="eastAsia" w:ascii="宋体" w:hAnsi="宋体" w:eastAsia="方正仿宋简体"/>
          <w:color w:val="000000" w:themeColor="text1"/>
          <w:sz w:val="33"/>
          <w:szCs w:val="33"/>
          <w:highlight w:val="none"/>
          <w:lang w:val="en-US" w:eastAsia="zh-CN"/>
          <w14:textFill>
            <w14:solidFill>
              <w14:schemeClr w14:val="tx1"/>
            </w14:solidFill>
          </w14:textFill>
        </w:rPr>
        <w:t>均</w:t>
      </w:r>
      <w:r>
        <w:rPr>
          <w:rFonts w:ascii="宋体" w:hAnsi="宋体" w:eastAsia="方正仿宋简体"/>
          <w:color w:val="000000" w:themeColor="text1"/>
          <w:sz w:val="33"/>
          <w:szCs w:val="33"/>
          <w:highlight w:val="none"/>
          <w14:textFill>
            <w14:solidFill>
              <w14:schemeClr w14:val="tx1"/>
            </w14:solidFill>
          </w14:textFill>
        </w:rPr>
        <w:t>符合相关要求</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该项得满分5分。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2.绩效目标合理性（4分）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eastAsia="方正仿宋简体"/>
          <w:lang w:val="en-US" w:eastAsia="zh-CN"/>
        </w:rPr>
      </w:pPr>
      <w:r>
        <w:rPr>
          <w:rFonts w:hint="eastAsia" w:ascii="宋体" w:hAnsi="宋体" w:eastAsia="方正仿宋简体"/>
          <w:color w:val="000000" w:themeColor="text1"/>
          <w:sz w:val="33"/>
          <w:szCs w:val="33"/>
          <w:highlight w:val="none"/>
          <w14:textFill>
            <w14:solidFill>
              <w14:schemeClr w14:val="tx1"/>
            </w14:solidFill>
          </w14:textFill>
        </w:rPr>
        <w:t>该项目绩效目标合理。①本项目实施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符合《中华人民共和国预算法》《中华人民共和国预算法实施条例》等国家相关法律法规、国民经济发展规划和党委政府决策要求</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本项目</w:t>
      </w:r>
      <w:r>
        <w:rPr>
          <w:rFonts w:hint="eastAsia" w:ascii="宋体" w:hAnsi="宋体" w:eastAsia="方正仿宋简体"/>
          <w:color w:val="000000" w:themeColor="text1"/>
          <w:sz w:val="33"/>
          <w:szCs w:val="33"/>
          <w:highlight w:val="none"/>
          <w14:textFill>
            <w14:solidFill>
              <w14:schemeClr w14:val="tx1"/>
            </w14:solidFill>
          </w14:textFill>
        </w:rPr>
        <w:t>实施内容与本部门（单位）“负责全面实施预算绩效管理”</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w:t>
      </w:r>
      <w:r>
        <w:rPr>
          <w:rFonts w:hint="eastAsia" w:ascii="宋体" w:hAnsi="宋体" w:eastAsia="方正仿宋简体"/>
          <w:color w:val="000000" w:themeColor="text1"/>
          <w:sz w:val="33"/>
          <w:szCs w:val="33"/>
          <w:highlight w:val="none"/>
          <w14:textFill>
            <w14:solidFill>
              <w14:schemeClr w14:val="tx1"/>
            </w14:solidFill>
          </w14:textFill>
        </w:rPr>
        <w:t>职能密切相关</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能够保障全区财务系统正常使用</w:t>
      </w:r>
      <w:r>
        <w:rPr>
          <w:rFonts w:hint="eastAsia" w:ascii="宋体" w:hAnsi="宋体" w:eastAsia="方正仿宋简体"/>
          <w:color w:val="000000" w:themeColor="text1"/>
          <w:sz w:val="33"/>
          <w:szCs w:val="33"/>
          <w:highlight w:val="none"/>
          <w14:textFill>
            <w14:solidFill>
              <w14:schemeClr w14:val="tx1"/>
            </w14:solidFill>
          </w14:textFill>
        </w:rPr>
        <w:t>；③</w:t>
      </w:r>
      <w:r>
        <w:rPr>
          <w:rFonts w:hint="eastAsia" w:ascii="宋体" w:hAnsi="宋体" w:eastAsia="方正仿宋简体"/>
          <w:color w:val="000000" w:themeColor="text1"/>
          <w:sz w:val="33"/>
          <w:szCs w:val="33"/>
          <w:highlight w:val="none"/>
          <w:lang w:val="en-US" w:eastAsia="zh-CN"/>
          <w14:textFill>
            <w14:solidFill>
              <w14:schemeClr w14:val="tx1"/>
            </w14:solidFill>
          </w14:textFill>
        </w:rPr>
        <w:t>本</w:t>
      </w:r>
      <w:r>
        <w:rPr>
          <w:rFonts w:hint="eastAsia" w:ascii="宋体" w:hAnsi="宋体" w:eastAsia="方正仿宋简体"/>
          <w:color w:val="000000" w:themeColor="text1"/>
          <w:sz w:val="33"/>
          <w:szCs w:val="33"/>
          <w:highlight w:val="none"/>
          <w14:textFill>
            <w14:solidFill>
              <w14:schemeClr w14:val="tx1"/>
            </w14:solidFill>
          </w14:textFill>
        </w:rPr>
        <w:t>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能够以更独立、更专业、更公正的视角开展预算绩效管理监督工作，</w:t>
      </w:r>
      <w:r>
        <w:rPr>
          <w:rFonts w:hint="default" w:ascii="Times New Roman" w:hAnsi="Times New Roman" w:eastAsia="方正仿宋简体" w:cs="Times New Roman"/>
          <w:color w:val="000000" w:themeColor="text1"/>
          <w:sz w:val="33"/>
          <w:szCs w:val="33"/>
          <w:lang w:val="en-US" w:eastAsia="zh-CN"/>
          <w14:textFill>
            <w14:solidFill>
              <w14:schemeClr w14:val="tx1"/>
            </w14:solidFill>
          </w14:textFill>
        </w:rPr>
        <w:t>提高财政资金使用效益</w:t>
      </w:r>
      <w:r>
        <w:rPr>
          <w:rFonts w:hint="eastAsia" w:ascii="宋体" w:hAnsi="宋体" w:eastAsia="方正仿宋简体"/>
          <w:color w:val="000000" w:themeColor="text1"/>
          <w:sz w:val="33"/>
          <w:szCs w:val="33"/>
          <w:highlight w:val="none"/>
          <w14:textFill>
            <w14:solidFill>
              <w14:schemeClr w14:val="tx1"/>
            </w14:solidFill>
          </w14:textFill>
        </w:rPr>
        <w:t>；④该项目预期产出及效果根据上级文件、计划标准制定，符合正常的业绩水平。该项得满分4分</w:t>
      </w:r>
      <w:r>
        <w:rPr>
          <w:rFonts w:ascii="宋体" w:hAnsi="宋体" w:eastAsia="方正仿宋简体"/>
          <w:color w:val="000000" w:themeColor="text1"/>
          <w:sz w:val="33"/>
          <w:szCs w:val="33"/>
          <w:highlight w:val="none"/>
          <w14:textFill>
            <w14:solidFill>
              <w14:schemeClr w14:val="tx1"/>
            </w14:solidFill>
          </w14:textFill>
        </w:rPr>
        <w:t>。</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3.绩效指标明确性（6分）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①设置了：重点项目评估数量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≥7个</w:t>
      </w:r>
      <w:r>
        <w:rPr>
          <w:rFonts w:hint="eastAsia" w:ascii="宋体" w:hAnsi="宋体" w:eastAsia="方正仿宋简体"/>
          <w:color w:val="000000" w:themeColor="text1"/>
          <w:sz w:val="33"/>
          <w:szCs w:val="33"/>
          <w:highlight w:val="none"/>
          <w14:textFill>
            <w14:solidFill>
              <w14:schemeClr w14:val="tx1"/>
            </w14:solidFill>
          </w14:textFill>
        </w:rPr>
        <w:t>等</w:t>
      </w:r>
      <w:r>
        <w:rPr>
          <w:rFonts w:hint="eastAsia" w:ascii="宋体" w:hAnsi="宋体" w:eastAsia="方正仿宋简体"/>
          <w:color w:val="000000" w:themeColor="text1"/>
          <w:sz w:val="33"/>
          <w:szCs w:val="33"/>
          <w:highlight w:val="none"/>
          <w:lang w:val="en-US" w:eastAsia="zh-CN"/>
          <w14:textFill>
            <w14:solidFill>
              <w14:schemeClr w14:val="tx1"/>
            </w14:solidFill>
          </w14:textFill>
        </w:rPr>
        <w:t>3</w:t>
      </w:r>
      <w:r>
        <w:rPr>
          <w:rFonts w:hint="eastAsia" w:ascii="宋体" w:hAnsi="宋体" w:eastAsia="方正仿宋简体"/>
          <w:color w:val="000000" w:themeColor="text1"/>
          <w:sz w:val="33"/>
          <w:szCs w:val="33"/>
          <w:highlight w:val="none"/>
          <w14:textFill>
            <w14:solidFill>
              <w14:schemeClr w14:val="tx1"/>
            </w14:solidFill>
          </w14:textFill>
        </w:rPr>
        <w:t>条数量指标、重点项目评估结果准确率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等3条</w:t>
      </w:r>
      <w:r>
        <w:rPr>
          <w:rFonts w:hint="eastAsia" w:ascii="宋体" w:hAnsi="宋体" w:eastAsia="方正仿宋简体"/>
          <w:color w:val="000000" w:themeColor="text1"/>
          <w:sz w:val="33"/>
          <w:szCs w:val="33"/>
          <w:highlight w:val="none"/>
          <w14:textFill>
            <w14:solidFill>
              <w14:schemeClr w14:val="tx1"/>
            </w14:solidFill>
          </w14:textFill>
        </w:rPr>
        <w:t>质量指标、行政事业单位检查报告出具及时性</w:t>
      </w:r>
      <w:r>
        <w:rPr>
          <w:rFonts w:hint="eastAsia" w:ascii="宋体" w:hAnsi="宋体" w:eastAsia="方正仿宋简体"/>
          <w:color w:val="000000" w:themeColor="text1"/>
          <w:sz w:val="33"/>
          <w:szCs w:val="33"/>
          <w:highlight w:val="none"/>
          <w:lang w:val="en-US" w:eastAsia="zh-CN"/>
          <w14:textFill>
            <w14:solidFill>
              <w14:schemeClr w14:val="tx1"/>
            </w14:solidFill>
          </w14:textFill>
        </w:rPr>
        <w:t>好坏等3条</w:t>
      </w:r>
      <w:r>
        <w:rPr>
          <w:rFonts w:hint="eastAsia" w:ascii="宋体" w:hAnsi="宋体" w:eastAsia="方正仿宋简体"/>
          <w:color w:val="000000" w:themeColor="text1"/>
          <w:sz w:val="33"/>
          <w:szCs w:val="33"/>
          <w:highlight w:val="none"/>
          <w14:textFill>
            <w14:solidFill>
              <w14:schemeClr w14:val="tx1"/>
            </w14:solidFill>
          </w14:textFill>
        </w:rPr>
        <w:t>时效指标、预算绩效管理培训工作经费控制数≤</w:t>
      </w:r>
      <w:r>
        <w:rPr>
          <w:rFonts w:hint="eastAsia" w:ascii="宋体" w:hAnsi="宋体" w:eastAsia="方正仿宋简体"/>
          <w:color w:val="000000" w:themeColor="text1"/>
          <w:sz w:val="33"/>
          <w:szCs w:val="33"/>
          <w:highlight w:val="none"/>
          <w:lang w:val="en-US" w:eastAsia="zh-CN"/>
          <w14:textFill>
            <w14:solidFill>
              <w14:schemeClr w14:val="tx1"/>
            </w14:solidFill>
          </w14:textFill>
        </w:rPr>
        <w:t>35万元</w:t>
      </w:r>
      <w:r>
        <w:rPr>
          <w:rFonts w:hint="eastAsia" w:ascii="宋体" w:hAnsi="宋体" w:eastAsia="方正仿宋简体"/>
          <w:color w:val="000000" w:themeColor="text1"/>
          <w:sz w:val="33"/>
          <w:szCs w:val="33"/>
          <w:highlight w:val="none"/>
          <w14:textFill>
            <w14:solidFill>
              <w14:schemeClr w14:val="tx1"/>
            </w14:solidFill>
          </w14:textFill>
        </w:rPr>
        <w:t>等</w:t>
      </w:r>
      <w:r>
        <w:rPr>
          <w:rFonts w:hint="eastAsia" w:ascii="宋体" w:hAnsi="宋体" w:eastAsia="方正仿宋简体"/>
          <w:color w:val="000000" w:themeColor="text1"/>
          <w:sz w:val="33"/>
          <w:szCs w:val="33"/>
          <w:highlight w:val="none"/>
          <w:lang w:val="en-US" w:eastAsia="zh-CN"/>
          <w14:textFill>
            <w14:solidFill>
              <w14:schemeClr w14:val="tx1"/>
            </w14:solidFill>
          </w14:textFill>
        </w:rPr>
        <w:t>3条成本</w:t>
      </w:r>
      <w:r>
        <w:rPr>
          <w:rFonts w:hint="eastAsia" w:ascii="宋体" w:hAnsi="宋体" w:eastAsia="方正仿宋简体"/>
          <w:color w:val="000000" w:themeColor="text1"/>
          <w:sz w:val="33"/>
          <w:szCs w:val="33"/>
          <w:highlight w:val="none"/>
          <w14:textFill>
            <w14:solidFill>
              <w14:schemeClr w14:val="tx1"/>
            </w14:solidFill>
          </w14:textFill>
        </w:rPr>
        <w:t>指标</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已</w:t>
      </w:r>
      <w:r>
        <w:rPr>
          <w:rFonts w:hint="eastAsia" w:ascii="宋体" w:hAnsi="宋体" w:eastAsia="方正仿宋简体"/>
          <w:color w:val="000000" w:themeColor="text1"/>
          <w:sz w:val="33"/>
          <w:szCs w:val="33"/>
          <w:highlight w:val="none"/>
          <w:lang w:eastAsia="zh-CN"/>
          <w14:textFill>
            <w14:solidFill>
              <w14:schemeClr w14:val="tx1"/>
            </w14:solidFill>
          </w14:textFill>
        </w:rPr>
        <w:t>将项目绩效目标细化分解为具体的绩效指标</w:t>
      </w:r>
      <w:r>
        <w:rPr>
          <w:rFonts w:hint="eastAsia" w:ascii="宋体" w:hAnsi="宋体" w:eastAsia="方正仿宋简体"/>
          <w:color w:val="000000" w:themeColor="text1"/>
          <w:sz w:val="33"/>
          <w:szCs w:val="33"/>
          <w:highlight w:val="none"/>
          <w14:textFill>
            <w14:solidFill>
              <w14:schemeClr w14:val="tx1"/>
            </w14:solidFill>
          </w14:textFill>
        </w:rPr>
        <w:t>。②</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设置的指标，如“</w:t>
      </w:r>
      <w:r>
        <w:rPr>
          <w:rFonts w:hint="eastAsia" w:ascii="宋体" w:hAnsi="宋体" w:eastAsia="方正仿宋简体"/>
          <w:color w:val="000000" w:themeColor="text1"/>
          <w:sz w:val="33"/>
          <w:szCs w:val="33"/>
          <w:highlight w:val="none"/>
          <w14:textFill>
            <w14:solidFill>
              <w14:schemeClr w14:val="tx1"/>
            </w14:solidFill>
          </w14:textFill>
        </w:rPr>
        <w:t>重点项目评估数量</w:t>
      </w:r>
      <w:r>
        <w:rPr>
          <w:rFonts w:hint="eastAsia" w:ascii="宋体" w:hAnsi="宋体" w:eastAsia="方正仿宋简体"/>
          <w:color w:val="000000" w:themeColor="text1"/>
          <w:sz w:val="33"/>
          <w:szCs w:val="33"/>
          <w:highlight w:val="none"/>
          <w:lang w:val="en-US" w:eastAsia="zh-CN"/>
          <w14:textFill>
            <w14:solidFill>
              <w14:schemeClr w14:val="tx1"/>
            </w14:solidFill>
          </w14:textFill>
        </w:rPr>
        <w:t>≥7个”“</w:t>
      </w:r>
      <w:r>
        <w:rPr>
          <w:rFonts w:hint="eastAsia" w:ascii="宋体" w:hAnsi="宋体" w:eastAsia="方正仿宋简体"/>
          <w:color w:val="000000" w:themeColor="text1"/>
          <w:sz w:val="33"/>
          <w:szCs w:val="33"/>
          <w:highlight w:val="none"/>
          <w14:textFill>
            <w14:solidFill>
              <w14:schemeClr w14:val="tx1"/>
            </w14:solidFill>
          </w14:textFill>
        </w:rPr>
        <w:t>重点项目评估结果准确率</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”“雁江区行政事业单位财务对预算绩效工作满意度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≥90</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等指标值等清晰、可衡量。</w:t>
      </w:r>
      <w:r>
        <w:rPr>
          <w:rFonts w:hint="eastAsia" w:ascii="宋体" w:hAnsi="宋体" w:eastAsia="方正仿宋简体"/>
          <w:color w:val="000000" w:themeColor="text1"/>
          <w:sz w:val="33"/>
          <w:szCs w:val="33"/>
          <w:highlight w:val="none"/>
          <w14:textFill>
            <w14:solidFill>
              <w14:schemeClr w14:val="tx1"/>
            </w14:solidFill>
          </w14:textFill>
        </w:rPr>
        <w:t>③本</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项目2022</w:t>
      </w:r>
      <w:r>
        <w:rPr>
          <w:rFonts w:hint="eastAsia" w:ascii="宋体" w:hAnsi="宋体" w:eastAsia="方正仿宋简体"/>
          <w:color w:val="000000" w:themeColor="text1"/>
          <w:sz w:val="33"/>
          <w:szCs w:val="33"/>
          <w:highlight w:val="none"/>
          <w14:textFill>
            <w14:solidFill>
              <w14:schemeClr w14:val="tx1"/>
            </w14:solidFill>
          </w14:textFill>
        </w:rPr>
        <w:t>年度计划实施</w:t>
      </w:r>
      <w:r>
        <w:rPr>
          <w:rFonts w:hint="eastAsia" w:ascii="宋体" w:hAnsi="宋体" w:eastAsia="方正仿宋简体"/>
          <w:color w:val="000000" w:themeColor="text1"/>
          <w:sz w:val="33"/>
          <w:szCs w:val="33"/>
          <w:highlight w:val="none"/>
          <w:lang w:val="en-US" w:eastAsia="zh-CN"/>
          <w14:textFill>
            <w14:solidFill>
              <w14:schemeClr w14:val="tx1"/>
            </w14:solidFill>
          </w14:textFill>
        </w:rPr>
        <w:t>3</w:t>
      </w:r>
      <w:r>
        <w:rPr>
          <w:rFonts w:hint="eastAsia" w:ascii="宋体" w:hAnsi="宋体" w:eastAsia="方正仿宋简体"/>
          <w:color w:val="000000" w:themeColor="text1"/>
          <w:sz w:val="33"/>
          <w:szCs w:val="33"/>
          <w:highlight w:val="none"/>
          <w14:textFill>
            <w14:solidFill>
              <w14:schemeClr w14:val="tx1"/>
            </w14:solidFill>
          </w14:textFill>
        </w:rPr>
        <w:t>项任务，</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项目绩效指标与项目</w:t>
      </w:r>
      <w:r>
        <w:rPr>
          <w:rFonts w:hint="eastAsia" w:ascii="宋体" w:hAnsi="宋体" w:eastAsia="方正仿宋简体"/>
          <w:color w:val="000000" w:themeColor="text1"/>
          <w:sz w:val="33"/>
          <w:szCs w:val="33"/>
          <w:highlight w:val="none"/>
          <w14:textFill>
            <w14:solidFill>
              <w14:schemeClr w14:val="tx1"/>
            </w14:solidFill>
          </w14:textFill>
        </w:rPr>
        <w:t>年度任务与</w:t>
      </w:r>
      <w:r>
        <w:rPr>
          <w:rFonts w:hint="eastAsia" w:ascii="宋体" w:hAnsi="宋体" w:eastAsia="方正仿宋简体"/>
          <w:color w:val="000000" w:themeColor="text1"/>
          <w:sz w:val="33"/>
          <w:szCs w:val="33"/>
          <w:highlight w:val="none"/>
          <w:lang w:val="en-US" w:eastAsia="zh-CN"/>
          <w14:textFill>
            <w14:solidFill>
              <w14:schemeClr w14:val="tx1"/>
            </w14:solidFill>
          </w14:textFill>
        </w:rPr>
        <w:t>计划</w:t>
      </w:r>
      <w:r>
        <w:rPr>
          <w:rFonts w:hint="eastAsia" w:ascii="宋体" w:hAnsi="宋体" w:eastAsia="方正仿宋简体"/>
          <w:color w:val="000000" w:themeColor="text1"/>
          <w:sz w:val="33"/>
          <w:szCs w:val="33"/>
          <w:highlight w:val="none"/>
          <w14:textFill>
            <w14:solidFill>
              <w14:schemeClr w14:val="tx1"/>
            </w14:solidFill>
          </w14:textFill>
        </w:rPr>
        <w:t>完成相对应，数量指标完整清晰。</w:t>
      </w:r>
      <w:r>
        <w:rPr>
          <w:rFonts w:hint="eastAsia" w:ascii="宋体" w:hAnsi="宋体" w:eastAsia="方正仿宋简体"/>
          <w:color w:val="000000" w:themeColor="text1"/>
          <w:sz w:val="33"/>
          <w:szCs w:val="33"/>
          <w:highlight w:val="none"/>
          <w:lang w:val="en-US" w:eastAsia="zh-CN"/>
          <w14:textFill>
            <w14:solidFill>
              <w14:schemeClr w14:val="tx1"/>
            </w14:solidFill>
          </w14:textFill>
        </w:rPr>
        <w:t>④</w:t>
      </w:r>
      <w:r>
        <w:rPr>
          <w:rFonts w:hint="eastAsia" w:ascii="宋体" w:hAnsi="宋体" w:eastAsia="方正仿宋简体"/>
          <w:color w:val="000000" w:themeColor="text1"/>
          <w:sz w:val="33"/>
          <w:szCs w:val="33"/>
          <w:highlight w:val="none"/>
          <w14:textFill>
            <w14:solidFill>
              <w14:schemeClr w14:val="tx1"/>
            </w14:solidFill>
          </w14:textFill>
        </w:rPr>
        <w:t>本项目预算根据</w:t>
      </w:r>
      <w:r>
        <w:rPr>
          <w:rFonts w:hint="eastAsia" w:ascii="宋体" w:hAnsi="宋体" w:eastAsia="方正仿宋简体"/>
          <w:color w:val="000000" w:themeColor="text1"/>
          <w:sz w:val="33"/>
          <w:szCs w:val="33"/>
          <w:highlight w:val="none"/>
          <w:lang w:val="en-US" w:eastAsia="zh-CN"/>
          <w14:textFill>
            <w14:solidFill>
              <w14:schemeClr w14:val="tx1"/>
            </w14:solidFill>
          </w14:textFill>
        </w:rPr>
        <w:t>预算绩效管理监督检查工作项目所需资金确定</w:t>
      </w:r>
      <w:r>
        <w:rPr>
          <w:rFonts w:hint="eastAsia"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前期调研充分，</w:t>
      </w:r>
      <w:r>
        <w:rPr>
          <w:rFonts w:hint="eastAsia" w:ascii="宋体" w:hAnsi="宋体" w:eastAsia="方正仿宋简体"/>
          <w:color w:val="000000" w:themeColor="text1"/>
          <w:sz w:val="33"/>
          <w:szCs w:val="33"/>
          <w:highlight w:val="none"/>
          <w14:textFill>
            <w14:solidFill>
              <w14:schemeClr w14:val="tx1"/>
            </w14:solidFill>
          </w14:textFill>
        </w:rPr>
        <w:t>成本测算依据充分；预算资金总额与</w:t>
      </w:r>
      <w:r>
        <w:rPr>
          <w:rFonts w:hint="eastAsia" w:ascii="宋体" w:hAnsi="宋体" w:eastAsia="方正仿宋简体"/>
          <w:color w:val="000000" w:themeColor="text1"/>
          <w:sz w:val="33"/>
          <w:szCs w:val="33"/>
          <w:highlight w:val="none"/>
          <w:lang w:val="en-US" w:eastAsia="zh-CN"/>
          <w14:textFill>
            <w14:solidFill>
              <w14:schemeClr w14:val="tx1"/>
            </w14:solidFill>
          </w14:textFill>
        </w:rPr>
        <w:t>实际所需金额相差较大</w:t>
      </w:r>
      <w:r>
        <w:rPr>
          <w:rFonts w:hint="eastAsia" w:ascii="宋体" w:hAnsi="宋体" w:eastAsia="方正仿宋简体"/>
          <w:color w:val="000000" w:themeColor="text1"/>
          <w:sz w:val="33"/>
          <w:szCs w:val="33"/>
          <w:highlight w:val="none"/>
          <w14:textFill>
            <w14:solidFill>
              <w14:schemeClr w14:val="tx1"/>
            </w14:solidFill>
          </w14:textFill>
        </w:rPr>
        <w:t>。该项</w:t>
      </w:r>
      <w:r>
        <w:rPr>
          <w:rFonts w:hint="eastAsia" w:ascii="宋体" w:hAnsi="宋体" w:eastAsia="方正仿宋简体"/>
          <w:color w:val="000000" w:themeColor="text1"/>
          <w:sz w:val="33"/>
          <w:szCs w:val="33"/>
          <w:highlight w:val="none"/>
          <w:lang w:val="en-US" w:eastAsia="zh-CN"/>
          <w14:textFill>
            <w14:solidFill>
              <w14:schemeClr w14:val="tx1"/>
            </w14:solidFill>
          </w14:textFill>
        </w:rPr>
        <w:t>扣2分，</w:t>
      </w:r>
      <w:r>
        <w:rPr>
          <w:rFonts w:hint="eastAsia" w:ascii="宋体" w:hAnsi="宋体" w:eastAsia="方正仿宋简体"/>
          <w:color w:val="000000" w:themeColor="text1"/>
          <w:sz w:val="33"/>
          <w:szCs w:val="33"/>
          <w:highlight w:val="none"/>
          <w14:textFill>
            <w14:solidFill>
              <w14:schemeClr w14:val="tx1"/>
            </w14:solidFill>
          </w14:textFill>
        </w:rPr>
        <w:t>得分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4</w:t>
      </w:r>
      <w:r>
        <w:rPr>
          <w:rFonts w:hint="eastAsia" w:ascii="宋体" w:hAnsi="宋体" w:eastAsia="方正仿宋简体"/>
          <w:color w:val="000000" w:themeColor="text1"/>
          <w:sz w:val="33"/>
          <w:szCs w:val="33"/>
          <w:highlight w:val="none"/>
          <w14:textFill>
            <w14:solidFill>
              <w14:schemeClr w14:val="tx1"/>
            </w14:solidFill>
          </w14:textFill>
        </w:rPr>
        <w:t>分</w:t>
      </w:r>
      <w:r>
        <w:rPr>
          <w:rFonts w:ascii="宋体" w:hAnsi="宋体" w:eastAsia="方正仿宋简体"/>
          <w:color w:val="000000" w:themeColor="text1"/>
          <w:sz w:val="33"/>
          <w:szCs w:val="33"/>
          <w:highlight w:val="none"/>
          <w14:textFill>
            <w14:solidFill>
              <w14:schemeClr w14:val="tx1"/>
            </w14:solidFill>
          </w14:textFill>
        </w:rPr>
        <w:t>。</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4.资金到位率(5分）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14:textFill>
            <w14:solidFill>
              <w14:schemeClr w14:val="tx1"/>
            </w14:solidFill>
          </w14:textFill>
        </w:rPr>
        <w:t>本项目年初预算资金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调整后预算数为65.39万元，</w:t>
      </w:r>
      <w:r>
        <w:rPr>
          <w:rFonts w:hint="eastAsia" w:ascii="宋体" w:hAnsi="宋体" w:eastAsia="方正仿宋简体"/>
          <w:color w:val="000000" w:themeColor="text1"/>
          <w:sz w:val="33"/>
          <w:szCs w:val="33"/>
          <w:highlight w:val="none"/>
          <w14:textFill>
            <w14:solidFill>
              <w14:schemeClr w14:val="tx1"/>
            </w14:solidFill>
          </w14:textFill>
        </w:rPr>
        <w:t>截至202</w:t>
      </w:r>
      <w:r>
        <w:rPr>
          <w:rFonts w:hint="eastAsia" w:ascii="宋体" w:hAnsi="宋体" w:eastAsia="方正仿宋简体"/>
          <w:color w:val="000000" w:themeColor="text1"/>
          <w:sz w:val="33"/>
          <w:szCs w:val="33"/>
          <w:highlight w:val="none"/>
          <w:lang w:val="en-US" w:eastAsia="zh-CN"/>
          <w14:textFill>
            <w14:solidFill>
              <w14:schemeClr w14:val="tx1"/>
            </w14:solidFill>
          </w14:textFill>
        </w:rPr>
        <w:t>2</w:t>
      </w:r>
      <w:r>
        <w:rPr>
          <w:rFonts w:hint="eastAsia" w:ascii="宋体" w:hAnsi="宋体" w:eastAsia="方正仿宋简体"/>
          <w:color w:val="000000" w:themeColor="text1"/>
          <w:sz w:val="33"/>
          <w:szCs w:val="33"/>
          <w:highlight w:val="none"/>
          <w14:textFill>
            <w14:solidFill>
              <w14:schemeClr w14:val="tx1"/>
            </w14:solidFill>
          </w14:textFill>
        </w:rPr>
        <w:t>年12月31日，实际到位资金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65.39</w:t>
      </w:r>
      <w:r>
        <w:rPr>
          <w:rFonts w:hint="eastAsia" w:ascii="宋体" w:hAnsi="宋体" w:eastAsia="方正仿宋简体"/>
          <w:color w:val="000000" w:themeColor="text1"/>
          <w:sz w:val="33"/>
          <w:szCs w:val="33"/>
          <w:highlight w:val="none"/>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资金到位率=（实际到位资金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65.39</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/计划投入资金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65.39</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该项得5分</w:t>
      </w:r>
      <w:r>
        <w:rPr>
          <w:rFonts w:hint="eastAsia" w:ascii="宋体" w:hAnsi="宋体" w:eastAsia="方正仿宋简体"/>
          <w:color w:val="000000" w:themeColor="text1"/>
          <w:sz w:val="33"/>
          <w:szCs w:val="33"/>
          <w:highlight w:val="none"/>
          <w:lang w:eastAsia="zh-CN"/>
          <w14:textFill>
            <w14:solidFill>
              <w14:schemeClr w14:val="tx1"/>
            </w14:solidFill>
          </w14:textFill>
        </w:rPr>
        <w:t>。</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5.到位及时率(5分）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2022年，截至规定时点实际落实到具体项目的资金为65.39</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到位及时率=（及时到位资金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65.39</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/应到位资金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65.39</w:t>
      </w:r>
      <w:r>
        <w:rPr>
          <w:rFonts w:hint="eastAsia" w:ascii="宋体" w:hAnsi="宋体" w:eastAsia="方正仿宋简体"/>
          <w:color w:val="000000" w:themeColor="text1"/>
          <w:sz w:val="33"/>
          <w:szCs w:val="33"/>
          <w:highlight w:val="none"/>
          <w:lang w:eastAsia="zh-CN"/>
          <w14:textFill>
            <w14:solidFill>
              <w14:schemeClr w14:val="tx1"/>
            </w14:solidFill>
          </w14:textFill>
        </w:rPr>
        <w:t>万元</w:t>
      </w:r>
      <w:r>
        <w:rPr>
          <w:rFonts w:ascii="宋体" w:hAnsi="宋体" w:eastAsia="方正仿宋简体"/>
          <w:color w:val="000000" w:themeColor="text1"/>
          <w:sz w:val="33"/>
          <w:szCs w:val="33"/>
          <w:highlight w:val="none"/>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100%</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ascii="宋体" w:hAnsi="宋体" w:eastAsia="方正仿宋简体"/>
          <w:color w:val="000000" w:themeColor="text1"/>
          <w:sz w:val="33"/>
          <w:szCs w:val="33"/>
          <w:highlight w:val="none"/>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该项得5分</w:t>
      </w:r>
      <w:r>
        <w:rPr>
          <w:rFonts w:hint="eastAsia" w:ascii="宋体" w:hAnsi="宋体" w:eastAsia="方正仿宋简体"/>
          <w:color w:val="000000" w:themeColor="text1"/>
          <w:sz w:val="33"/>
          <w:szCs w:val="33"/>
          <w:highlight w:val="none"/>
          <w:lang w:eastAsia="zh-CN"/>
          <w14:textFill>
            <w14:solidFill>
              <w14:schemeClr w14:val="tx1"/>
            </w14:solidFill>
          </w14:textFill>
        </w:rPr>
        <w:t>。</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eastAsia"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（二）过程</w:t>
      </w:r>
      <w:r>
        <w:rPr>
          <w:rFonts w:hint="eastAsia" w:ascii="宋体" w:hAnsi="宋体" w:eastAsia="方正楷体简体" w:cs="Times New Roman"/>
          <w:b/>
          <w:kern w:val="2"/>
          <w:sz w:val="33"/>
          <w:szCs w:val="33"/>
          <w:lang w:val="zh-CN" w:eastAsia="zh-CN" w:bidi="ar-SA"/>
        </w:rPr>
        <w:t>指标</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1.管理制度健全性（4分）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在制度方面，本部门制定了</w:t>
      </w:r>
      <w:r>
        <w:rPr>
          <w:rFonts w:hint="eastAsia" w:ascii="宋体" w:hAnsi="宋体" w:eastAsia="方正仿宋简体"/>
          <w:color w:val="000000" w:themeColor="text1"/>
          <w:sz w:val="33"/>
          <w:szCs w:val="33"/>
          <w:highlight w:val="none"/>
          <w:lang w:eastAsia="zh-CN"/>
          <w14:textFill>
            <w14:solidFill>
              <w14:schemeClr w14:val="tx1"/>
            </w14:solidFill>
          </w14:textFill>
        </w:rPr>
        <w:t>《资阳市雁江区财政局内部控制手册》，包括《行政单位采购管理制度》《行政单位预算管理制度》《收支业务制度》《行政资产管理制度》《行政单位结算管理制度》等相关制度，从“三重一大”决策、预算管理、财务管理、固定资产管理、合同管理、政府采购等方面进行了规范，内控制度基本建立，具有合法、合规、完整的项目管理制度，业务管理制度</w:t>
      </w:r>
      <w:r>
        <w:rPr>
          <w:rFonts w:hint="eastAsia" w:ascii="宋体" w:hAnsi="宋体" w:eastAsia="方正仿宋简体"/>
          <w:color w:val="000000" w:themeColor="text1"/>
          <w:sz w:val="33"/>
          <w:szCs w:val="33"/>
          <w:highlight w:val="none"/>
          <w:lang w:val="en-US" w:eastAsia="zh-CN"/>
          <w14:textFill>
            <w14:solidFill>
              <w14:schemeClr w14:val="tx1"/>
            </w14:solidFill>
          </w14:textFill>
        </w:rPr>
        <w:t>健全，</w:t>
      </w:r>
      <w:r>
        <w:rPr>
          <w:rFonts w:ascii="宋体" w:hAnsi="宋体" w:eastAsia="方正仿宋简体"/>
          <w:color w:val="000000" w:themeColor="text1"/>
          <w:sz w:val="33"/>
          <w:szCs w:val="33"/>
          <w:highlight w:val="none"/>
          <w14:textFill>
            <w14:solidFill>
              <w14:schemeClr w14:val="tx1"/>
            </w14:solidFill>
          </w14:textFill>
        </w:rPr>
        <w:t>合法、合规、</w:t>
      </w:r>
      <w:r>
        <w:rPr>
          <w:rFonts w:hint="eastAsia" w:ascii="宋体" w:hAnsi="宋体" w:eastAsia="方正仿宋简体"/>
          <w:color w:val="000000" w:themeColor="text1"/>
          <w:sz w:val="33"/>
          <w:szCs w:val="33"/>
          <w:highlight w:val="none"/>
          <w:lang w:val="en-US" w:eastAsia="zh-CN"/>
          <w14:textFill>
            <w14:solidFill>
              <w14:schemeClr w14:val="tx1"/>
            </w14:solidFill>
          </w14:textFill>
        </w:rPr>
        <w:t>内容完整</w:t>
      </w:r>
      <w:r>
        <w:rPr>
          <w:rFonts w:hint="eastAsia" w:ascii="宋体" w:hAnsi="宋体" w:eastAsia="方正仿宋简体"/>
          <w:color w:val="000000" w:themeColor="text1"/>
          <w:sz w:val="33"/>
          <w:szCs w:val="33"/>
          <w:highlight w:val="none"/>
          <w:lang w:eastAsia="zh-CN"/>
          <w14:textFill>
            <w14:solidFill>
              <w14:schemeClr w14:val="tx1"/>
            </w14:solidFill>
          </w14:textFill>
        </w:rPr>
        <w:t>。</w:t>
      </w:r>
      <w:r>
        <w:rPr>
          <w:rFonts w:hint="eastAsia" w:ascii="宋体" w:hAnsi="宋体" w:eastAsia="方正仿宋简体"/>
          <w:color w:val="000000" w:themeColor="text1"/>
          <w:sz w:val="33"/>
          <w:szCs w:val="33"/>
          <w:highlight w:val="none"/>
          <w14:textFill>
            <w14:solidFill>
              <w14:schemeClr w14:val="tx1"/>
            </w14:solidFill>
          </w14:textFill>
        </w:rPr>
        <w:t>该项得满分4分。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2.制度执行有效性（6分）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lang w:eastAsia="zh-CN"/>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在项目执行方面，本部门严格遵守相关法律法规和业务管理规定，2022年进行过项目预算调整，项目调整及支出调整手续完备。同时，在项目执行过程中，项目合同书等资料齐全并及时归档，委托第三方公司负责，项目实施的人员条件、场地设备、信息支撑等均已落实到位。</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3.项目质量可控性（3分）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已制定或具有相应的项目质量要求或标准，明确在项目执行过程中，乙方须提供合同约定的相关服务，如事前绩效评估、整体支出绩效评价、重点项目绩效运行监控，并采取了相应的项目质量检查、验收等必需的控制措施或手段，如绩效评价报告评审验收、用户满意度反馈等。该项得满分3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4.管理制度健全性（3分）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本部门</w:t>
      </w:r>
      <w:r>
        <w:rPr>
          <w:rFonts w:hint="eastAsia" w:ascii="宋体" w:hAnsi="宋体" w:eastAsia="方正仿宋简体"/>
          <w:color w:val="000000" w:themeColor="text1"/>
          <w:sz w:val="33"/>
          <w:szCs w:val="33"/>
          <w:highlight w:val="none"/>
          <w:lang w:eastAsia="zh-CN"/>
          <w14:textFill>
            <w14:solidFill>
              <w14:schemeClr w14:val="tx1"/>
            </w14:solidFill>
          </w14:textFill>
        </w:rPr>
        <w:t>为加强项目资金管理，制定了《资阳市雁江区财政局内部控制手册》用以规范项目管理相关工作，</w:t>
      </w:r>
      <w:r>
        <w:rPr>
          <w:rFonts w:hint="eastAsia" w:ascii="宋体" w:hAnsi="宋体" w:eastAsia="方正仿宋简体"/>
          <w:color w:val="000000" w:themeColor="text1"/>
          <w:sz w:val="33"/>
          <w:szCs w:val="33"/>
          <w:highlight w:val="none"/>
          <w:lang w:val="en-US" w:eastAsia="zh-CN"/>
          <w14:textFill>
            <w14:solidFill>
              <w14:schemeClr w14:val="tx1"/>
            </w14:solidFill>
          </w14:textFill>
        </w:rPr>
        <w:t>明确了直接支付管理以及授权支付管理等，符合相关财务会计制度的规定</w:t>
      </w:r>
      <w:r>
        <w:rPr>
          <w:rFonts w:hint="eastAsia" w:ascii="宋体" w:hAnsi="宋体" w:eastAsia="方正仿宋简体"/>
          <w:color w:val="000000" w:themeColor="text1"/>
          <w:sz w:val="33"/>
          <w:szCs w:val="33"/>
          <w:highlight w:val="none"/>
          <w:lang w:eastAsia="zh-CN"/>
          <w14:textFill>
            <w14:solidFill>
              <w14:schemeClr w14:val="tx1"/>
            </w14:solidFill>
          </w14:textFill>
        </w:rPr>
        <w:t>。该项得满分3分。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5.资金使用合规性（7分）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lang w:val="en-US" w:eastAsia="zh-CN"/>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w:t>
      </w:r>
      <w:r>
        <w:rPr>
          <w:rFonts w:hint="default" w:ascii="宋体" w:hAnsi="宋体" w:eastAsia="方正仿宋简体"/>
          <w:color w:val="000000" w:themeColor="text1"/>
          <w:sz w:val="33"/>
          <w:szCs w:val="33"/>
          <w:highlight w:val="none"/>
          <w:lang w:val="en-US" w:eastAsia="zh-CN"/>
          <w14:textFill>
            <w14:solidFill>
              <w14:schemeClr w14:val="tx1"/>
            </w14:solidFill>
          </w14:textFill>
        </w:rPr>
        <w:t>，</w:t>
      </w:r>
      <w:r>
        <w:rPr>
          <w:rFonts w:hint="eastAsia" w:ascii="宋体" w:hAnsi="宋体" w:eastAsia="方正仿宋简体"/>
          <w:color w:val="000000" w:themeColor="text1"/>
          <w:sz w:val="33"/>
          <w:szCs w:val="33"/>
          <w:highlight w:val="none"/>
          <w:lang w:val="en-US" w:eastAsia="zh-CN"/>
          <w14:textFill>
            <w14:solidFill>
              <w14:schemeClr w14:val="tx1"/>
            </w14:solidFill>
          </w14:textFill>
        </w:rPr>
        <w:t>项目资金</w:t>
      </w:r>
      <w:r>
        <w:rPr>
          <w:rFonts w:hint="default" w:ascii="宋体" w:hAnsi="宋体" w:eastAsia="方正仿宋简体"/>
          <w:color w:val="000000" w:themeColor="text1"/>
          <w:sz w:val="33"/>
          <w:szCs w:val="33"/>
          <w:highlight w:val="none"/>
          <w:lang w:val="en-US" w:eastAsia="zh-CN"/>
          <w14:textFill>
            <w14:solidFill>
              <w14:schemeClr w14:val="tx1"/>
            </w14:solidFill>
          </w14:textFill>
        </w:rPr>
        <w:t>按照</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财务管理</w:t>
      </w:r>
      <w:r>
        <w:rPr>
          <w:rFonts w:hint="default" w:ascii="宋体" w:hAnsi="宋体" w:eastAsia="方正仿宋简体"/>
          <w:color w:val="000000" w:themeColor="text1"/>
          <w:sz w:val="33"/>
          <w:szCs w:val="33"/>
          <w:highlight w:val="none"/>
          <w:lang w:val="en-US" w:eastAsia="zh-CN"/>
          <w14:textFill>
            <w14:solidFill>
              <w14:schemeClr w14:val="tx1"/>
            </w14:solidFill>
          </w14:textFill>
        </w:rPr>
        <w:t>规定使用财政资金，由执行部门根据实际工作发起支出申请表，</w:t>
      </w:r>
      <w:r>
        <w:rPr>
          <w:rFonts w:hint="eastAsia" w:ascii="宋体" w:hAnsi="宋体" w:eastAsia="方正仿宋简体"/>
          <w:color w:val="000000" w:themeColor="text1"/>
          <w:sz w:val="33"/>
          <w:szCs w:val="33"/>
          <w:highlight w:val="none"/>
          <w:lang w:val="en-US" w:eastAsia="zh-CN"/>
          <w14:textFill>
            <w14:solidFill>
              <w14:schemeClr w14:val="tx1"/>
            </w14:solidFill>
          </w14:textFill>
        </w:rPr>
        <w:t>财务分管领导</w:t>
      </w:r>
      <w:r>
        <w:rPr>
          <w:rFonts w:hint="default" w:ascii="宋体" w:hAnsi="宋体" w:eastAsia="方正仿宋简体"/>
          <w:color w:val="000000" w:themeColor="text1"/>
          <w:sz w:val="33"/>
          <w:szCs w:val="33"/>
          <w:highlight w:val="none"/>
          <w:lang w:val="en-US" w:eastAsia="zh-CN"/>
          <w14:textFill>
            <w14:solidFill>
              <w14:schemeClr w14:val="tx1"/>
            </w14:solidFill>
          </w14:textFill>
        </w:rPr>
        <w:t>对资金申请进行业务审批</w:t>
      </w:r>
      <w:r>
        <w:rPr>
          <w:rFonts w:hint="eastAsia" w:ascii="宋体" w:hAnsi="宋体" w:eastAsia="方正仿宋简体"/>
          <w:color w:val="000000" w:themeColor="text1"/>
          <w:sz w:val="33"/>
          <w:szCs w:val="33"/>
          <w:highlight w:val="none"/>
          <w:lang w:val="en-US" w:eastAsia="zh-CN"/>
          <w14:textFill>
            <w14:solidFill>
              <w14:schemeClr w14:val="tx1"/>
            </w14:solidFill>
          </w14:textFill>
        </w:rPr>
        <w:t>，</w:t>
      </w:r>
      <w:r>
        <w:rPr>
          <w:rFonts w:hint="default" w:ascii="宋体" w:hAnsi="宋体" w:eastAsia="方正仿宋简体"/>
          <w:color w:val="000000" w:themeColor="text1"/>
          <w:sz w:val="33"/>
          <w:szCs w:val="33"/>
          <w:highlight w:val="none"/>
          <w:lang w:val="en-US" w:eastAsia="zh-CN"/>
          <w14:textFill>
            <w14:solidFill>
              <w14:schemeClr w14:val="tx1"/>
            </w14:solidFill>
          </w14:textFill>
        </w:rPr>
        <w:t>预算资金的拨付审批程序和手续完整，资金使用规范。项目资金使用符合项目预算批复及合同规定的用途，资金拨付审批程序和手续完整，不存在截留、挤占、挪用、虚列支出等情况。该项得满分7分。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6.财务监控有效性（2分）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该项目财务监控有效</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性较好</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2022年调整预算资金已全部使用完毕</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。在采购预算控制、财务报销审核、资产入账等环节进行了财务审核</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，进行了财务检查。该项得2分。</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（三）产出</w:t>
      </w:r>
      <w:r>
        <w:rPr>
          <w:rFonts w:hint="eastAsia" w:ascii="宋体" w:hAnsi="宋体" w:eastAsia="方正楷体简体" w:cs="Times New Roman"/>
          <w:b/>
          <w:kern w:val="2"/>
          <w:sz w:val="33"/>
          <w:szCs w:val="33"/>
          <w:lang w:val="zh-CN" w:eastAsia="zh-CN" w:bidi="ar-SA"/>
        </w:rPr>
        <w:t>指标</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1.实际完成率（4分）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计划完成①开展整体评价、重点项目评估项目7个。②预算绩效管理政策宣传，绩效管理检查1次，账务检查1次，公积金缴纳情况检查1次。③预算绩效管理培训2次。2022年度，本项目实际产出的产品或提供的服务数量达到年初计划要求，实际完成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4</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2.完成及时率（6分）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2022年，本项目重点项目评估报告提交及时性、行政事业单位检查报告出具及时性、预算绩效管理培训开展准时性均按在相关规定时间内完成，完成及时情况较好。</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6</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3.质量达标率（5分）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2022年，本项目预算绩效管理培训人员到会率、重点项目评估结果准确率、行政事业单位检查问题率均完成年初设置质量要求，质量达标率为100%。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5</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4.成本节约率（5分）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60" w:firstLineChars="200"/>
        <w:textAlignment w:val="auto"/>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pP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2022年，</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本项目</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成本主要来自采购第三方预算绩效管理监督工作服务费用，2022年项目计划成本100万元，</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实际成本分别为</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65.39</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万元。成本节约率</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100</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65.39</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100</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*100%=</w:t>
      </w:r>
      <w:r>
        <w:rPr>
          <w:rFonts w:hint="eastAsia" w:ascii="宋体" w:hAnsi="宋体" w:eastAsia="方正仿宋简体" w:cs="宋体"/>
          <w:color w:val="000000" w:themeColor="text1"/>
          <w:kern w:val="0"/>
          <w:sz w:val="33"/>
          <w:szCs w:val="33"/>
          <w:highlight w:val="none"/>
          <w:lang w:val="en-US" w:eastAsia="zh-CN" w:bidi="ar-SA"/>
          <w14:textFill>
            <w14:solidFill>
              <w14:schemeClr w14:val="tx1"/>
            </w14:solidFill>
          </w14:textFill>
        </w:rPr>
        <w:t>34.61</w:t>
      </w:r>
      <w:r>
        <w:rPr>
          <w:rFonts w:hint="default" w:ascii="宋体" w:hAnsi="宋体" w:eastAsia="方正仿宋简体" w:cs="宋体"/>
          <w:color w:val="000000" w:themeColor="text1"/>
          <w:kern w:val="0"/>
          <w:sz w:val="33"/>
          <w:szCs w:val="33"/>
          <w:highlight w:val="none"/>
          <w:lang w:val="en-US" w:eastAsia="zh-CN" w:bidi="ar-SA"/>
          <w14:textFill>
            <w14:solidFill>
              <w14:schemeClr w14:val="tx1"/>
            </w14:solidFill>
          </w14:textFill>
        </w:rPr>
        <w:t>%。该项得满分5分。</w:t>
      </w:r>
    </w:p>
    <w:p>
      <w:pPr>
        <w:keepNext/>
        <w:keepLines/>
        <w:pageBreakBefore w:val="0"/>
        <w:widowControl w:val="0"/>
        <w:kinsoku/>
        <w:wordWrap/>
        <w:overflowPunct/>
        <w:topLinePunct w:val="0"/>
        <w:autoSpaceDE/>
        <w:autoSpaceDN/>
        <w:bidi w:val="0"/>
        <w:adjustRightInd w:val="0"/>
        <w:snapToGrid/>
        <w:spacing w:before="0" w:after="0" w:line="600" w:lineRule="exact"/>
        <w:ind w:left="562"/>
        <w:textAlignment w:val="auto"/>
        <w:outlineLvl w:val="1"/>
        <w:rPr>
          <w:rFonts w:hint="default" w:ascii="宋体" w:hAnsi="宋体" w:eastAsia="方正楷体简体" w:cs="Times New Roman"/>
          <w:b/>
          <w:kern w:val="2"/>
          <w:sz w:val="33"/>
          <w:szCs w:val="33"/>
          <w:lang w:val="en-US" w:eastAsia="zh-CN" w:bidi="ar-SA"/>
        </w:rPr>
      </w:pPr>
      <w:r>
        <w:rPr>
          <w:rFonts w:hint="eastAsia" w:ascii="宋体" w:hAnsi="宋体" w:eastAsia="方正楷体简体" w:cs="Times New Roman"/>
          <w:b/>
          <w:kern w:val="2"/>
          <w:sz w:val="33"/>
          <w:szCs w:val="33"/>
          <w:lang w:val="en-US" w:eastAsia="zh-CN" w:bidi="ar-SA"/>
        </w:rPr>
        <w:t>（四）效果</w:t>
      </w:r>
      <w:r>
        <w:rPr>
          <w:rFonts w:hint="eastAsia" w:ascii="宋体" w:hAnsi="宋体" w:eastAsia="方正楷体简体" w:cs="Times New Roman"/>
          <w:b/>
          <w:kern w:val="2"/>
          <w:sz w:val="33"/>
          <w:szCs w:val="33"/>
          <w:lang w:val="zh-CN" w:eastAsia="zh-CN" w:bidi="ar-SA"/>
        </w:rPr>
        <w:t>指标</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1.社会效益－评估报告内容利用率(10分）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default" w:ascii="宋体" w:hAnsi="宋体" w:eastAsia="方正仿宋简体"/>
          <w:color w:val="000000" w:themeColor="text1"/>
          <w:sz w:val="33"/>
          <w:szCs w:val="33"/>
          <w:highlight w:val="none"/>
          <w:lang w:val="en-US" w:eastAsia="zh-CN"/>
          <w14:textFill>
            <w14:solidFill>
              <w14:schemeClr w14:val="tx1"/>
            </w14:solidFill>
          </w14:textFill>
        </w:rPr>
        <w:t>本项目</w:t>
      </w:r>
      <w:r>
        <w:rPr>
          <w:rFonts w:hint="eastAsia" w:ascii="宋体" w:hAnsi="宋体" w:eastAsia="方正仿宋简体"/>
          <w:color w:val="000000" w:themeColor="text1"/>
          <w:sz w:val="33"/>
          <w:szCs w:val="33"/>
          <w:highlight w:val="none"/>
          <w:lang w:val="en-US" w:eastAsia="zh-CN"/>
          <w14:textFill>
            <w14:solidFill>
              <w14:schemeClr w14:val="tx1"/>
            </w14:solidFill>
          </w14:textFill>
        </w:rPr>
        <w:t>的实施有助于部门和单位更好地反映其在预算绩效管理工作中出现的问题，能够进一步“找出问题，解决问题”，对建立雁江区预算绩效管理长效机制起到积极作用。</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default"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2.可持续影响－长效管理制度健全性（10分）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该项目的实施有助于雁江区在绩效目标管理、绩效评价管理、绩效监控管理、绩效自评管理方面建立长效管理机制。</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default" w:ascii="宋体" w:hAnsi="宋体" w:eastAsia="方正仿宋_GBK" w:cs="方正仿宋_GBK"/>
          <w:b/>
          <w:bCs/>
          <w:kern w:val="2"/>
          <w:sz w:val="32"/>
          <w:szCs w:val="32"/>
          <w:lang w:val="en-US" w:eastAsia="zh-CN"/>
        </w:rPr>
      </w:pPr>
      <w:r>
        <w:rPr>
          <w:rFonts w:hint="eastAsia" w:ascii="宋体" w:hAnsi="宋体" w:eastAsia="方正仿宋_GBK" w:cs="方正仿宋_GBK"/>
          <w:b/>
          <w:bCs/>
          <w:kern w:val="2"/>
          <w:sz w:val="32"/>
          <w:szCs w:val="32"/>
          <w:lang w:val="en-US" w:eastAsia="zh-CN"/>
        </w:rPr>
        <w:t>3.社会公众或服务对象满意度－雁江区行政事业单位财务对预算绩效工作满意度(10分）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60" w:firstLineChars="200"/>
        <w:textAlignment w:val="auto"/>
        <w:rPr>
          <w:rFonts w:hint="eastAsia"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根据满意度指标设置的评价标准，满意度目标值为≥90%，通过对行政事业单位绩效人员的访谈以及调查，得出满意度为94%，高于目标值90%。</w:t>
      </w:r>
      <w:r>
        <w:rPr>
          <w:rFonts w:hint="default" w:ascii="宋体" w:hAnsi="宋体" w:eastAsia="方正仿宋简体"/>
          <w:color w:val="000000" w:themeColor="text1"/>
          <w:sz w:val="33"/>
          <w:szCs w:val="33"/>
          <w:highlight w:val="none"/>
          <w:lang w:val="en-US" w:eastAsia="zh-CN"/>
          <w14:textFill>
            <w14:solidFill>
              <w14:schemeClr w14:val="tx1"/>
            </w14:solidFill>
          </w14:textFill>
        </w:rPr>
        <w:t>该项得满分</w:t>
      </w:r>
      <w:r>
        <w:rPr>
          <w:rFonts w:hint="eastAsia" w:ascii="宋体" w:hAnsi="宋体" w:eastAsia="方正仿宋简体"/>
          <w:color w:val="000000" w:themeColor="text1"/>
          <w:sz w:val="33"/>
          <w:szCs w:val="33"/>
          <w:highlight w:val="none"/>
          <w:lang w:val="en-US" w:eastAsia="zh-CN"/>
          <w14:textFill>
            <w14:solidFill>
              <w14:schemeClr w14:val="tx1"/>
            </w14:solidFill>
          </w14:textFill>
        </w:rPr>
        <w:t>10</w:t>
      </w:r>
      <w:r>
        <w:rPr>
          <w:rFonts w:hint="default" w:ascii="宋体" w:hAnsi="宋体" w:eastAsia="方正仿宋简体"/>
          <w:color w:val="000000" w:themeColor="text1"/>
          <w:sz w:val="33"/>
          <w:szCs w:val="33"/>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600" w:lineRule="exact"/>
        <w:ind w:firstLine="660" w:firstLineChars="200"/>
        <w:textAlignment w:val="auto"/>
        <w:rPr>
          <w:rFonts w:hint="eastAsia" w:ascii="宋体" w:hAnsi="宋体" w:eastAsia="方正黑体简体" w:cs="Times New Roman"/>
          <w:sz w:val="33"/>
          <w:szCs w:val="33"/>
        </w:rPr>
      </w:pPr>
      <w:r>
        <w:rPr>
          <w:rFonts w:hint="eastAsia" w:ascii="宋体" w:hAnsi="宋体" w:eastAsia="方正黑体简体" w:cs="Times New Roman"/>
          <w:sz w:val="33"/>
          <w:szCs w:val="33"/>
        </w:rPr>
        <w:t>五、主要经验及做法、存在的问题和建议</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（一）主要经验及做法</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6"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简体"/>
          <w:color w:val="000000" w:themeColor="text1"/>
          <w:sz w:val="33"/>
          <w:szCs w:val="33"/>
          <w:highlight w:val="none"/>
          <w:lang w:val="en-US" w:eastAsia="zh-CN"/>
          <w14:textFill>
            <w14:solidFill>
              <w14:schemeClr w14:val="tx1"/>
            </w14:solidFill>
          </w14:textFill>
        </w:rPr>
        <w:t xml:space="preserve">党的十九大提出，建立全面规范透明、标准科学、约束有力的预算制度，全面实施绩效管理。推进政府购买服务第三方绩效评价是全面实施预算绩效管理的重要内容，将专业第三方引入绩效评价工作中来，有利于增强评价工作的客观性和专业性。促进提升政府购买服务的效益；有利于改变政府自己购买、自己评价的局限，创新评价方式，扩宽评价视野，符合推进国家治理现代化的改革方向。 </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（二）存在的问题</w:t>
      </w:r>
    </w:p>
    <w:p>
      <w:pPr>
        <w:pStyle w:val="2"/>
        <w:pageBreakBefore w:val="0"/>
        <w:widowControl w:val="0"/>
        <w:kinsoku/>
        <w:wordWrap/>
        <w:overflowPunct/>
        <w:topLinePunct w:val="0"/>
        <w:autoSpaceDE/>
        <w:autoSpaceDN/>
        <w:bidi w:val="0"/>
        <w:snapToGrid/>
        <w:spacing w:after="0" w:line="600" w:lineRule="exact"/>
        <w:ind w:firstLine="630" w:firstLineChars="196"/>
        <w:textAlignment w:val="auto"/>
        <w:outlineLvl w:val="2"/>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_GBK" w:cs="方正仿宋_GBK"/>
          <w:b/>
          <w:bCs/>
          <w:kern w:val="2"/>
          <w:sz w:val="32"/>
          <w:szCs w:val="32"/>
          <w:lang w:val="en-US" w:eastAsia="zh-CN"/>
        </w:rPr>
        <w:t>1.指标权重分配不合理，未突出项目工作重点。</w:t>
      </w:r>
      <w:r>
        <w:rPr>
          <w:rFonts w:hint="eastAsia" w:ascii="宋体" w:hAnsi="宋体" w:eastAsia="方正仿宋简体"/>
          <w:color w:val="000000" w:themeColor="text1"/>
          <w:sz w:val="33"/>
          <w:szCs w:val="33"/>
          <w:highlight w:val="none"/>
          <w:lang w:val="en-US" w:eastAsia="zh-CN"/>
          <w14:textFill>
            <w14:solidFill>
              <w14:schemeClr w14:val="tx1"/>
            </w14:solidFill>
          </w14:textFill>
        </w:rPr>
        <w:t>在本次项目绩效指标设置中，产出指标、效益指标和满意度指标三级指标分数平均分配，均为5分，未体现预算绩效管理监督检查工作项目的工作重点。</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3" w:firstLineChars="200"/>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_GBK" w:cs="方正仿宋_GBK"/>
          <w:b/>
          <w:bCs/>
          <w:kern w:val="2"/>
          <w:sz w:val="32"/>
          <w:szCs w:val="32"/>
          <w:lang w:val="en-US" w:eastAsia="zh-CN"/>
        </w:rPr>
        <w:t>2.未制定相应的监控机制，监控有效性不足。</w:t>
      </w:r>
      <w:r>
        <w:rPr>
          <w:rFonts w:hint="eastAsia" w:ascii="宋体" w:hAnsi="宋体" w:eastAsia="方正仿宋简体"/>
          <w:color w:val="000000" w:themeColor="text1"/>
          <w:sz w:val="33"/>
          <w:szCs w:val="33"/>
          <w:highlight w:val="none"/>
          <w:lang w:val="en-US" w:eastAsia="zh-CN"/>
          <w14:textFill>
            <w14:solidFill>
              <w14:schemeClr w14:val="tx1"/>
            </w14:solidFill>
          </w14:textFill>
        </w:rPr>
        <w:t>绩效目标和指标往往根据项目计划情况制定，对项目执行过程有效约束不够，存在一定的偏差，只注重项目完成结果，该项目在实施过程中未制定相应的监控机制，对执行过程没有根据项目进度随时考评，监控有效性不足。</w:t>
      </w:r>
    </w:p>
    <w:p>
      <w:pPr>
        <w:pageBreakBefore w:val="0"/>
        <w:widowControl w:val="0"/>
        <w:numPr>
          <w:ilvl w:val="0"/>
          <w:numId w:val="0"/>
        </w:numPr>
        <w:kinsoku/>
        <w:wordWrap/>
        <w:overflowPunct/>
        <w:topLinePunct w:val="0"/>
        <w:autoSpaceDE/>
        <w:autoSpaceDN/>
        <w:bidi w:val="0"/>
        <w:snapToGrid/>
        <w:spacing w:line="600" w:lineRule="exact"/>
        <w:ind w:firstLine="643" w:firstLineChars="200"/>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_GBK" w:cs="方正仿宋_GBK"/>
          <w:b/>
          <w:bCs/>
          <w:kern w:val="2"/>
          <w:sz w:val="32"/>
          <w:szCs w:val="32"/>
          <w:lang w:val="en-US" w:eastAsia="zh-CN" w:bidi="ar-SA"/>
        </w:rPr>
        <w:t>3.年初预算与实际执行金额相差较大，预算编制不合理。</w:t>
      </w:r>
      <w:r>
        <w:rPr>
          <w:rFonts w:hint="eastAsia" w:ascii="宋体" w:hAnsi="宋体" w:eastAsia="方正仿宋简体"/>
          <w:color w:val="000000" w:themeColor="text1"/>
          <w:sz w:val="33"/>
          <w:szCs w:val="33"/>
          <w:highlight w:val="none"/>
          <w:lang w:val="en-US" w:eastAsia="zh-CN"/>
          <w14:textFill>
            <w14:solidFill>
              <w14:schemeClr w14:val="tx1"/>
            </w14:solidFill>
          </w14:textFill>
        </w:rPr>
        <w:t>该项目2022年年初预算金额为100万元，项目经费分配为预算绩效管理培训工作经费35万元、行政事业单位检查工作经费15万元、重点项目评估费50万元；该项目实际执行金额为65.39万元，两者相差约35万元，约占项目中总金额的40%，故预算编制不合理。</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49" w:firstLineChars="196"/>
        <w:textAlignment w:val="auto"/>
        <w:rPr>
          <w:rFonts w:hint="eastAsia" w:ascii="宋体" w:hAnsi="宋体" w:eastAsia="方正楷体简体" w:cs="Times New Roman"/>
          <w:b/>
          <w:kern w:val="2"/>
          <w:sz w:val="33"/>
          <w:szCs w:val="33"/>
          <w:lang w:val="en-US" w:eastAsia="zh-CN"/>
        </w:rPr>
      </w:pPr>
      <w:r>
        <w:rPr>
          <w:rFonts w:hint="eastAsia" w:ascii="宋体" w:hAnsi="宋体" w:eastAsia="方正楷体简体" w:cs="Times New Roman"/>
          <w:b/>
          <w:kern w:val="2"/>
          <w:sz w:val="33"/>
          <w:szCs w:val="33"/>
          <w:lang w:val="en-US" w:eastAsia="zh-CN"/>
        </w:rPr>
        <w:t>（三）建议和改进措施</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30" w:firstLineChars="196"/>
        <w:textAlignment w:val="auto"/>
        <w:rPr>
          <w:rFonts w:hint="default"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_GBK" w:cs="方正仿宋_GBK"/>
          <w:b/>
          <w:bCs/>
          <w:kern w:val="2"/>
          <w:sz w:val="32"/>
          <w:szCs w:val="32"/>
          <w:lang w:val="en-US" w:eastAsia="zh-CN" w:bidi="ar-SA"/>
        </w:rPr>
        <w:t>1.科学合理分配指标权重。</w:t>
      </w: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建议加强预算绩效管理相关理论学习，明确关键指标和普通指标的区别，同时根据指标重要程度科学合理分配指标权重，避免出现指标之间权重差异巨大的情况，保障指标设置的科学合理性。</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30" w:firstLineChars="196"/>
        <w:textAlignment w:val="auto"/>
        <w:rPr>
          <w:rFonts w:ascii="宋体" w:hAnsi="宋体" w:eastAsia="方正仿宋简体"/>
          <w:color w:val="000000" w:themeColor="text1"/>
          <w:sz w:val="33"/>
          <w:szCs w:val="33"/>
          <w:highlight w:val="none"/>
          <w14:textFill>
            <w14:solidFill>
              <w14:schemeClr w14:val="tx1"/>
            </w14:solidFill>
          </w14:textFill>
        </w:rPr>
      </w:pPr>
      <w:r>
        <w:rPr>
          <w:rFonts w:hint="eastAsia" w:ascii="宋体" w:hAnsi="宋体" w:eastAsia="方正仿宋_GBK" w:cs="方正仿宋_GBK"/>
          <w:b/>
          <w:bCs/>
          <w:kern w:val="2"/>
          <w:sz w:val="32"/>
          <w:szCs w:val="32"/>
          <w:lang w:val="en-US" w:eastAsia="zh-CN" w:bidi="ar-SA"/>
        </w:rPr>
        <w:t>2.提高项目预算编制准确性，及时调整项目资金。</w:t>
      </w: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建议项目编制预算时，做到测算明细依据充分，根据项目预计完成情况科学合理编制项目预算，并在中期根据项目实施具体情况合理调整项目资金，确保项目资金完全落实到位</w:t>
      </w:r>
      <w:r>
        <w:rPr>
          <w:rFonts w:hint="eastAsia" w:ascii="宋体" w:hAnsi="宋体" w:eastAsia="方正仿宋简体"/>
          <w:color w:val="000000" w:themeColor="text1"/>
          <w:sz w:val="33"/>
          <w:szCs w:val="33"/>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630" w:firstLineChars="196"/>
        <w:textAlignment w:val="auto"/>
        <w:rPr>
          <w:rFonts w:hint="eastAsia" w:ascii="宋体" w:hAnsi="宋体" w:eastAsia="方正仿宋简体"/>
          <w:color w:val="000000" w:themeColor="text1"/>
          <w:sz w:val="33"/>
          <w:szCs w:val="33"/>
          <w:highlight w:val="none"/>
          <w:lang w:val="en-US" w:eastAsia="zh-CN"/>
          <w14:textFill>
            <w14:solidFill>
              <w14:schemeClr w14:val="tx1"/>
            </w14:solidFill>
          </w14:textFill>
        </w:rPr>
      </w:pPr>
      <w:r>
        <w:rPr>
          <w:rFonts w:hint="eastAsia" w:ascii="宋体" w:hAnsi="宋体" w:eastAsia="方正仿宋_GBK" w:cs="方正仿宋_GBK"/>
          <w:b/>
          <w:bCs/>
          <w:kern w:val="2"/>
          <w:sz w:val="32"/>
          <w:szCs w:val="32"/>
          <w:lang w:val="en-US" w:eastAsia="zh-CN" w:bidi="ar-SA"/>
        </w:rPr>
        <w:t>3.完善监控机制，加强项目的监督管理。</w:t>
      </w:r>
      <w:r>
        <w:rPr>
          <w:rFonts w:hint="eastAsia" w:ascii="宋体" w:hAnsi="宋体" w:eastAsia="方正仿宋简体"/>
          <w:color w:val="000000" w:themeColor="text1"/>
          <w:sz w:val="33"/>
          <w:szCs w:val="33"/>
          <w:highlight w:val="none"/>
          <w:lang w:val="en-US" w:eastAsia="zh-CN"/>
          <w14:textFill>
            <w14:solidFill>
              <w14:schemeClr w14:val="tx1"/>
            </w14:solidFill>
          </w14:textFill>
        </w:rPr>
        <w:t>建议完善监控机制，加强项目监督管理，通过绩效监控工作，掌握项目绩效目标的完成情况、项目实施进程和资金支出进度，当项目执行绩效与绩效目标发生偏离时，并采取措施予以纠正，确保实现绩效目标及项目效益。此外，规范绩效评价管理资料的收集整理，确保相关信息完整、可靠，客观公正的反映项目资金实际使用和产生的绩效状况，为今后该项目实施方向及管理方式的改进提供指导。</w:t>
      </w:r>
    </w:p>
    <w:p>
      <w:pPr>
        <w:pStyle w:val="2"/>
        <w:rPr>
          <w:rFonts w:hint="eastAsia" w:ascii="宋体" w:hAnsi="宋体" w:eastAsia="方正仿宋简体"/>
          <w:color w:val="000000" w:themeColor="text1"/>
          <w:sz w:val="33"/>
          <w:szCs w:val="33"/>
          <w:highlight w:val="none"/>
          <w:lang w:val="en-US" w:eastAsia="zh-CN"/>
          <w14:textFill>
            <w14:solidFill>
              <w14:schemeClr w14:val="tx1"/>
            </w14:solidFill>
          </w14:textFill>
        </w:rPr>
        <w:sectPr>
          <w:pgSz w:w="11906" w:h="16838"/>
          <w:pgMar w:top="1440" w:right="1800" w:bottom="1440" w:left="1800" w:header="851" w:footer="992" w:gutter="0"/>
          <w:pgNumType w:fmt="decimal"/>
          <w:cols w:space="0" w:num="1"/>
          <w:titlePg/>
          <w:rtlGutter w:val="0"/>
          <w:docGrid w:type="lines"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rPr>
      </w:pPr>
      <w:r>
        <w:rPr>
          <w:rFonts w:hint="eastAsia" w:ascii="宋体" w:hAnsi="宋体" w:eastAsia="方正黑体简体" w:cs="Times New Roman"/>
          <w:color w:val="000000"/>
          <w:kern w:val="0"/>
          <w:sz w:val="32"/>
          <w:szCs w:val="32"/>
          <w:lang w:val="en-US" w:eastAsia="zh-CN" w:bidi="ar-SA"/>
        </w:rPr>
        <w:t>附件3</w:t>
      </w: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51200222T000000271420-财政财务相关培训经费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在2022年度内，预计使用财政资金30万元，开展农村财政支农政策培训1次，财务业务拓展相关培训2次，会计继续教育培训2次等工作经费，提高全区财务人员财务水平以及政策把握程度。</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1.农村支农政策培训1次，培训200人次，会期2天。</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2.财政财务业务拓展相关培训2次，培训人员680人次。</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3.会计继续教育培训，参训人员1500人次。</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完成财务培训1次，培训200人次，会期2天。完成财政财务业务拓展相关培训2次，培训人员680人次。完成会计继续教育培训1次，参训人员1500人次。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组织开展财政财务业务拓展培训2次，继续教育培训1次。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19.99</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19.99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19.99</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19.99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农村支农培训人次</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财政财务业务拓展培训人次</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会计继续教育培训人次</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培训到会率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财政财务业务拓展培训时间及时性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会计继续教育培训及时性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农村支农政策培训时间及时性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农村支农政策培训预算经费控制</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会计继续教育培训预算控制数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财政财务业务拓展培训经费控制数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财政人员会计政策及业务把握率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财务人员业务能力提升率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培训实施流程管理机制健全性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会计继续教育培训参训人员满意度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财政财务拓展培训参训人员满意度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支农政策参训人员满意度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圆满完成财政业务相关培训，财务人员业务提升率和参训人员满意度均达标。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指标权重分配不合理，未突出项目工作重点。未制定相应的监控机制，监控有效性不足。年初预算与实际执行金额相差较大，预算编制不合理。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科学合理分配指标权重。提高项目预算编制准确性，及时调整项目资金。完善监控机制，加强项目的监督管理。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3"/>
        <w:gridCol w:w="520"/>
        <w:gridCol w:w="1090"/>
        <w:gridCol w:w="505"/>
        <w:gridCol w:w="486"/>
        <w:gridCol w:w="2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51200222T000000271433-票据工本费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在2022年度内，根据三定方案只能需要，预计使用财政资金45万元，用于购买非税收入通用票据、定额票据、门诊收费等相关票据（30万元），征订财经杂志（5万元），订本式账簿印制费（5万元）。</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用于购买非税收入通用票据、定额票据、门诊收费等相关票据（30万元）</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征订财经杂志（5万元）</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订本式账簿印制费（5万元）</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完成非税收入通用票据、定额票据、门诊收费等相关票据购买，完成财经杂志征订，完成订本式账簿印制。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为保障全区票据工本，完成了非税收入通用票据、定额票据、门诊收费等相关票据购买，完成了相关财经杂志征订，完成了订本式账簿印制。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购买非税票据本数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征订财经杂志本数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印制订本式账簿本数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订本式账簿发放准确率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非税票据使用准确率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财经杂志发放准确率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订本式账簿发放及时性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非税票据发放及时性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财经杂志发放及时性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征订财经杂志预算控制数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印制订本式账簿预算控制数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购买非税票据预算控制数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单位法定凭证和原始凭证完整性保障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账簿、杂志、票据领用、管理机制健全性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非税票据使用单位满意度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账簿使用单位满意度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杂志使用单位满意度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在本年度内完成领购、发放足量财政票据满足使用单位需求；票据发放质量全年度没有单位因票据发放问题、无票可用影响收费。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对于绩效评价的认识不够深入，把预算绩效简单等同于工作目标、工作考核和业务管理。在绩效考评指标的设计上，部分特色指标缺乏数据支持和可行的分析测评，绩效指标体系有待完善。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加强绩效评价管理制度和流程的建设，进一步深化、完善绩效管理体系，建立全过程的预算绩效管理机制，规范绩效评价管理资料的收集整理，确保相关信息完整、可靠，客观公正地反映项目资金实际使用和产生的绩效状况，为今后该项目实施方向及管理方式的改进提供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rPr>
          <w:rFonts w:hint="eastAsia"/>
          <w:lang w:val="en-US" w:eastAsia="zh-CN"/>
        </w:rPr>
      </w:pPr>
    </w:p>
    <w:p>
      <w:pPr>
        <w:rPr>
          <w:rFonts w:hint="eastAsia"/>
          <w:lang w:val="en-US" w:eastAsia="zh-CN"/>
        </w:rPr>
      </w:pPr>
    </w:p>
    <w:p>
      <w:pPr>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r>
        <w:rPr>
          <w:rFonts w:hint="eastAsia" w:ascii="仿宋_GB2312" w:hAnsi="仿宋_GB2312" w:eastAsia="仿宋_GB2312" w:cs="仿宋_GB2312"/>
          <w:color w:val="auto"/>
          <w:sz w:val="32"/>
          <w:szCs w:val="32"/>
          <w:highlight w:val="none"/>
          <w:lang w:val="en-US" w:eastAsia="zh-CN"/>
        </w:rPr>
        <w:br w:type="page"/>
      </w: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51200222T000000271443-财政相关专项业务经费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在2022年度内，预计使用财政资金15万元，用于全区行政事业单位国有资产信息编报、汇总工作，包括聘请三方公司指导各行政事业单位费用，以及代为编制全区资产年报。</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聘请了三方公司指导各行政事业单位，完成全区资产年报代为编制。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聘请了三方公司指导各行政事业单位，完成全区资产年报代为编制。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完成国有资产年报分数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196</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份</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委托三方公司数量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家</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三方公司服务考核达标率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资产年报报错率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资产年报提交及时率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国有资产报告预算控制数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国有资产信息准确把握程度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撰写报告内容利用率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国有资产报告编制管理机制健全性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行政事业单位财务国有资产年报指导满意度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聘请了三方公司指导各行政事业单位，完成全区资产年报代为编制。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指标权重分配不合理，未突出项目工作重点。未制定相应的监控机制，监控有效性不足。年初预算与实际执行金额相差较大，预算编制不合理。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科学合理分配指标权重。提高项目预算编制准确性，及时调整项目资金。完善监控机制，加强项目的监督管理。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rPr>
          <w:rFonts w:hint="eastAsia" w:ascii="仿宋_GB2312" w:hAnsi="仿宋_GB2312" w:eastAsia="仿宋_GB2312" w:cs="仿宋_GB2312"/>
          <w:color w:val="auto"/>
          <w:sz w:val="32"/>
          <w:szCs w:val="32"/>
          <w:highlight w:val="none"/>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3"/>
        <w:gridCol w:w="2046"/>
        <w:gridCol w:w="1771"/>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51200222T000000271455-预算绩效管理监督检查工作经费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根据三定方案职能需求，总计使用财政资金100万元，主要完成：1.聘请三方机构对雁江区绩效整体评价、项目重点评价、政策评价，预计使用50万元；2.预算绩效管理政策宣传，行政事业单位项目绩效管理检查1次，账务检查1次，公积金缴纳情况检查1次，检查涉及单位个数90个，其中乡镇14个，预计派出人员90人次，每次检查天数4天，预计差旅费、公杂费、其他交通费用共计15万元；3.预算绩效管理咨询、培训，预计管理咨询费及培训费共计35万元。项目涉及范围：雁江区行政事业单位。组织框架：项目组织股室主要为财政绩效监督与管理股。</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1.开展整体评价、重点项目评估项目7个。</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2.预算绩效管理政策宣传，绩效管理检查1次，账务检查1次，公积金缴纳情况检查1次。</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3.预算绩效管理培训2次。</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完成预算绩效管理政策宣传，行政事业单位项目绩效管理检查1次，账务检查1次，公积金缴纳情况检查1次，检查涉及单位个数90个，开展预算绩效管理咨询、培训2次。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组织区级各部门、各镇乡保密人员培训，到全市各回收网点及单位检查保密工作。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65.39</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65.39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65.39</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65.39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重点项目评估数量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预算绩效管理政策宣传培训次数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行程事业单位检查次数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次/年</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重点项目评估结果准确率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行政事业单位检查问题率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预算绩效管理培训人员到会率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预算绩效管理培训开展准时性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行政事业单位检查报告出具及时性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重点项目评估报告提交及时性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重点项目评估费预算控制数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预算绩效管理培训工作经费控制数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行政事业单位检查工作经费控制数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绩效管理培训内容覆盖率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评估报告内容利用率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抽检财务问题改进率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长效管理制度健全性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雁江区行政事业单位财务对预算绩效工作满意度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雁江区行政事业单位财务对账务工作满意度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 xml:space="preserve">推进政府购买服务第三方绩效评价是全面实施预算绩效管理的重要内容，将专业第三方引入绩效评价工作中来，有利于增强评价工作的客观性和专业性。促进提升政府购买服务的效益；有利于改变政府自己购买、自己评价的局限，创新评价方式，扩宽评价视野，符合推进国家治理现代化的改革方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指标权重分配不合理，未突出项目工作重点。未制定相应的监控机制，监控有效性不足。年初预算与实际执行金额相差较大，预算编制不合理。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科学合理分配指标权重。提高项目预算编制准确性，及时调整项目资金。完善监控机制，加强项目的监督管理。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1997"/>
        <w:gridCol w:w="1737"/>
        <w:gridCol w:w="2208"/>
        <w:gridCol w:w="516"/>
        <w:gridCol w:w="1643"/>
        <w:gridCol w:w="756"/>
        <w:gridCol w:w="1079"/>
        <w:gridCol w:w="504"/>
        <w:gridCol w:w="486"/>
        <w:gridCol w:w="24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51200222T000000271494-网络信息化安全建设及运行维护费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2020年度内根据三定方案财政局职能需求，本项目使用财政资金237万元，主要用于支付各项财务软件、平台租赁经费和机房设施的运行维护费。项目涵盖：雁江区行政事业单位使用的相关支付、财务、财报、政府采购等软件。</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1.保障“省金财工程大平台”正常运行，雁江区行政事业单位资金保障、支付安全。</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2.及时提交雁江区政府综合财务报告。</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3.保障全区财务系统使用正常，账务处理信息安全。</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4.保证网络运行维护安全保密。</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5.其他省市安排使用软件正常运行。</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完成相关软件维护，未出现涉密事件。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保障雁江区财政局各网络线路畅通；保障雁江区财政局各业务系统运行正常；保障信息中心机房及各硬件设备运行正常，确保财政系统网络数据安全，保障各项财政业务正常开展。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237.00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235.14</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97.87%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237.00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235.14</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97.87%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金财工程大平台使用人数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440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全口径债务信息收集系统使用人数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E财预算软件使用人数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办公软件运维数量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个（套）</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行政事业单位资产系统使用人数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用友公司财务平台使用人数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全口径债务信息收集系统正常运转率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E财预算软件正常运转率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金财工程大平台正常运转率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用友公司财务平台正常运转率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行政事业单位资产系统正常运转率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全口径债务信息收集系统响应及时率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E财预算软件响应及时率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用友公司财务平台响应及时率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行政事业单位资产系统响应及时率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金财工程大平台响应及时率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用友公司财务平台预算成本</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金财工程大平台预算成本</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142.52</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E财预算软件预算成本</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行政事业单位资产系统预算成本</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全口径债务信息收集系统预算成本</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软件办公保障率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信息化机制健全性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办公软件财务使用人员满意度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在项目管理方面，为有效保障各个软件、平台的正常运转，本部门通过平台租赁以及委托第三方公司进行维护，并接收办公软件财务使用人员的反馈，有效保障了支付、财务、财报、政府采购等软件的正常运转。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指标权重分配不合理，部分指标权重过大。资金未完全落实。未制定相应的监控机制，监控有效性不足。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科学合理分配指标权重。提高项目预算编制准确性，及时调整项目资金。完善监控机制，加强项目的监督管理。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51200222T000000271538-财政电子票据改革经费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预计使用财政资金22.7万元，用于支付电子票据管理系统总端口费用（1.2万元/年），电子票据系统租赁费（1.5万元/年），卫生系统电子票据改革工作经费补助（20万元），保障电子票据管理系统运行正常。</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完成电子票据系统租赁费支付，卫生系统电子票据改革补助发放。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完成电子票据系统租赁费支付，卫生系统电子票据改革补助发放。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22.70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22.62</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22.62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22.70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22.62</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22.62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电子票据管理系统使用人数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196</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电子票据管理系统相应及时性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电子票据管理系统运行流畅性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电子票据改革经费预算控制数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22.7</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电子票据管理系统运行保障率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电子票据系统使用管理机制健全性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电子票据系统使用单位满意度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电子票据管理系统使用人数达标，电子票据系统使用单位满意度高。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指标权重分配不合理，部分指标权重过大。资金未完全落实。未制定相应的监控机制，监控有效性不足。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科学合理分配指标权重。提高项目预算编制准确性，及时调整项目资金。完善监控机制，加强项目的监督管理。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p>
      <w:pPr>
        <w:pStyle w:val="2"/>
        <w:rPr>
          <w:rFonts w:hint="eastAsia"/>
          <w:lang w:val="en-US" w:eastAsia="zh-CN"/>
        </w:rPr>
      </w:pP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1"/>
        <w:gridCol w:w="2257"/>
        <w:gridCol w:w="520"/>
        <w:gridCol w:w="1672"/>
        <w:gridCol w:w="520"/>
        <w:gridCol w:w="1090"/>
        <w:gridCol w:w="505"/>
        <w:gridCol w:w="486"/>
        <w:gridCol w:w="2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51200222T000000271546-财政投资评审经费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使用财政资金200万元，对雁江区财政评审项目进行评审，主要分为三方评审和委托临聘的评审机构专家进行评审，评审项目设计房屋建筑、市政道路、国土整治，医院改扩建，农田水利、园林绿化、学校改造等。2020年共评审项目326个，送审金额共计10.77亿元（其中建安工程及预备费10.26亿元，其他费用0.51亿元）审定金额共计8.37亿元，审减金额1.89亿元，审减率17.55%。收费标准：评审中心临聘人员：按照国家有关规定和甲方绩效工资分配办法，在聘用期间，乙方圆满完成甲方安排的工作任务，若送审金额小于等于100万元，则按送审金额万分之一和审减（增）量的千分之五计提绩效工资（其中市政工程、公路按此标准的60%计提）。</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社会代理结构：因时间紧，评审中心临聘专家每人手上项目多，无法按期完成项目评审，通过政府采购，选择协作评审单位，委托评审费按照四川省物价局、四川省建设厅《工程造价咨询服务收费标准》（川价发（2008）141号）文件下浮50%计算。</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完成雁江区财政资金所有需要评审的项目评审，预计项目数量261个，预计评审金额15亿。</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本部门根据年度预算安排及实际工作需要开展财政投资评审工作，截至2022年12月31日，全区共评审项目557个，其中评审中心评审项目473个，委托评审项目84个（其中预算53个，结算27个，财务决算4个）。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截至2022年12月31日，全区共评审项目557个，其中评审中心评审项目473个，委托评审项目84个（其中预算53个，结算27个，财务决算4个）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174.84</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174.84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174.84</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174.84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聘请三方机构数量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送审评审项目数量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聘请临聘评审专家数量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三方机构评审项目服务达标率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评审专家服务达标率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送审项目报告产出及时率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送审项目评审经费预算控制数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评审报告成果利用率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财政项目评审机制健全性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评审单位对评审报告满意度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在项目管理方面，为有效保障财政投资项目评审工作的正常运行，达到节约财政资金的目的，本部门通过委托临聘评审专家和第三方有资质的评审公司开展项目评审工作，有效完成了2022年雁江区项目评审工作。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rPr>
          <w:rFonts w:hint="eastAsia" w:ascii="仿宋_GB2312" w:hAnsi="仿宋_GB2312" w:eastAsia="仿宋_GB2312" w:cs="仿宋_GB2312"/>
          <w:color w:val="auto"/>
          <w:sz w:val="32"/>
          <w:szCs w:val="32"/>
          <w:highlight w:val="none"/>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51200222T000000271568-政府PPP中心相关工作经费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在2022年度内，完成支付成渝高铁资阳汽车客运站及道路建设PPP项目“两评一案”编制服务费15万元，保证客运站及道路建设顺利实施。</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完成成渝高铁资阳汽车客运站及道路建设PPP项目“两评一案”编制服务费支付。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完成成渝高铁资阳汽车客运站及道路建设PPP项目“两评一案”编制服务费支付。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14.87</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14.87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14.87</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14.87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PPP服务费支付项目数量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编制服务费支付准确率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编制服务费支付及时性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编制服务费预算项目控制数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成渝高铁资阳汽车客运站及道路建设PPP项目正常运转情况</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“两评一案”编制报告审核机制健全性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编制服务单位收款满意度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编制服务费支付准确率达100%。成渝高铁资阳汽车客运站及道路建设PPP项目正常运转情况。编制服务单位收款满意度高。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51200222T000000271583-临聘人员经费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根据区委政府审批，预计使用财政资金33.6万元，聘用临聘人员8人，每人每月3500元，主要安排用于单位办公室收发文工作，文件处理排版工作以及驾驶司机，保障区财政局机关单位后勤工作运行良好。保障临聘人员工资及保险经费。</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完成临聘人员8人工资及保险经费保障。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用于临聘人员8人合同工资和保险支付需求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33.51</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33.51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33.51</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33.51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临聘人员工资发放人数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临聘人员工资发放准确率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年底工资保险支付率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临聘人员经费预算控制数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33.6</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临聘人员工资应发尽法率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在职员工管理机制</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临聘人员满意度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支付临聘人员工资1-12月，临聘人员保险1-12月，工资和保险支付及时性在90%以上。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绩效目标和指标往往根据项目实际完成情况制定，对项目执行过程有效约束不够，只注重项目完成结果，对执行过程没有根据项目进度随时考评。在绩效考评指标的设计上，部分特色指标缺乏数据支持和可行的分析测评，绩效指标体系有待完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绩效评价管理制度和流程的建设，进一步深化、完善绩效管理体系，建立全过程的预算绩效管理机制，将绩效管理工作运用到预算编制及预算资金使用的方方面面，促进绩效管理工作向广度和深度延伸。规范绩效评价管理资料的收集整理，确保相关信息完整、可靠，客观公正地反映项目资金实际使用和产生的绩效状况，为今后该项目实施方向及管理方式的改进提供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51200222T000000271590-国资资产评估经费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受区委区政府委托，预计使用财政资金90万对拍卖、转让的公房、政府门面、地下车库（共计80000平方米）合计价值1.33亿元，邀请第三方机构进行评估，项目涵盖雁江区范围内预计转让门面、车库等。2021年已支付评估费用78万余元。（按资产所属单位分项进行评估，收费标准为资产价值的1.5%，协商后收费减按50%计收）</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完成转让公房、门面、地下车库等需转让资产的评估，预计项目数量24个，预计评估价值1.33亿元。</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完成转让公房、门面、地下车库等需转让资产的评估。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完成转让公房、门面、地下车库等需转让资产的评估。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67.76</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67.76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67.76</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67.76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聘请三方机构数量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资产评估项目数量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三方机构资产评估报告达标率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三方机构资产评估报告产出及时率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资产评估项目评估经费预算控制数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资产评估报告成果利用率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资产评估机制健全性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资产评估报告使用单位对评估报告满意度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在项目管理方面，为有效开展划拨资产的评估工作，本部门通过委托资产评估公司进行评估的方法，有效保障了资产划拨流程的合法性。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指标权重分配不合理，部分指标权重过大。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科学合理分配指标权重。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51200222T000000271605-预算管理一体化建设及国库集中支付电子化改革工作经费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在2022年度内，根据省财政厅工作部署安排，预计使用财政资金28万元，完成预算一体化软件建设、维护以及培训等，确保雁江区行政事业单位一体化软件正常使用。</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完成了预算一体化软件建设、维护以及培训等，确保了雁江区行政事业单位一体化软件正常使用。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完成了预算一体化软件建设、维护以及培训等，确保了雁江区行政事业单位一体化软件正常使用。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一体化培训次数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运维软件公司数量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222</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家</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一体化培训人次</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财务人员一体化软件使用顺畅率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一体化软件问题修复及时性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一体化项目培训费预算控制数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一体化软件项目运维预算控制数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一体化软件财务人员知晓度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一体化软件办公保障率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一体化软件管理机制健全性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一体化软件培训机制健全性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一体化软件使用单位满意度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一体化软件受训单位满意度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完成了预算一体化软件建设、维护以及培训等，确保了雁江区行政事业单位一体化软件正常使用。培训人次，培训质量、软件运维控制数均达标。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指标权重分配不合理，部分指标权重过大。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科学合理分配指标权重。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51200222T000006048697-阳化河示范段测绘费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在2022年度内，根据区政府研究同意，拟使用预算资金27万元，用于阳化河示范段治理项目测绘费。预算资金27万。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完成阳化河示范段治理项目测绘费支付。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完成阳化河示范段治理项目测绘费支付。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测绘报告份数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份</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测绘报告达标率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测绘报告提供及时性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测绘报告成果利用率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测绘项目机制健全性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评审单位对测绘报告满意度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测绘费预算控制数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完成阳化河示范段治理项目测绘费支付。测绘报告份数、测绘报告达标率、测绘报告成果利用率均达标。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指标设置未与任务数对应，部分关键性指标缺失。未制定相应的监控机制，监控有效性不足。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加强绩效指标管理，科学合理制定绩效指标。完善监控机制，加强项目的监督管理。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51200222T000006102368-2021年网络信息化安全建设及运行维护费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根据三定方案财政局职能需求，本项目使用财政资金68.2万元，主要用于支付全局各种系统维护信息调试工作费用。</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完成全局各种系统维护信息调试工作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保障雁江区财政局各网络线路畅通；保障雁江区财政局各业务系统运行正常；保障信息中心机房及各硬件设备运行正常，确保财政系统网络数据安全，保障各项财政业务正常开展。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系统使用人数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系统正常运转率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系统响应及时率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系统办公保障率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信息化机制健全性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系统使用人员满意度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系统预算成本</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68.2</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在项目资金使用方面，为合理、有效、规范使用项目资金，本部门选择专人负责，严格按照相关会计制度进行会计核算和财务处理，做到财务处理及时、会计核算规范。严把审批关，杜绝了弄虚作假、截留、挤占、挪用专项资金的情况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指标设置未与任务数对应，部分关键性指标缺失。未制定相应的监控机制，监控有效性不足。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加强绩效指标管理，科学合理制定绩效指标。完善监控机制，加强项目的监督管理。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tbl>
      <w:tblPr>
        <w:tblStyle w:val="18"/>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4"/>
        <w:gridCol w:w="2051"/>
        <w:gridCol w:w="1775"/>
        <w:gridCol w:w="2263"/>
        <w:gridCol w:w="521"/>
        <w:gridCol w:w="1677"/>
        <w:gridCol w:w="521"/>
        <w:gridCol w:w="1091"/>
        <w:gridCol w:w="505"/>
        <w:gridCol w:w="456"/>
        <w:gridCol w:w="2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51200222T000007227642-预算管理一体化系统会计核算培训及运维费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资阳市雁江区财政局本级</w:t>
            </w:r>
          </w:p>
        </w:tc>
        <w:tc>
          <w:tcPr>
            <w:tcW w:w="1091"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资阳市雁江区财政局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预计在2022年期间，使用经费0.35万元，开支预算一体化培训和日常维护费用，确保系统使用流畅。</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完成预算一体化培训和日常维护费用保障，确保了系统使用流畅。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完成预算一体化培训和日常维护费用保障，确保了系统使用流畅。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0.35</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0.35</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系统维护个数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培训人次</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参训人员合格率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一体化系统正常运行率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培训完成及时率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一体化系统维护及时率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系统运行人员素质保障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一体化系统培训制度完善性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一体化系统安全维护制度完善性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一体化系统运行安全</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一体化人员使用满意度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培训人员满意度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预算经费总数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完成预算一体化培训和日常维护费用保障，确保了系统使用流畅。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指标设置未与任务数对应，部分关键性指标缺失。未制定相应的监控机制，监控有效性不足。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加强绩效指标管理，科学合理制定绩效指标。完善监控机制，加强项目的监督管理。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pStyle w:val="2"/>
        <w:rPr>
          <w:rFonts w:hint="eastAsia"/>
          <w:lang w:val="en-US" w:eastAsia="zh-CN"/>
        </w:rPr>
        <w:sectPr>
          <w:pgSz w:w="16838" w:h="11906" w:orient="landscape"/>
          <w:pgMar w:top="1803" w:right="1440" w:bottom="1803" w:left="1440" w:header="851" w:footer="992" w:gutter="0"/>
          <w:pgNumType w:fmt="decimal"/>
          <w:cols w:space="0" w:num="1"/>
          <w:titlePg/>
          <w:rtlGutter w:val="0"/>
          <w:docGrid w:type="lines" w:linePitch="319" w:charSpace="0"/>
        </w:sectPr>
      </w:pPr>
    </w:p>
    <w:p>
      <w:pPr>
        <w:pStyle w:val="7"/>
        <w:rPr>
          <w:rFonts w:hint="eastAsia"/>
          <w:lang w:val="zh-CN" w:eastAsia="zh-CN"/>
        </w:rPr>
      </w:pPr>
    </w:p>
    <w:p>
      <w:pPr>
        <w:spacing w:line="600" w:lineRule="exact"/>
        <w:jc w:val="center"/>
        <w:outlineLvl w:val="0"/>
        <w:rPr>
          <w:rFonts w:hint="eastAsia" w:ascii="仿宋" w:hAnsi="仿宋" w:eastAsia="仿宋"/>
          <w:b w:val="0"/>
          <w:color w:val="auto"/>
          <w:highlight w:val="none"/>
        </w:rPr>
      </w:pPr>
      <w:bookmarkStart w:id="61" w:name="_Toc15396618"/>
      <w:r>
        <w:rPr>
          <w:rFonts w:hint="eastAsia" w:ascii="黑体" w:hAnsi="黑体" w:eastAsia="黑体"/>
          <w:color w:val="auto"/>
          <w:sz w:val="44"/>
          <w:szCs w:val="44"/>
          <w:highlight w:val="none"/>
        </w:rPr>
        <w:t>第</w:t>
      </w:r>
      <w:r>
        <w:rPr>
          <w:rStyle w:val="31"/>
          <w:rFonts w:hint="eastAsia" w:ascii="黑体" w:hAnsi="黑体" w:eastAsia="黑体"/>
          <w:b w:val="0"/>
          <w:color w:val="auto"/>
          <w:highlight w:val="none"/>
        </w:rPr>
        <w:t>五部分 附表</w:t>
      </w:r>
      <w:bookmarkEnd w:id="58"/>
      <w:bookmarkEnd w:id="61"/>
      <w:bookmarkStart w:id="62" w:name="_Toc15396619"/>
    </w:p>
    <w:p>
      <w:pPr>
        <w:pStyle w:val="4"/>
        <w:rPr>
          <w:rFonts w:ascii="仿宋" w:hAnsi="仿宋" w:eastAsia="仿宋"/>
          <w:color w:val="auto"/>
          <w:highlight w:val="none"/>
        </w:rPr>
      </w:pPr>
      <w:r>
        <w:rPr>
          <w:rFonts w:hint="eastAsia" w:ascii="仿宋" w:hAnsi="仿宋" w:eastAsia="仿宋"/>
          <w:b w:val="0"/>
          <w:color w:val="auto"/>
          <w:highlight w:val="none"/>
        </w:rPr>
        <w:t>一、收</w:t>
      </w:r>
      <w:r>
        <w:rPr>
          <w:rStyle w:val="32"/>
          <w:rFonts w:hint="eastAsia" w:ascii="仿宋" w:hAnsi="仿宋" w:eastAsia="仿宋"/>
          <w:b w:val="0"/>
          <w:bCs w:val="0"/>
          <w:color w:val="auto"/>
          <w:highlight w:val="none"/>
        </w:rPr>
        <w:t>入支出决算总表</w:t>
      </w:r>
      <w:bookmarkEnd w:id="62"/>
    </w:p>
    <w:p>
      <w:pPr>
        <w:pStyle w:val="4"/>
        <w:rPr>
          <w:rFonts w:ascii="仿宋" w:hAnsi="仿宋" w:eastAsia="仿宋"/>
          <w:color w:val="auto"/>
          <w:highlight w:val="none"/>
        </w:rPr>
      </w:pPr>
      <w:bookmarkStart w:id="63" w:name="_Toc15396620"/>
      <w:r>
        <w:rPr>
          <w:rFonts w:hint="eastAsia" w:ascii="仿宋" w:hAnsi="仿宋" w:eastAsia="仿宋"/>
          <w:b w:val="0"/>
          <w:color w:val="auto"/>
          <w:highlight w:val="none"/>
        </w:rPr>
        <w:t>二、收</w:t>
      </w:r>
      <w:r>
        <w:rPr>
          <w:rStyle w:val="32"/>
          <w:rFonts w:hint="eastAsia" w:ascii="仿宋" w:hAnsi="仿宋" w:eastAsia="仿宋"/>
          <w:b w:val="0"/>
          <w:bCs w:val="0"/>
          <w:color w:val="auto"/>
          <w:highlight w:val="none"/>
        </w:rPr>
        <w:t>入决算表</w:t>
      </w:r>
      <w:bookmarkEnd w:id="63"/>
    </w:p>
    <w:p>
      <w:pPr>
        <w:pStyle w:val="4"/>
        <w:rPr>
          <w:rFonts w:ascii="仿宋" w:hAnsi="仿宋" w:eastAsia="仿宋"/>
          <w:color w:val="auto"/>
          <w:highlight w:val="none"/>
        </w:rPr>
      </w:pPr>
      <w:bookmarkStart w:id="64" w:name="_Toc15396621"/>
      <w:r>
        <w:rPr>
          <w:rStyle w:val="32"/>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2"/>
          <w:rFonts w:hint="eastAsia" w:ascii="仿宋" w:hAnsi="仿宋" w:eastAsia="仿宋"/>
          <w:b w:val="0"/>
          <w:bCs w:val="0"/>
          <w:color w:val="auto"/>
          <w:highlight w:val="none"/>
        </w:rPr>
        <w:t>出决算表</w:t>
      </w:r>
      <w:bookmarkEnd w:id="64"/>
    </w:p>
    <w:p>
      <w:pPr>
        <w:pStyle w:val="4"/>
        <w:rPr>
          <w:rFonts w:ascii="仿宋" w:hAnsi="仿宋" w:eastAsia="仿宋"/>
          <w:b w:val="0"/>
          <w:color w:val="auto"/>
          <w:highlight w:val="none"/>
        </w:rPr>
      </w:pPr>
      <w:bookmarkStart w:id="65" w:name="_Toc15396622"/>
      <w:r>
        <w:rPr>
          <w:rStyle w:val="32"/>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2"/>
          <w:rFonts w:hint="eastAsia" w:ascii="仿宋" w:hAnsi="仿宋" w:eastAsia="仿宋"/>
          <w:b w:val="0"/>
          <w:bCs w:val="0"/>
          <w:color w:val="auto"/>
          <w:highlight w:val="none"/>
        </w:rPr>
        <w:t>政拨款收入支出决算总表</w:t>
      </w:r>
      <w:bookmarkEnd w:id="65"/>
    </w:p>
    <w:p>
      <w:pPr>
        <w:pStyle w:val="4"/>
        <w:rPr>
          <w:rStyle w:val="32"/>
          <w:rFonts w:ascii="仿宋" w:hAnsi="仿宋" w:eastAsia="仿宋"/>
          <w:b w:val="0"/>
          <w:bCs w:val="0"/>
          <w:color w:val="auto"/>
          <w:highlight w:val="none"/>
        </w:rPr>
      </w:pPr>
      <w:bookmarkStart w:id="66" w:name="_Toc15396623"/>
      <w:r>
        <w:rPr>
          <w:rStyle w:val="32"/>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2"/>
          <w:rFonts w:hint="eastAsia" w:ascii="仿宋" w:hAnsi="仿宋" w:eastAsia="仿宋"/>
          <w:b w:val="0"/>
          <w:bCs w:val="0"/>
          <w:color w:val="auto"/>
          <w:highlight w:val="none"/>
        </w:rPr>
        <w:t>政拨款支出决算明细表</w:t>
      </w:r>
      <w:bookmarkEnd w:id="66"/>
      <w:bookmarkStart w:id="67" w:name="_Toc15396624"/>
    </w:p>
    <w:p>
      <w:pPr>
        <w:pStyle w:val="4"/>
        <w:rPr>
          <w:rFonts w:ascii="仿宋" w:hAnsi="仿宋" w:eastAsia="仿宋"/>
          <w:color w:val="auto"/>
          <w:highlight w:val="none"/>
        </w:rPr>
      </w:pPr>
      <w:r>
        <w:rPr>
          <w:rStyle w:val="32"/>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2"/>
          <w:rFonts w:hint="eastAsia" w:ascii="仿宋" w:hAnsi="仿宋" w:eastAsia="仿宋"/>
          <w:b w:val="0"/>
          <w:bCs w:val="0"/>
          <w:color w:val="auto"/>
          <w:highlight w:val="none"/>
        </w:rPr>
        <w:t>般公共预算财政拨款支出决算表</w:t>
      </w:r>
      <w:bookmarkEnd w:id="67"/>
    </w:p>
    <w:p>
      <w:pPr>
        <w:pStyle w:val="4"/>
        <w:rPr>
          <w:rFonts w:ascii="仿宋" w:hAnsi="仿宋" w:eastAsia="仿宋"/>
          <w:color w:val="auto"/>
          <w:highlight w:val="none"/>
        </w:rPr>
      </w:pPr>
      <w:bookmarkStart w:id="68" w:name="_Toc15396625"/>
      <w:r>
        <w:rPr>
          <w:rStyle w:val="32"/>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2"/>
          <w:rFonts w:hint="eastAsia" w:ascii="仿宋" w:hAnsi="仿宋" w:eastAsia="仿宋"/>
          <w:b w:val="0"/>
          <w:bCs w:val="0"/>
          <w:color w:val="auto"/>
          <w:highlight w:val="none"/>
        </w:rPr>
        <w:t>般公共预算财政拨款支出决算明细表</w:t>
      </w:r>
      <w:bookmarkEnd w:id="68"/>
    </w:p>
    <w:p>
      <w:pPr>
        <w:pStyle w:val="4"/>
        <w:rPr>
          <w:rFonts w:ascii="仿宋" w:hAnsi="仿宋" w:eastAsia="仿宋"/>
          <w:color w:val="auto"/>
          <w:highlight w:val="none"/>
        </w:rPr>
      </w:pPr>
      <w:bookmarkStart w:id="69" w:name="_Toc15396626"/>
      <w:r>
        <w:rPr>
          <w:rStyle w:val="32"/>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2"/>
          <w:rFonts w:hint="eastAsia" w:ascii="仿宋" w:hAnsi="仿宋" w:eastAsia="仿宋"/>
          <w:b w:val="0"/>
          <w:bCs w:val="0"/>
          <w:color w:val="auto"/>
          <w:highlight w:val="none"/>
        </w:rPr>
        <w:t>般公共预算财政拨款基本支出决算表</w:t>
      </w:r>
      <w:bookmarkEnd w:id="69"/>
    </w:p>
    <w:p>
      <w:pPr>
        <w:pStyle w:val="4"/>
        <w:rPr>
          <w:rFonts w:ascii="仿宋" w:hAnsi="仿宋" w:eastAsia="仿宋"/>
          <w:color w:val="auto"/>
          <w:highlight w:val="none"/>
        </w:rPr>
      </w:pPr>
      <w:bookmarkStart w:id="70" w:name="_Toc15396627"/>
      <w:r>
        <w:rPr>
          <w:rStyle w:val="32"/>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2"/>
          <w:rFonts w:hint="eastAsia" w:ascii="仿宋" w:hAnsi="仿宋" w:eastAsia="仿宋"/>
          <w:b w:val="0"/>
          <w:bCs w:val="0"/>
          <w:color w:val="auto"/>
          <w:highlight w:val="none"/>
        </w:rPr>
        <w:t>般公共预算财政拨款项目支出决算表</w:t>
      </w:r>
      <w:bookmarkEnd w:id="70"/>
    </w:p>
    <w:p>
      <w:pPr>
        <w:pStyle w:val="4"/>
        <w:rPr>
          <w:rFonts w:ascii="仿宋" w:hAnsi="仿宋" w:eastAsia="仿宋"/>
          <w:color w:val="auto"/>
          <w:highlight w:val="none"/>
        </w:rPr>
      </w:pPr>
      <w:bookmarkStart w:id="71" w:name="_Toc15396628"/>
      <w:r>
        <w:rPr>
          <w:rStyle w:val="32"/>
          <w:rFonts w:hint="eastAsia" w:ascii="仿宋" w:hAnsi="仿宋" w:eastAsia="仿宋"/>
          <w:b w:val="0"/>
          <w:bCs w:val="0"/>
          <w:color w:val="auto"/>
          <w:highlight w:val="none"/>
        </w:rPr>
        <w:t>十、</w:t>
      </w:r>
      <w:bookmarkEnd w:id="71"/>
      <w:r>
        <w:rPr>
          <w:rFonts w:hint="eastAsia" w:ascii="仿宋" w:hAnsi="仿宋" w:eastAsia="仿宋"/>
          <w:b w:val="0"/>
          <w:color w:val="auto"/>
          <w:highlight w:val="none"/>
        </w:rPr>
        <w:t>政</w:t>
      </w:r>
      <w:r>
        <w:rPr>
          <w:rStyle w:val="32"/>
          <w:rFonts w:hint="eastAsia" w:ascii="仿宋" w:hAnsi="仿宋" w:eastAsia="仿宋"/>
          <w:b w:val="0"/>
          <w:bCs w:val="0"/>
          <w:color w:val="auto"/>
          <w:highlight w:val="none"/>
        </w:rPr>
        <w:t>府性基金预算财政拨款收入支出决算表</w:t>
      </w:r>
    </w:p>
    <w:p>
      <w:pPr>
        <w:pStyle w:val="4"/>
        <w:rPr>
          <w:rFonts w:ascii="仿宋" w:hAnsi="仿宋" w:eastAsia="仿宋"/>
          <w:color w:val="auto"/>
          <w:highlight w:val="none"/>
        </w:rPr>
      </w:pPr>
      <w:bookmarkStart w:id="72" w:name="_Toc15396629"/>
      <w:r>
        <w:rPr>
          <w:rStyle w:val="32"/>
          <w:rFonts w:hint="eastAsia" w:ascii="仿宋" w:hAnsi="仿宋" w:eastAsia="仿宋"/>
          <w:b w:val="0"/>
          <w:bCs w:val="0"/>
          <w:color w:val="auto"/>
          <w:highlight w:val="none"/>
        </w:rPr>
        <w:t>十一、</w:t>
      </w:r>
      <w:bookmarkEnd w:id="72"/>
      <w:r>
        <w:rPr>
          <w:rFonts w:hint="eastAsia" w:ascii="仿宋" w:hAnsi="仿宋" w:eastAsia="仿宋"/>
          <w:b w:val="0"/>
          <w:color w:val="auto"/>
          <w:highlight w:val="none"/>
        </w:rPr>
        <w:t>国</w:t>
      </w:r>
      <w:r>
        <w:rPr>
          <w:rStyle w:val="32"/>
          <w:rFonts w:hint="eastAsia" w:ascii="仿宋" w:hAnsi="仿宋" w:eastAsia="仿宋"/>
          <w:b w:val="0"/>
          <w:bCs w:val="0"/>
          <w:color w:val="auto"/>
          <w:highlight w:val="none"/>
        </w:rPr>
        <w:t>有资本经营预算</w:t>
      </w:r>
      <w:r>
        <w:rPr>
          <w:rStyle w:val="32"/>
          <w:rFonts w:hint="eastAsia" w:ascii="仿宋" w:hAnsi="仿宋" w:eastAsia="仿宋"/>
          <w:b w:val="0"/>
          <w:bCs w:val="0"/>
          <w:color w:val="auto"/>
          <w:highlight w:val="none"/>
          <w:lang w:eastAsia="zh-CN"/>
        </w:rPr>
        <w:t>财政拨款收入</w:t>
      </w:r>
      <w:r>
        <w:rPr>
          <w:rStyle w:val="32"/>
          <w:rFonts w:hint="eastAsia" w:ascii="仿宋" w:hAnsi="仿宋" w:eastAsia="仿宋"/>
          <w:b w:val="0"/>
          <w:bCs w:val="0"/>
          <w:color w:val="auto"/>
          <w:highlight w:val="none"/>
        </w:rPr>
        <w:t>支出决算表</w:t>
      </w:r>
    </w:p>
    <w:p>
      <w:pPr>
        <w:pStyle w:val="4"/>
        <w:rPr>
          <w:rFonts w:ascii="仿宋" w:hAnsi="仿宋" w:eastAsia="仿宋"/>
          <w:color w:val="auto"/>
          <w:highlight w:val="none"/>
        </w:rPr>
      </w:pPr>
      <w:bookmarkStart w:id="73" w:name="_Toc15396630"/>
      <w:r>
        <w:rPr>
          <w:rStyle w:val="32"/>
          <w:rFonts w:hint="eastAsia" w:ascii="仿宋" w:hAnsi="仿宋" w:eastAsia="仿宋"/>
          <w:b w:val="0"/>
          <w:bCs w:val="0"/>
          <w:color w:val="auto"/>
          <w:highlight w:val="none"/>
        </w:rPr>
        <w:t>十二、</w:t>
      </w:r>
      <w:bookmarkEnd w:id="73"/>
      <w:r>
        <w:rPr>
          <w:rStyle w:val="32"/>
          <w:rFonts w:hint="eastAsia" w:ascii="仿宋" w:hAnsi="仿宋" w:eastAsia="仿宋"/>
          <w:b w:val="0"/>
          <w:bCs w:val="0"/>
          <w:color w:val="auto"/>
          <w:highlight w:val="none"/>
          <w:lang w:eastAsia="zh-CN"/>
        </w:rPr>
        <w:t>国有资本经营预算财政拨款支出决算表</w:t>
      </w:r>
    </w:p>
    <w:p>
      <w:pPr>
        <w:pStyle w:val="4"/>
        <w:rPr>
          <w:rStyle w:val="32"/>
          <w:rFonts w:hint="eastAsia" w:ascii="仿宋" w:hAnsi="仿宋" w:eastAsia="仿宋"/>
          <w:b w:val="0"/>
          <w:bCs w:val="0"/>
          <w:color w:val="auto"/>
          <w:highlight w:val="none"/>
          <w:lang w:eastAsia="zh-CN"/>
        </w:rPr>
      </w:pPr>
      <w:bookmarkStart w:id="74" w:name="_Toc15396631"/>
      <w:r>
        <w:rPr>
          <w:rStyle w:val="32"/>
          <w:rFonts w:hint="eastAsia" w:ascii="仿宋" w:hAnsi="仿宋" w:eastAsia="仿宋"/>
          <w:b w:val="0"/>
          <w:bCs w:val="0"/>
          <w:color w:val="auto"/>
          <w:highlight w:val="none"/>
        </w:rPr>
        <w:t>十三、</w:t>
      </w:r>
      <w:bookmarkEnd w:id="74"/>
      <w:r>
        <w:rPr>
          <w:rStyle w:val="32"/>
          <w:rFonts w:hint="eastAsia" w:ascii="仿宋" w:hAnsi="仿宋" w:eastAsia="仿宋"/>
          <w:b w:val="0"/>
          <w:bCs w:val="0"/>
          <w:color w:val="auto"/>
          <w:highlight w:val="none"/>
          <w:lang w:eastAsia="zh-CN"/>
        </w:rPr>
        <w:t>财政拨款“三公”经费支出决算表</w:t>
      </w:r>
    </w:p>
    <w:p>
      <w:pPr>
        <w:rPr>
          <w:rStyle w:val="32"/>
          <w:rFonts w:hint="eastAsia" w:ascii="仿宋" w:hAnsi="仿宋" w:eastAsia="仿宋"/>
          <w:b w:val="0"/>
          <w:bCs w:val="0"/>
          <w:color w:val="auto"/>
          <w:highlight w:val="none"/>
          <w:lang w:eastAsia="zh-CN"/>
        </w:rPr>
      </w:pPr>
    </w:p>
    <w:p>
      <w:pPr>
        <w:rPr>
          <w:rFonts w:hint="eastAsia"/>
          <w:lang w:eastAsia="zh-CN"/>
        </w:rPr>
      </w:pPr>
    </w:p>
    <w:sectPr>
      <w:pgSz w:w="11906" w:h="16838"/>
      <w:pgMar w:top="1440" w:right="1803" w:bottom="1440" w:left="1803" w:header="851" w:footer="992" w:gutter="0"/>
      <w:pgNumType w:fmt="decimal"/>
      <w:cols w:space="0" w:num="1"/>
      <w:titlePg/>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5F1272-C35C-4F07-B2FF-EC4747BA56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0A439BF0-7BCF-4FCB-B0B5-434741DC7E2C}"/>
  </w:font>
  <w:font w:name="仿宋_GB2312">
    <w:panose1 w:val="02010609030101010101"/>
    <w:charset w:val="86"/>
    <w:family w:val="modern"/>
    <w:pitch w:val="default"/>
    <w:sig w:usb0="00000001" w:usb1="080E0000" w:usb2="00000000" w:usb3="00000000" w:csb0="00040000" w:csb1="00000000"/>
    <w:embedRegular r:id="rId3" w:fontKey="{D2DD1CCE-2981-408A-B4A4-C2ED6E03B93E}"/>
  </w:font>
  <w:font w:name="方正仿宋_GBK">
    <w:panose1 w:val="02000000000000000000"/>
    <w:charset w:val="86"/>
    <w:family w:val="auto"/>
    <w:pitch w:val="default"/>
    <w:sig w:usb0="A00002BF" w:usb1="38CF7CFA" w:usb2="00082016" w:usb3="00000000" w:csb0="00040001" w:csb1="00000000"/>
    <w:embedRegular r:id="rId4" w:fontKey="{74D972E1-D734-4444-B87F-8F535FF19A5C}"/>
  </w:font>
  <w:font w:name="仿宋">
    <w:panose1 w:val="02010609060101010101"/>
    <w:charset w:val="86"/>
    <w:family w:val="modern"/>
    <w:pitch w:val="default"/>
    <w:sig w:usb0="800002BF" w:usb1="38CF7CFA" w:usb2="00000016" w:usb3="00000000" w:csb0="00040001" w:csb1="00000000"/>
    <w:embedRegular r:id="rId5" w:fontKey="{7C52C2D3-0348-4985-944D-6B204DFC7D2D}"/>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embedRegular r:id="rId6" w:fontKey="{96753303-A81C-4E3D-9FD7-7B01F200E9D4}"/>
  </w:font>
  <w:font w:name="方正仿宋简体">
    <w:panose1 w:val="02000000000000000000"/>
    <w:charset w:val="86"/>
    <w:family w:val="auto"/>
    <w:pitch w:val="default"/>
    <w:sig w:usb0="A00002BF" w:usb1="184F6CFA" w:usb2="00000012" w:usb3="00000000" w:csb0="00040001" w:csb1="00000000"/>
    <w:embedRegular r:id="rId7" w:fontKey="{3E0D2259-DD9A-4E0A-9E0F-15CFAC7D39A0}"/>
  </w:font>
  <w:font w:name="楷体_GB2312">
    <w:panose1 w:val="02010609030101010101"/>
    <w:charset w:val="86"/>
    <w:family w:val="auto"/>
    <w:pitch w:val="default"/>
    <w:sig w:usb0="00000001" w:usb1="080E0000" w:usb2="00000000" w:usb3="00000000" w:csb0="00040000" w:csb1="00000000"/>
    <w:embedRegular r:id="rId8" w:fontKey="{48B2ACD5-8E02-489E-B33F-FE881B7EBC11}"/>
  </w:font>
  <w:font w:name="方正楷体简体">
    <w:panose1 w:val="02000000000000000000"/>
    <w:charset w:val="86"/>
    <w:family w:val="auto"/>
    <w:pitch w:val="default"/>
    <w:sig w:usb0="A00002BF" w:usb1="184F6CFA" w:usb2="00000012" w:usb3="00000000" w:csb0="00040001" w:csb1="00000000"/>
    <w:embedRegular r:id="rId9" w:fontKey="{53A65E4B-1CBB-4D98-803C-4451A307B796}"/>
  </w:font>
  <w:font w:name="方正楷体_GBK">
    <w:panose1 w:val="02000000000000000000"/>
    <w:charset w:val="86"/>
    <w:family w:val="auto"/>
    <w:pitch w:val="default"/>
    <w:sig w:usb0="A00002BF" w:usb1="38CF7CFA" w:usb2="00082016" w:usb3="00000000" w:csb0="00040001" w:csb1="00000000"/>
    <w:embedRegular r:id="rId10" w:fontKey="{AA6A6D03-D6C1-4E21-ACDE-3F64747D6DB3}"/>
  </w:font>
  <w:font w:name="方正黑体简体">
    <w:panose1 w:val="02000000000000000000"/>
    <w:charset w:val="86"/>
    <w:family w:val="auto"/>
    <w:pitch w:val="default"/>
    <w:sig w:usb0="A00002BF" w:usb1="184F6CFA" w:usb2="00000012" w:usb3="00000000" w:csb0="00040001" w:csb1="00000000"/>
    <w:embedRegular r:id="rId11" w:fontKey="{EBC6D997-DE42-488C-8A2C-3412F15531D3}"/>
  </w:font>
  <w:font w:name="方正黑体_GBK">
    <w:panose1 w:val="02000000000000000000"/>
    <w:charset w:val="86"/>
    <w:family w:val="script"/>
    <w:pitch w:val="default"/>
    <w:sig w:usb0="A00002BF" w:usb1="38CF7CFA" w:usb2="00082016" w:usb3="00000000" w:csb0="00040001" w:csb1="00000000"/>
    <w:embedRegular r:id="rId12" w:fontKey="{9378EE10-84B3-4DEF-9A80-62B28A444F2F}"/>
  </w:font>
  <w:font w:name="微软雅黑">
    <w:panose1 w:val="020B0503020204020204"/>
    <w:charset w:val="86"/>
    <w:family w:val="auto"/>
    <w:pitch w:val="default"/>
    <w:sig w:usb0="80000287" w:usb1="2ACF3C50" w:usb2="00000016" w:usb3="00000000" w:csb0="0004001F" w:csb1="00000000"/>
    <w:embedRegular r:id="rId13" w:fontKey="{BE3AEC11-5DC1-42C4-92E1-13464E418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0044C"/>
    <w:multiLevelType w:val="singleLevel"/>
    <w:tmpl w:val="AC00044C"/>
    <w:lvl w:ilvl="0" w:tentative="0">
      <w:start w:val="1"/>
      <w:numFmt w:val="decimal"/>
      <w:suff w:val="nothing"/>
      <w:lvlText w:val="（%1）"/>
      <w:lvlJc w:val="left"/>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CF97D51F"/>
    <w:multiLevelType w:val="singleLevel"/>
    <w:tmpl w:val="CF97D51F"/>
    <w:lvl w:ilvl="0" w:tentative="0">
      <w:start w:val="1"/>
      <w:numFmt w:val="decimal"/>
      <w:suff w:val="nothing"/>
      <w:lvlText w:val="（%1）"/>
      <w:lvlJc w:val="left"/>
    </w:lvl>
  </w:abstractNum>
  <w:abstractNum w:abstractNumId="3">
    <w:nsid w:val="DEBEF323"/>
    <w:multiLevelType w:val="singleLevel"/>
    <w:tmpl w:val="DEBEF323"/>
    <w:lvl w:ilvl="0" w:tentative="0">
      <w:start w:val="4"/>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FFF674BC"/>
    <w:multiLevelType w:val="singleLevel"/>
    <w:tmpl w:val="FFF674BC"/>
    <w:lvl w:ilvl="0" w:tentative="0">
      <w:start w:val="1"/>
      <w:numFmt w:val="chineseCounting"/>
      <w:suff w:val="nothing"/>
      <w:lvlText w:val="%1、"/>
      <w:lvlJc w:val="left"/>
      <w:rPr>
        <w:rFonts w:hint="eastAsia"/>
      </w:rPr>
    </w:lvl>
  </w:abstractNum>
  <w:abstractNum w:abstractNumId="6">
    <w:nsid w:val="0FC372CF"/>
    <w:multiLevelType w:val="singleLevel"/>
    <w:tmpl w:val="0FC372CF"/>
    <w:lvl w:ilvl="0" w:tentative="0">
      <w:start w:val="1"/>
      <w:numFmt w:val="chineseCounting"/>
      <w:suff w:val="nothing"/>
      <w:lvlText w:val="%1、"/>
      <w:lvlJc w:val="left"/>
      <w:rPr>
        <w:rFonts w:hint="eastAsia"/>
      </w:rPr>
    </w:lvl>
  </w:abstractNum>
  <w:abstractNum w:abstractNumId="7">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615686EC"/>
    <w:multiLevelType w:val="singleLevel"/>
    <w:tmpl w:val="615686EC"/>
    <w:lvl w:ilvl="0" w:tentative="0">
      <w:start w:val="2"/>
      <w:numFmt w:val="chineseCounting"/>
      <w:suff w:val="nothing"/>
      <w:lvlText w:val="（%1）"/>
      <w:lvlJc w:val="left"/>
      <w:rPr>
        <w:rFonts w:hint="eastAsia"/>
      </w:rPr>
    </w:lvl>
  </w:abstractNum>
  <w:abstractNum w:abstractNumId="9">
    <w:nsid w:val="6EAAFA7D"/>
    <w:multiLevelType w:val="singleLevel"/>
    <w:tmpl w:val="6EAAFA7D"/>
    <w:lvl w:ilvl="0" w:tentative="0">
      <w:start w:val="2"/>
      <w:numFmt w:val="decimal"/>
      <w:suff w:val="nothing"/>
      <w:lvlText w:val="%1．"/>
      <w:lvlJc w:val="left"/>
    </w:lvl>
  </w:abstractNum>
  <w:abstractNum w:abstractNumId="10">
    <w:nsid w:val="77727A4E"/>
    <w:multiLevelType w:val="singleLevel"/>
    <w:tmpl w:val="77727A4E"/>
    <w:lvl w:ilvl="0" w:tentative="0">
      <w:start w:val="1"/>
      <w:numFmt w:val="chineseCounting"/>
      <w:suff w:val="nothing"/>
      <w:lvlText w:val="（%1）"/>
      <w:lvlJc w:val="left"/>
      <w:rPr>
        <w:rFonts w:hint="eastAsia"/>
      </w:rPr>
    </w:lvl>
  </w:abstractNum>
  <w:num w:numId="1">
    <w:abstractNumId w:val="6"/>
  </w:num>
  <w:num w:numId="2">
    <w:abstractNumId w:val="7"/>
  </w:num>
  <w:num w:numId="3">
    <w:abstractNumId w:val="1"/>
  </w:num>
  <w:num w:numId="4">
    <w:abstractNumId w:val="4"/>
  </w:num>
  <w:num w:numId="5">
    <w:abstractNumId w:val="5"/>
  </w:num>
  <w:num w:numId="6">
    <w:abstractNumId w:val="10"/>
  </w:num>
  <w:num w:numId="7">
    <w:abstractNumId w:val="3"/>
  </w:num>
  <w:num w:numId="8">
    <w:abstractNumId w:val="8"/>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iOWVjYjhmYWM1MGI2YmFjNTA2ZDY3ODBlZDMzZj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66E0107"/>
    <w:rsid w:val="07996F6E"/>
    <w:rsid w:val="08210B42"/>
    <w:rsid w:val="0A2032A3"/>
    <w:rsid w:val="0F98263C"/>
    <w:rsid w:val="0FF44352"/>
    <w:rsid w:val="101860EC"/>
    <w:rsid w:val="10C055FF"/>
    <w:rsid w:val="118107EC"/>
    <w:rsid w:val="12DD4AFD"/>
    <w:rsid w:val="13D50BC4"/>
    <w:rsid w:val="16BB723D"/>
    <w:rsid w:val="1BE8440E"/>
    <w:rsid w:val="1D155CEE"/>
    <w:rsid w:val="1D335A05"/>
    <w:rsid w:val="1FF35744"/>
    <w:rsid w:val="23860B96"/>
    <w:rsid w:val="240371BF"/>
    <w:rsid w:val="29FD04D3"/>
    <w:rsid w:val="2C8A61B5"/>
    <w:rsid w:val="2DF04E50"/>
    <w:rsid w:val="2F040D46"/>
    <w:rsid w:val="319F7F4E"/>
    <w:rsid w:val="3304709D"/>
    <w:rsid w:val="3327055E"/>
    <w:rsid w:val="36AA5135"/>
    <w:rsid w:val="376D39B2"/>
    <w:rsid w:val="37E16F03"/>
    <w:rsid w:val="38D469F0"/>
    <w:rsid w:val="39D52811"/>
    <w:rsid w:val="3AC631F4"/>
    <w:rsid w:val="3CF731E3"/>
    <w:rsid w:val="3D98207C"/>
    <w:rsid w:val="3E78745D"/>
    <w:rsid w:val="41021254"/>
    <w:rsid w:val="44E268DA"/>
    <w:rsid w:val="4A627F82"/>
    <w:rsid w:val="4B0E749A"/>
    <w:rsid w:val="4B4F25DA"/>
    <w:rsid w:val="4BE068DB"/>
    <w:rsid w:val="4D577224"/>
    <w:rsid w:val="4EAB630A"/>
    <w:rsid w:val="4ECE2238"/>
    <w:rsid w:val="4F4F7B85"/>
    <w:rsid w:val="51D12A29"/>
    <w:rsid w:val="537E6D0A"/>
    <w:rsid w:val="5AF92295"/>
    <w:rsid w:val="5CD71FC4"/>
    <w:rsid w:val="5CFD7602"/>
    <w:rsid w:val="5D581625"/>
    <w:rsid w:val="6C4A05C8"/>
    <w:rsid w:val="6E7E3605"/>
    <w:rsid w:val="6FF5CC65"/>
    <w:rsid w:val="715C0E4B"/>
    <w:rsid w:val="72734D90"/>
    <w:rsid w:val="73AD73D5"/>
    <w:rsid w:val="73B6EB34"/>
    <w:rsid w:val="744731E5"/>
    <w:rsid w:val="76090AA8"/>
    <w:rsid w:val="76E3355F"/>
    <w:rsid w:val="778769C8"/>
    <w:rsid w:val="79EE5BA4"/>
    <w:rsid w:val="7A894339"/>
    <w:rsid w:val="7EEF11D3"/>
    <w:rsid w:val="7FA30C79"/>
    <w:rsid w:val="7FA7475B"/>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6"/>
    <w:next w:val="6"/>
    <w:link w:val="35"/>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8"/>
    <w:qFormat/>
    <w:uiPriority w:val="99"/>
    <w:pPr>
      <w:spacing w:beforeLines="30"/>
    </w:pPr>
    <w:rPr>
      <w:rFonts w:ascii="仿宋_GB2312" w:eastAsia="仿宋_GB2312"/>
      <w:kern w:val="0"/>
      <w:sz w:val="30"/>
    </w:rPr>
  </w:style>
  <w:style w:type="paragraph" w:customStyle="1" w:styleId="6">
    <w:name w:val="汇政正文"/>
    <w:basedOn w:val="1"/>
    <w:qFormat/>
    <w:uiPriority w:val="3"/>
    <w:pPr>
      <w:spacing w:line="500" w:lineRule="exact"/>
      <w:ind w:firstLine="200" w:firstLineChars="200"/>
    </w:pPr>
    <w:rPr>
      <w:rFonts w:eastAsia="方正仿宋_GBK"/>
      <w:kern w:val="0"/>
      <w:sz w:val="32"/>
      <w:szCs w:val="28"/>
      <w:lang w:val="zh-CN"/>
    </w:rPr>
  </w:style>
  <w:style w:type="paragraph" w:styleId="7">
    <w:name w:val="Normal Indent"/>
    <w:basedOn w:val="1"/>
    <w:next w:val="1"/>
    <w:qFormat/>
    <w:uiPriority w:val="99"/>
    <w:pPr>
      <w:ind w:firstLine="420" w:firstLineChars="200"/>
    </w:pPr>
  </w:style>
  <w:style w:type="paragraph" w:styleId="8">
    <w:name w:val="Salutation"/>
    <w:basedOn w:val="1"/>
    <w:next w:val="1"/>
    <w:qFormat/>
    <w:uiPriority w:val="0"/>
    <w:rPr>
      <w:rFonts w:eastAsia="仿宋_GB2312"/>
      <w:sz w:val="32"/>
    </w:rPr>
  </w:style>
  <w:style w:type="paragraph" w:styleId="9">
    <w:name w:val="Body Text Indent"/>
    <w:basedOn w:val="1"/>
    <w:next w:val="7"/>
    <w:qFormat/>
    <w:uiPriority w:val="0"/>
    <w:pPr>
      <w:spacing w:after="120"/>
      <w:ind w:leftChars="200"/>
    </w:pPr>
    <w:rPr>
      <w:rFonts w:ascii="仿宋_GB2312"/>
      <w:szCs w:val="32"/>
    </w:r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4"/>
    <w:semiHidden/>
    <w:unhideWhenUsed/>
    <w:qFormat/>
    <w:uiPriority w:val="99"/>
    <w:rPr>
      <w:sz w:val="18"/>
      <w:szCs w:val="18"/>
    </w:rPr>
  </w:style>
  <w:style w:type="paragraph" w:styleId="12">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styleId="17">
    <w:name w:val="Body Text First Indent 2"/>
    <w:basedOn w:val="9"/>
    <w:next w:val="1"/>
    <w:unhideWhenUsed/>
    <w:qFormat/>
    <w:uiPriority w:val="99"/>
    <w:pPr>
      <w:ind w:firstLine="420" w:firstLineChars="200"/>
    </w:p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paragraph" w:customStyle="1" w:styleId="2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3">
    <w:name w:val="Header Char"/>
    <w:basedOn w:val="19"/>
    <w:semiHidden/>
    <w:qFormat/>
    <w:uiPriority w:val="99"/>
    <w:rPr>
      <w:rFonts w:ascii="Times New Roman" w:hAnsi="Times New Roman"/>
      <w:sz w:val="18"/>
      <w:szCs w:val="18"/>
    </w:rPr>
  </w:style>
  <w:style w:type="character" w:customStyle="1" w:styleId="24">
    <w:name w:val="页眉 Char"/>
    <w:link w:val="13"/>
    <w:semiHidden/>
    <w:qFormat/>
    <w:locked/>
    <w:uiPriority w:val="99"/>
    <w:rPr>
      <w:sz w:val="18"/>
    </w:rPr>
  </w:style>
  <w:style w:type="character" w:customStyle="1" w:styleId="25">
    <w:name w:val="Footer Char"/>
    <w:basedOn w:val="19"/>
    <w:semiHidden/>
    <w:qFormat/>
    <w:uiPriority w:val="99"/>
    <w:rPr>
      <w:rFonts w:ascii="Times New Roman" w:hAnsi="Times New Roman"/>
      <w:sz w:val="18"/>
      <w:szCs w:val="18"/>
    </w:rPr>
  </w:style>
  <w:style w:type="character" w:customStyle="1" w:styleId="26">
    <w:name w:val="页脚 Char"/>
    <w:link w:val="12"/>
    <w:qFormat/>
    <w:locked/>
    <w:uiPriority w:val="99"/>
    <w:rPr>
      <w:sz w:val="18"/>
    </w:rPr>
  </w:style>
  <w:style w:type="character" w:customStyle="1" w:styleId="27">
    <w:name w:val="Body Text Char"/>
    <w:basedOn w:val="19"/>
    <w:semiHidden/>
    <w:qFormat/>
    <w:uiPriority w:val="99"/>
    <w:rPr>
      <w:rFonts w:ascii="Times New Roman" w:hAnsi="Times New Roman"/>
      <w:szCs w:val="24"/>
    </w:rPr>
  </w:style>
  <w:style w:type="character" w:customStyle="1" w:styleId="28">
    <w:name w:val="正文文本 Char"/>
    <w:link w:val="2"/>
    <w:qFormat/>
    <w:locked/>
    <w:uiPriority w:val="99"/>
    <w:rPr>
      <w:rFonts w:ascii="仿宋_GB2312" w:hAnsi="Times New Roman" w:eastAsia="仿宋_GB2312"/>
      <w:sz w:val="24"/>
    </w:rPr>
  </w:style>
  <w:style w:type="paragraph" w:customStyle="1" w:styleId="2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0">
    <w:name w:val="List Paragraph"/>
    <w:basedOn w:val="1"/>
    <w:qFormat/>
    <w:uiPriority w:val="34"/>
    <w:pPr>
      <w:ind w:firstLine="420" w:firstLineChars="200"/>
    </w:pPr>
  </w:style>
  <w:style w:type="character" w:customStyle="1" w:styleId="31">
    <w:name w:val="标题 1 Char"/>
    <w:basedOn w:val="19"/>
    <w:link w:val="3"/>
    <w:qFormat/>
    <w:uiPriority w:val="9"/>
    <w:rPr>
      <w:rFonts w:ascii="Times New Roman" w:hAnsi="Times New Roman"/>
      <w:b/>
      <w:bCs/>
      <w:kern w:val="44"/>
      <w:sz w:val="44"/>
      <w:szCs w:val="44"/>
    </w:rPr>
  </w:style>
  <w:style w:type="character" w:customStyle="1" w:styleId="32">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19"/>
    <w:link w:val="11"/>
    <w:semiHidden/>
    <w:qFormat/>
    <w:uiPriority w:val="99"/>
    <w:rPr>
      <w:rFonts w:ascii="Times New Roman" w:hAnsi="Times New Roman"/>
      <w:kern w:val="2"/>
      <w:sz w:val="18"/>
      <w:szCs w:val="18"/>
    </w:rPr>
  </w:style>
  <w:style w:type="character" w:customStyle="1" w:styleId="35">
    <w:name w:val="标题 3 Char"/>
    <w:basedOn w:val="19"/>
    <w:link w:val="5"/>
    <w:qFormat/>
    <w:uiPriority w:val="9"/>
    <w:rPr>
      <w:rFonts w:ascii="Times New Roman" w:hAnsi="Times New Roman"/>
      <w:b/>
      <w:bCs/>
      <w:kern w:val="2"/>
      <w:sz w:val="32"/>
      <w:szCs w:val="32"/>
    </w:rPr>
  </w:style>
  <w:style w:type="paragraph" w:customStyle="1" w:styleId="3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8">
    <w:name w:val="正文1"/>
    <w:next w:val="3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缩进1"/>
    <w:basedOn w:val="38"/>
    <w:qFormat/>
    <w:uiPriority w:val="99"/>
    <w:pPr>
      <w:ind w:firstLine="0" w:firstLineChars="200"/>
    </w:pPr>
    <w:rPr>
      <w:rFonts w:ascii="Calibri" w:hAnsi="Calibri"/>
      <w:szCs w:val="20"/>
    </w:rPr>
  </w:style>
  <w:style w:type="paragraph" w:customStyle="1" w:styleId="40">
    <w:name w:val="正文-公1"/>
    <w:basedOn w:val="1"/>
    <w:qFormat/>
    <w:uiPriority w:val="0"/>
    <w:pPr>
      <w:ind w:firstLine="200" w:firstLineChars="200"/>
    </w:pPr>
    <w:rPr>
      <w:rFonts w:ascii="Calibri" w:hAnsi="Calibri"/>
      <w:color w:val="000000"/>
      <w:szCs w:val="21"/>
    </w:rPr>
  </w:style>
  <w:style w:type="paragraph" w:customStyle="1" w:styleId="41">
    <w:name w:val="闻政图表名"/>
    <w:basedOn w:val="1"/>
    <w:qFormat/>
    <w:uiPriority w:val="4"/>
    <w:pPr>
      <w:spacing w:before="60" w:after="60"/>
      <w:jc w:val="center"/>
    </w:pPr>
    <w:rPr>
      <w:rFonts w:eastAsia="仿宋_GB2312"/>
      <w:b/>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1299</Words>
  <Characters>7410</Characters>
  <Lines>61</Lines>
  <Paragraphs>17</Paragraphs>
  <TotalTime>41</TotalTime>
  <ScaleCrop>false</ScaleCrop>
  <LinksUpToDate>false</LinksUpToDate>
  <CharactersWithSpaces>8692</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Administrator</cp:lastModifiedBy>
  <cp:lastPrinted>2023-07-31T02:35:00Z</cp:lastPrinted>
  <dcterms:modified xsi:type="dcterms:W3CDTF">2024-03-04T07:06:18Z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AF2D37A9AC9B4F3394B0DEA40A499E20_13</vt:lpwstr>
  </property>
</Properties>
</file>